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C83D0" w14:textId="7606AAA6" w:rsidR="001C483B" w:rsidRPr="00DA42F5" w:rsidRDefault="001C483B">
      <w:pPr>
        <w:pStyle w:val="TOC1"/>
        <w:tabs>
          <w:tab w:val="left" w:pos="440"/>
          <w:tab w:val="right" w:leader="dot" w:pos="9350"/>
        </w:tabs>
        <w:rPr>
          <w:b/>
          <w:bCs/>
        </w:rPr>
      </w:pPr>
      <w:bookmarkStart w:id="0" w:name="_Toc184220080"/>
      <w:r w:rsidRPr="00DA42F5">
        <w:rPr>
          <w:b/>
          <w:bCs/>
        </w:rPr>
        <w:t xml:space="preserve">TABLE OF CONTENTS </w:t>
      </w:r>
    </w:p>
    <w:p w14:paraId="3960BEF8" w14:textId="77777777" w:rsidR="00C018F8" w:rsidRPr="00DA42F5" w:rsidRDefault="00C018F8">
      <w:pPr>
        <w:spacing w:line="259" w:lineRule="auto"/>
        <w:jc w:val="left"/>
      </w:pPr>
    </w:p>
    <w:p w14:paraId="48D0E73F" w14:textId="64E11CA7" w:rsidR="00B41263" w:rsidRDefault="00801198">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sidRPr="00DA42F5">
        <w:fldChar w:fldCharType="begin"/>
      </w:r>
      <w:r w:rsidRPr="00DA42F5">
        <w:instrText xml:space="preserve"> TOC \o "1-4" \u </w:instrText>
      </w:r>
      <w:r w:rsidRPr="00DA42F5">
        <w:fldChar w:fldCharType="separate"/>
      </w:r>
      <w:r w:rsidR="00B41263">
        <w:rPr>
          <w:noProof/>
        </w:rPr>
        <w:t>1</w:t>
      </w:r>
      <w:r w:rsidR="00B41263">
        <w:rPr>
          <w:rFonts w:asciiTheme="minorHAnsi" w:eastAsiaTheme="minorEastAsia" w:hAnsiTheme="minorHAnsi"/>
          <w:noProof/>
          <w:kern w:val="2"/>
          <w:szCs w:val="24"/>
          <w:lang w:val="sl-SI" w:eastAsia="sl-SI"/>
          <w14:ligatures w14:val="standardContextual"/>
        </w:rPr>
        <w:tab/>
      </w:r>
      <w:r w:rsidR="00B41263">
        <w:rPr>
          <w:noProof/>
        </w:rPr>
        <w:t>INTRODUCTION – work in progress</w:t>
      </w:r>
      <w:r w:rsidR="00B41263">
        <w:rPr>
          <w:noProof/>
        </w:rPr>
        <w:tab/>
      </w:r>
      <w:r w:rsidR="00B41263">
        <w:rPr>
          <w:noProof/>
        </w:rPr>
        <w:fldChar w:fldCharType="begin"/>
      </w:r>
      <w:r w:rsidR="00B41263">
        <w:rPr>
          <w:noProof/>
        </w:rPr>
        <w:instrText xml:space="preserve"> PAGEREF _Toc220591349 \h </w:instrText>
      </w:r>
      <w:r w:rsidR="00B41263">
        <w:rPr>
          <w:noProof/>
        </w:rPr>
      </w:r>
      <w:r w:rsidR="00B41263">
        <w:rPr>
          <w:noProof/>
        </w:rPr>
        <w:fldChar w:fldCharType="separate"/>
      </w:r>
      <w:r w:rsidR="00B41263">
        <w:rPr>
          <w:noProof/>
        </w:rPr>
        <w:t>4</w:t>
      </w:r>
      <w:r w:rsidR="00B41263">
        <w:rPr>
          <w:noProof/>
        </w:rPr>
        <w:fldChar w:fldCharType="end"/>
      </w:r>
    </w:p>
    <w:p w14:paraId="11444457" w14:textId="63F1ED5A" w:rsidR="00B41263" w:rsidRDefault="00B41263">
      <w:pPr>
        <w:pStyle w:val="TOC2"/>
        <w:tabs>
          <w:tab w:val="right" w:leader="dot" w:pos="9350"/>
        </w:tabs>
        <w:rPr>
          <w:rFonts w:asciiTheme="minorHAnsi" w:eastAsiaTheme="minorEastAsia" w:hAnsiTheme="minorHAnsi"/>
          <w:noProof/>
          <w:kern w:val="2"/>
          <w:szCs w:val="24"/>
          <w:lang w:val="sl-SI" w:eastAsia="sl-SI"/>
          <w14:ligatures w14:val="standardContextual"/>
        </w:rPr>
      </w:pPr>
      <w:r>
        <w:rPr>
          <w:noProof/>
        </w:rPr>
        <w:t>1.1 RESEARCH GOALS</w:t>
      </w:r>
      <w:r>
        <w:rPr>
          <w:noProof/>
        </w:rPr>
        <w:tab/>
      </w:r>
      <w:r>
        <w:rPr>
          <w:noProof/>
        </w:rPr>
        <w:fldChar w:fldCharType="begin"/>
      </w:r>
      <w:r>
        <w:rPr>
          <w:noProof/>
        </w:rPr>
        <w:instrText xml:space="preserve"> PAGEREF _Toc220591350 \h </w:instrText>
      </w:r>
      <w:r>
        <w:rPr>
          <w:noProof/>
        </w:rPr>
      </w:r>
      <w:r>
        <w:rPr>
          <w:noProof/>
        </w:rPr>
        <w:fldChar w:fldCharType="separate"/>
      </w:r>
      <w:r>
        <w:rPr>
          <w:noProof/>
        </w:rPr>
        <w:t>6</w:t>
      </w:r>
      <w:r>
        <w:rPr>
          <w:noProof/>
        </w:rPr>
        <w:fldChar w:fldCharType="end"/>
      </w:r>
    </w:p>
    <w:p w14:paraId="02FE7907" w14:textId="4500C554"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1.2</w:t>
      </w:r>
      <w:r>
        <w:rPr>
          <w:rFonts w:asciiTheme="minorHAnsi" w:eastAsiaTheme="minorEastAsia" w:hAnsiTheme="minorHAnsi"/>
          <w:noProof/>
          <w:kern w:val="2"/>
          <w:szCs w:val="24"/>
          <w:lang w:val="sl-SI" w:eastAsia="sl-SI"/>
          <w14:ligatures w14:val="standardContextual"/>
        </w:rPr>
        <w:tab/>
      </w:r>
      <w:r>
        <w:rPr>
          <w:noProof/>
        </w:rPr>
        <w:t>RESEARCH HYPOTHESIS</w:t>
      </w:r>
      <w:r>
        <w:rPr>
          <w:noProof/>
        </w:rPr>
        <w:tab/>
      </w:r>
      <w:r>
        <w:rPr>
          <w:noProof/>
        </w:rPr>
        <w:fldChar w:fldCharType="begin"/>
      </w:r>
      <w:r>
        <w:rPr>
          <w:noProof/>
        </w:rPr>
        <w:instrText xml:space="preserve"> PAGEREF _Toc220591351 \h </w:instrText>
      </w:r>
      <w:r>
        <w:rPr>
          <w:noProof/>
        </w:rPr>
      </w:r>
      <w:r>
        <w:rPr>
          <w:noProof/>
        </w:rPr>
        <w:fldChar w:fldCharType="separate"/>
      </w:r>
      <w:r>
        <w:rPr>
          <w:noProof/>
        </w:rPr>
        <w:t>7</w:t>
      </w:r>
      <w:r>
        <w:rPr>
          <w:noProof/>
        </w:rPr>
        <w:fldChar w:fldCharType="end"/>
      </w:r>
    </w:p>
    <w:p w14:paraId="7775B697" w14:textId="7479AC6D" w:rsidR="00B41263" w:rsidRDefault="00B4126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Pr>
          <w:noProof/>
        </w:rPr>
        <w:t>2</w:t>
      </w:r>
      <w:r>
        <w:rPr>
          <w:rFonts w:asciiTheme="minorHAnsi" w:eastAsiaTheme="minorEastAsia" w:hAnsiTheme="minorHAnsi"/>
          <w:noProof/>
          <w:kern w:val="2"/>
          <w:szCs w:val="24"/>
          <w:lang w:val="sl-SI" w:eastAsia="sl-SI"/>
          <w14:ligatures w14:val="standardContextual"/>
        </w:rPr>
        <w:tab/>
      </w:r>
      <w:r>
        <w:rPr>
          <w:noProof/>
        </w:rPr>
        <w:t>LITERATURE REVIEW</w:t>
      </w:r>
      <w:r>
        <w:rPr>
          <w:noProof/>
        </w:rPr>
        <w:tab/>
      </w:r>
      <w:r>
        <w:rPr>
          <w:noProof/>
        </w:rPr>
        <w:fldChar w:fldCharType="begin"/>
      </w:r>
      <w:r>
        <w:rPr>
          <w:noProof/>
        </w:rPr>
        <w:instrText xml:space="preserve"> PAGEREF _Toc220591352 \h </w:instrText>
      </w:r>
      <w:r>
        <w:rPr>
          <w:noProof/>
        </w:rPr>
      </w:r>
      <w:r>
        <w:rPr>
          <w:noProof/>
        </w:rPr>
        <w:fldChar w:fldCharType="separate"/>
      </w:r>
      <w:r>
        <w:rPr>
          <w:noProof/>
        </w:rPr>
        <w:t>8</w:t>
      </w:r>
      <w:r>
        <w:rPr>
          <w:noProof/>
        </w:rPr>
        <w:fldChar w:fldCharType="end"/>
      </w:r>
    </w:p>
    <w:p w14:paraId="79EAAFC6" w14:textId="689132D7"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2.1</w:t>
      </w:r>
      <w:r>
        <w:rPr>
          <w:rFonts w:asciiTheme="minorHAnsi" w:eastAsiaTheme="minorEastAsia" w:hAnsiTheme="minorHAnsi"/>
          <w:noProof/>
          <w:kern w:val="2"/>
          <w:szCs w:val="24"/>
          <w:lang w:val="sl-SI" w:eastAsia="sl-SI"/>
          <w14:ligatures w14:val="standardContextual"/>
        </w:rPr>
        <w:tab/>
      </w:r>
      <w:r>
        <w:rPr>
          <w:noProof/>
        </w:rPr>
        <w:t>HUMAN GUT MICROBIOTA</w:t>
      </w:r>
      <w:r>
        <w:rPr>
          <w:noProof/>
        </w:rPr>
        <w:tab/>
      </w:r>
      <w:r>
        <w:rPr>
          <w:noProof/>
        </w:rPr>
        <w:fldChar w:fldCharType="begin"/>
      </w:r>
      <w:r>
        <w:rPr>
          <w:noProof/>
        </w:rPr>
        <w:instrText xml:space="preserve"> PAGEREF _Toc220591353 \h </w:instrText>
      </w:r>
      <w:r>
        <w:rPr>
          <w:noProof/>
        </w:rPr>
      </w:r>
      <w:r>
        <w:rPr>
          <w:noProof/>
        </w:rPr>
        <w:fldChar w:fldCharType="separate"/>
      </w:r>
      <w:r>
        <w:rPr>
          <w:noProof/>
        </w:rPr>
        <w:t>8</w:t>
      </w:r>
      <w:r>
        <w:rPr>
          <w:noProof/>
        </w:rPr>
        <w:fldChar w:fldCharType="end"/>
      </w:r>
    </w:p>
    <w:p w14:paraId="3B662582" w14:textId="46597511"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2.1.1</w:t>
      </w:r>
      <w:r>
        <w:rPr>
          <w:rFonts w:asciiTheme="minorHAnsi" w:eastAsiaTheme="minorEastAsia" w:hAnsiTheme="minorHAnsi"/>
          <w:noProof/>
          <w:kern w:val="2"/>
          <w:szCs w:val="24"/>
          <w:lang w:val="sl-SI" w:eastAsia="sl-SI"/>
          <w14:ligatures w14:val="standardContextual"/>
        </w:rPr>
        <w:tab/>
      </w:r>
      <w:r>
        <w:rPr>
          <w:noProof/>
        </w:rPr>
        <w:t>Longitudinal studies of human gut microbiota</w:t>
      </w:r>
      <w:r>
        <w:rPr>
          <w:noProof/>
        </w:rPr>
        <w:tab/>
      </w:r>
      <w:r>
        <w:rPr>
          <w:noProof/>
        </w:rPr>
        <w:fldChar w:fldCharType="begin"/>
      </w:r>
      <w:r>
        <w:rPr>
          <w:noProof/>
        </w:rPr>
        <w:instrText xml:space="preserve"> PAGEREF _Toc220591354 \h </w:instrText>
      </w:r>
      <w:r>
        <w:rPr>
          <w:noProof/>
        </w:rPr>
      </w:r>
      <w:r>
        <w:rPr>
          <w:noProof/>
        </w:rPr>
        <w:fldChar w:fldCharType="separate"/>
      </w:r>
      <w:r>
        <w:rPr>
          <w:noProof/>
        </w:rPr>
        <w:t>8</w:t>
      </w:r>
      <w:r>
        <w:rPr>
          <w:noProof/>
        </w:rPr>
        <w:fldChar w:fldCharType="end"/>
      </w:r>
    </w:p>
    <w:p w14:paraId="58B9B954" w14:textId="4BF70FA9"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2.1.2</w:t>
      </w:r>
      <w:r>
        <w:rPr>
          <w:rFonts w:asciiTheme="minorHAnsi" w:eastAsiaTheme="minorEastAsia" w:hAnsiTheme="minorHAnsi"/>
          <w:noProof/>
          <w:kern w:val="2"/>
          <w:szCs w:val="24"/>
          <w:lang w:val="sl-SI" w:eastAsia="sl-SI"/>
          <w14:ligatures w14:val="standardContextual"/>
        </w:rPr>
        <w:tab/>
      </w:r>
      <w:r>
        <w:rPr>
          <w:noProof/>
        </w:rPr>
        <w:t>Stability of microbial communities</w:t>
      </w:r>
      <w:r>
        <w:rPr>
          <w:noProof/>
        </w:rPr>
        <w:tab/>
      </w:r>
      <w:r>
        <w:rPr>
          <w:noProof/>
        </w:rPr>
        <w:fldChar w:fldCharType="begin"/>
      </w:r>
      <w:r>
        <w:rPr>
          <w:noProof/>
        </w:rPr>
        <w:instrText xml:space="preserve"> PAGEREF _Toc220591355 \h </w:instrText>
      </w:r>
      <w:r>
        <w:rPr>
          <w:noProof/>
        </w:rPr>
      </w:r>
      <w:r>
        <w:rPr>
          <w:noProof/>
        </w:rPr>
        <w:fldChar w:fldCharType="separate"/>
      </w:r>
      <w:r>
        <w:rPr>
          <w:noProof/>
        </w:rPr>
        <w:t>9</w:t>
      </w:r>
      <w:r>
        <w:rPr>
          <w:noProof/>
        </w:rPr>
        <w:fldChar w:fldCharType="end"/>
      </w:r>
    </w:p>
    <w:p w14:paraId="6807A1D5" w14:textId="5C7C88D1"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2.2</w:t>
      </w:r>
      <w:r>
        <w:rPr>
          <w:rFonts w:asciiTheme="minorHAnsi" w:eastAsiaTheme="minorEastAsia" w:hAnsiTheme="minorHAnsi"/>
          <w:noProof/>
          <w:kern w:val="2"/>
          <w:szCs w:val="24"/>
          <w:lang w:val="sl-SI" w:eastAsia="sl-SI"/>
          <w14:ligatures w14:val="standardContextual"/>
        </w:rPr>
        <w:tab/>
      </w:r>
      <w:r>
        <w:rPr>
          <w:noProof/>
        </w:rPr>
        <w:t>SPOROBIOTA OF THE HUMAN GUT</w:t>
      </w:r>
      <w:r>
        <w:rPr>
          <w:noProof/>
        </w:rPr>
        <w:tab/>
      </w:r>
      <w:r>
        <w:rPr>
          <w:noProof/>
        </w:rPr>
        <w:fldChar w:fldCharType="begin"/>
      </w:r>
      <w:r>
        <w:rPr>
          <w:noProof/>
        </w:rPr>
        <w:instrText xml:space="preserve"> PAGEREF _Toc220591356 \h </w:instrText>
      </w:r>
      <w:r>
        <w:rPr>
          <w:noProof/>
        </w:rPr>
      </w:r>
      <w:r>
        <w:rPr>
          <w:noProof/>
        </w:rPr>
        <w:fldChar w:fldCharType="separate"/>
      </w:r>
      <w:r>
        <w:rPr>
          <w:noProof/>
        </w:rPr>
        <w:t>10</w:t>
      </w:r>
      <w:r>
        <w:rPr>
          <w:noProof/>
        </w:rPr>
        <w:fldChar w:fldCharType="end"/>
      </w:r>
    </w:p>
    <w:p w14:paraId="07D84BD0" w14:textId="0F05D508"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2.2.1</w:t>
      </w:r>
      <w:r>
        <w:rPr>
          <w:rFonts w:asciiTheme="minorHAnsi" w:eastAsiaTheme="minorEastAsia" w:hAnsiTheme="minorHAnsi"/>
          <w:noProof/>
          <w:kern w:val="2"/>
          <w:szCs w:val="24"/>
          <w:lang w:val="sl-SI" w:eastAsia="sl-SI"/>
          <w14:ligatures w14:val="standardContextual"/>
        </w:rPr>
        <w:tab/>
      </w:r>
      <w:r>
        <w:rPr>
          <w:noProof/>
        </w:rPr>
        <w:t>Culture-dependant and -independent analysis of sporobiota</w:t>
      </w:r>
      <w:r>
        <w:rPr>
          <w:noProof/>
        </w:rPr>
        <w:tab/>
      </w:r>
      <w:r>
        <w:rPr>
          <w:noProof/>
        </w:rPr>
        <w:fldChar w:fldCharType="begin"/>
      </w:r>
      <w:r>
        <w:rPr>
          <w:noProof/>
        </w:rPr>
        <w:instrText xml:space="preserve"> PAGEREF _Toc220591357 \h </w:instrText>
      </w:r>
      <w:r>
        <w:rPr>
          <w:noProof/>
        </w:rPr>
      </w:r>
      <w:r>
        <w:rPr>
          <w:noProof/>
        </w:rPr>
        <w:fldChar w:fldCharType="separate"/>
      </w:r>
      <w:r>
        <w:rPr>
          <w:noProof/>
        </w:rPr>
        <w:t>11</w:t>
      </w:r>
      <w:r>
        <w:rPr>
          <w:noProof/>
        </w:rPr>
        <w:fldChar w:fldCharType="end"/>
      </w:r>
    </w:p>
    <w:p w14:paraId="0FE11F77" w14:textId="07B922E5"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2.3</w:t>
      </w:r>
      <w:r>
        <w:rPr>
          <w:rFonts w:asciiTheme="minorHAnsi" w:eastAsiaTheme="minorEastAsia" w:hAnsiTheme="minorHAnsi"/>
          <w:noProof/>
          <w:kern w:val="2"/>
          <w:szCs w:val="24"/>
          <w:lang w:val="sl-SI" w:eastAsia="sl-SI"/>
          <w14:ligatures w14:val="standardContextual"/>
        </w:rPr>
        <w:tab/>
      </w:r>
      <w:r>
        <w:rPr>
          <w:noProof/>
        </w:rPr>
        <w:t>CULTIVATION OF BACTERIA FROM THE HUMAN GUT</w:t>
      </w:r>
      <w:r>
        <w:rPr>
          <w:noProof/>
        </w:rPr>
        <w:tab/>
      </w:r>
      <w:r>
        <w:rPr>
          <w:noProof/>
        </w:rPr>
        <w:fldChar w:fldCharType="begin"/>
      </w:r>
      <w:r>
        <w:rPr>
          <w:noProof/>
        </w:rPr>
        <w:instrText xml:space="preserve"> PAGEREF _Toc220591358 \h </w:instrText>
      </w:r>
      <w:r>
        <w:rPr>
          <w:noProof/>
        </w:rPr>
      </w:r>
      <w:r>
        <w:rPr>
          <w:noProof/>
        </w:rPr>
        <w:fldChar w:fldCharType="separate"/>
      </w:r>
      <w:r>
        <w:rPr>
          <w:noProof/>
        </w:rPr>
        <w:t>12</w:t>
      </w:r>
      <w:r>
        <w:rPr>
          <w:noProof/>
        </w:rPr>
        <w:fldChar w:fldCharType="end"/>
      </w:r>
    </w:p>
    <w:p w14:paraId="4A80D4D9" w14:textId="10153125"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2.4</w:t>
      </w:r>
      <w:r>
        <w:rPr>
          <w:rFonts w:asciiTheme="minorHAnsi" w:eastAsiaTheme="minorEastAsia" w:hAnsiTheme="minorHAnsi"/>
          <w:noProof/>
          <w:kern w:val="2"/>
          <w:szCs w:val="24"/>
          <w:lang w:val="sl-SI" w:eastAsia="sl-SI"/>
          <w14:ligatures w14:val="standardContextual"/>
        </w:rPr>
        <w:tab/>
      </w:r>
      <w:r>
        <w:rPr>
          <w:noProof/>
        </w:rPr>
        <w:t>HUMAN GUT RESISTOME</w:t>
      </w:r>
      <w:r>
        <w:rPr>
          <w:noProof/>
        </w:rPr>
        <w:tab/>
      </w:r>
      <w:r>
        <w:rPr>
          <w:noProof/>
        </w:rPr>
        <w:fldChar w:fldCharType="begin"/>
      </w:r>
      <w:r>
        <w:rPr>
          <w:noProof/>
        </w:rPr>
        <w:instrText xml:space="preserve"> PAGEREF _Toc220591359 \h </w:instrText>
      </w:r>
      <w:r>
        <w:rPr>
          <w:noProof/>
        </w:rPr>
      </w:r>
      <w:r>
        <w:rPr>
          <w:noProof/>
        </w:rPr>
        <w:fldChar w:fldCharType="separate"/>
      </w:r>
      <w:r>
        <w:rPr>
          <w:noProof/>
        </w:rPr>
        <w:t>13</w:t>
      </w:r>
      <w:r>
        <w:rPr>
          <w:noProof/>
        </w:rPr>
        <w:fldChar w:fldCharType="end"/>
      </w:r>
    </w:p>
    <w:p w14:paraId="4B7260A6" w14:textId="7B144532" w:rsidR="00B41263" w:rsidRDefault="00B4126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Pr>
          <w:noProof/>
        </w:rPr>
        <w:t>3</w:t>
      </w:r>
      <w:r>
        <w:rPr>
          <w:rFonts w:asciiTheme="minorHAnsi" w:eastAsiaTheme="minorEastAsia" w:hAnsiTheme="minorHAnsi"/>
          <w:noProof/>
          <w:kern w:val="2"/>
          <w:szCs w:val="24"/>
          <w:lang w:val="sl-SI" w:eastAsia="sl-SI"/>
          <w14:ligatures w14:val="standardContextual"/>
        </w:rPr>
        <w:tab/>
      </w:r>
      <w:r>
        <w:rPr>
          <w:noProof/>
        </w:rPr>
        <w:t>METHODS AND MATERIALS</w:t>
      </w:r>
      <w:r>
        <w:rPr>
          <w:noProof/>
        </w:rPr>
        <w:tab/>
      </w:r>
      <w:r>
        <w:rPr>
          <w:noProof/>
        </w:rPr>
        <w:fldChar w:fldCharType="begin"/>
      </w:r>
      <w:r>
        <w:rPr>
          <w:noProof/>
        </w:rPr>
        <w:instrText xml:space="preserve"> PAGEREF _Toc220591360 \h </w:instrText>
      </w:r>
      <w:r>
        <w:rPr>
          <w:noProof/>
        </w:rPr>
      </w:r>
      <w:r>
        <w:rPr>
          <w:noProof/>
        </w:rPr>
        <w:fldChar w:fldCharType="separate"/>
      </w:r>
      <w:r>
        <w:rPr>
          <w:noProof/>
        </w:rPr>
        <w:t>15</w:t>
      </w:r>
      <w:r>
        <w:rPr>
          <w:noProof/>
        </w:rPr>
        <w:fldChar w:fldCharType="end"/>
      </w:r>
    </w:p>
    <w:p w14:paraId="7DF295A5" w14:textId="0EF3F3BB"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3.1</w:t>
      </w:r>
      <w:r>
        <w:rPr>
          <w:rFonts w:asciiTheme="minorHAnsi" w:eastAsiaTheme="minorEastAsia" w:hAnsiTheme="minorHAnsi"/>
          <w:noProof/>
          <w:kern w:val="2"/>
          <w:szCs w:val="24"/>
          <w:lang w:val="sl-SI" w:eastAsia="sl-SI"/>
          <w14:ligatures w14:val="standardContextual"/>
        </w:rPr>
        <w:tab/>
      </w:r>
      <w:r>
        <w:rPr>
          <w:noProof/>
        </w:rPr>
        <w:t>LONGITUDINAL STOOL SAMPLE COLLECTION</w:t>
      </w:r>
      <w:r>
        <w:rPr>
          <w:noProof/>
        </w:rPr>
        <w:tab/>
      </w:r>
      <w:r>
        <w:rPr>
          <w:noProof/>
        </w:rPr>
        <w:fldChar w:fldCharType="begin"/>
      </w:r>
      <w:r>
        <w:rPr>
          <w:noProof/>
        </w:rPr>
        <w:instrText xml:space="preserve"> PAGEREF _Toc220591361 \h </w:instrText>
      </w:r>
      <w:r>
        <w:rPr>
          <w:noProof/>
        </w:rPr>
      </w:r>
      <w:r>
        <w:rPr>
          <w:noProof/>
        </w:rPr>
        <w:fldChar w:fldCharType="separate"/>
      </w:r>
      <w:r>
        <w:rPr>
          <w:noProof/>
        </w:rPr>
        <w:t>16</w:t>
      </w:r>
      <w:r>
        <w:rPr>
          <w:noProof/>
        </w:rPr>
        <w:fldChar w:fldCharType="end"/>
      </w:r>
    </w:p>
    <w:p w14:paraId="5E63D6DF" w14:textId="2820BB66"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3.2</w:t>
      </w:r>
      <w:r>
        <w:rPr>
          <w:rFonts w:asciiTheme="minorHAnsi" w:eastAsiaTheme="minorEastAsia" w:hAnsiTheme="minorHAnsi"/>
          <w:noProof/>
          <w:kern w:val="2"/>
          <w:szCs w:val="24"/>
          <w:lang w:val="sl-SI" w:eastAsia="sl-SI"/>
          <w14:ligatures w14:val="standardContextual"/>
        </w:rPr>
        <w:tab/>
      </w:r>
      <w:r>
        <w:rPr>
          <w:noProof/>
        </w:rPr>
        <w:t>COMPARISON AND OPTIMIZATION OF PROTOCOLS FOR DNA ISOLATION</w:t>
      </w:r>
      <w:r>
        <w:rPr>
          <w:noProof/>
        </w:rPr>
        <w:tab/>
      </w:r>
      <w:r>
        <w:rPr>
          <w:noProof/>
        </w:rPr>
        <w:fldChar w:fldCharType="begin"/>
      </w:r>
      <w:r>
        <w:rPr>
          <w:noProof/>
        </w:rPr>
        <w:instrText xml:space="preserve"> PAGEREF _Toc220591362 \h </w:instrText>
      </w:r>
      <w:r>
        <w:rPr>
          <w:noProof/>
        </w:rPr>
      </w:r>
      <w:r>
        <w:rPr>
          <w:noProof/>
        </w:rPr>
        <w:fldChar w:fldCharType="separate"/>
      </w:r>
      <w:r>
        <w:rPr>
          <w:noProof/>
        </w:rPr>
        <w:t>17</w:t>
      </w:r>
      <w:r>
        <w:rPr>
          <w:noProof/>
        </w:rPr>
        <w:fldChar w:fldCharType="end"/>
      </w:r>
    </w:p>
    <w:p w14:paraId="373713A3" w14:textId="4DFF605C"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3.2.1</w:t>
      </w:r>
      <w:r>
        <w:rPr>
          <w:rFonts w:asciiTheme="minorHAnsi" w:eastAsiaTheme="minorEastAsia" w:hAnsiTheme="minorHAnsi"/>
          <w:noProof/>
          <w:kern w:val="2"/>
          <w:szCs w:val="24"/>
          <w:lang w:val="sl-SI" w:eastAsia="sl-SI"/>
          <w14:ligatures w14:val="standardContextual"/>
        </w:rPr>
        <w:tab/>
      </w:r>
      <w:r>
        <w:rPr>
          <w:noProof/>
        </w:rPr>
        <w:t>Comparison of isolation protocols for bacterial DNA from human stool samples</w:t>
      </w:r>
      <w:r>
        <w:rPr>
          <w:noProof/>
        </w:rPr>
        <w:tab/>
      </w:r>
      <w:r>
        <w:rPr>
          <w:noProof/>
        </w:rPr>
        <w:fldChar w:fldCharType="begin"/>
      </w:r>
      <w:r>
        <w:rPr>
          <w:noProof/>
        </w:rPr>
        <w:instrText xml:space="preserve"> PAGEREF _Toc220591363 \h </w:instrText>
      </w:r>
      <w:r>
        <w:rPr>
          <w:noProof/>
        </w:rPr>
      </w:r>
      <w:r>
        <w:rPr>
          <w:noProof/>
        </w:rPr>
        <w:fldChar w:fldCharType="separate"/>
      </w:r>
      <w:r>
        <w:rPr>
          <w:noProof/>
        </w:rPr>
        <w:t>17</w:t>
      </w:r>
      <w:r>
        <w:rPr>
          <w:noProof/>
        </w:rPr>
        <w:fldChar w:fldCharType="end"/>
      </w:r>
    </w:p>
    <w:p w14:paraId="56F919E6" w14:textId="50E80109"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3.2.2</w:t>
      </w:r>
      <w:r>
        <w:rPr>
          <w:rFonts w:asciiTheme="minorHAnsi" w:eastAsiaTheme="minorEastAsia" w:hAnsiTheme="minorHAnsi"/>
          <w:noProof/>
          <w:kern w:val="2"/>
          <w:szCs w:val="24"/>
          <w:lang w:val="sl-SI" w:eastAsia="sl-SI"/>
          <w14:ligatures w14:val="standardContextual"/>
        </w:rPr>
        <w:tab/>
      </w:r>
      <w:r>
        <w:rPr>
          <w:noProof/>
        </w:rPr>
        <w:t>Optimization of removal of vegetative cells and their DNA from stool samples</w:t>
      </w:r>
      <w:r>
        <w:rPr>
          <w:noProof/>
        </w:rPr>
        <w:tab/>
      </w:r>
      <w:r>
        <w:rPr>
          <w:noProof/>
        </w:rPr>
        <w:fldChar w:fldCharType="begin"/>
      </w:r>
      <w:r>
        <w:rPr>
          <w:noProof/>
        </w:rPr>
        <w:instrText xml:space="preserve"> PAGEREF _Toc220591364 \h </w:instrText>
      </w:r>
      <w:r>
        <w:rPr>
          <w:noProof/>
        </w:rPr>
      </w:r>
      <w:r>
        <w:rPr>
          <w:noProof/>
        </w:rPr>
        <w:fldChar w:fldCharType="separate"/>
      </w:r>
      <w:r>
        <w:rPr>
          <w:noProof/>
        </w:rPr>
        <w:t>17</w:t>
      </w:r>
      <w:r>
        <w:rPr>
          <w:noProof/>
        </w:rPr>
        <w:fldChar w:fldCharType="end"/>
      </w:r>
    </w:p>
    <w:p w14:paraId="2D63638C" w14:textId="1904B019"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3.3</w:t>
      </w:r>
      <w:r>
        <w:rPr>
          <w:rFonts w:asciiTheme="minorHAnsi" w:eastAsiaTheme="minorEastAsia" w:hAnsiTheme="minorHAnsi"/>
          <w:noProof/>
          <w:kern w:val="2"/>
          <w:szCs w:val="24"/>
          <w:lang w:val="sl-SI" w:eastAsia="sl-SI"/>
          <w14:ligatures w14:val="standardContextual"/>
        </w:rPr>
        <w:tab/>
      </w:r>
      <w:r>
        <w:rPr>
          <w:noProof/>
        </w:rPr>
        <w:t>DNA ISOLATION</w:t>
      </w:r>
      <w:r>
        <w:rPr>
          <w:noProof/>
        </w:rPr>
        <w:tab/>
      </w:r>
      <w:r>
        <w:rPr>
          <w:noProof/>
        </w:rPr>
        <w:fldChar w:fldCharType="begin"/>
      </w:r>
      <w:r>
        <w:rPr>
          <w:noProof/>
        </w:rPr>
        <w:instrText xml:space="preserve"> PAGEREF _Toc220591365 \h </w:instrText>
      </w:r>
      <w:r>
        <w:rPr>
          <w:noProof/>
        </w:rPr>
      </w:r>
      <w:r>
        <w:rPr>
          <w:noProof/>
        </w:rPr>
        <w:fldChar w:fldCharType="separate"/>
      </w:r>
      <w:r>
        <w:rPr>
          <w:noProof/>
        </w:rPr>
        <w:t>18</w:t>
      </w:r>
      <w:r>
        <w:rPr>
          <w:noProof/>
        </w:rPr>
        <w:fldChar w:fldCharType="end"/>
      </w:r>
    </w:p>
    <w:p w14:paraId="58EEC747" w14:textId="4AEDE1E6"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3.3.1</w:t>
      </w:r>
      <w:r>
        <w:rPr>
          <w:rFonts w:asciiTheme="minorHAnsi" w:eastAsiaTheme="minorEastAsia" w:hAnsiTheme="minorHAnsi"/>
          <w:noProof/>
          <w:kern w:val="2"/>
          <w:szCs w:val="24"/>
          <w:lang w:val="sl-SI" w:eastAsia="sl-SI"/>
          <w14:ligatures w14:val="standardContextual"/>
        </w:rPr>
        <w:tab/>
      </w:r>
      <w:r>
        <w:rPr>
          <w:noProof/>
        </w:rPr>
        <w:t>DNA isolation from stool samples</w:t>
      </w:r>
      <w:r>
        <w:rPr>
          <w:noProof/>
        </w:rPr>
        <w:tab/>
      </w:r>
      <w:r>
        <w:rPr>
          <w:noProof/>
        </w:rPr>
        <w:fldChar w:fldCharType="begin"/>
      </w:r>
      <w:r>
        <w:rPr>
          <w:noProof/>
        </w:rPr>
        <w:instrText xml:space="preserve"> PAGEREF _Toc220591366 \h </w:instrText>
      </w:r>
      <w:r>
        <w:rPr>
          <w:noProof/>
        </w:rPr>
      </w:r>
      <w:r>
        <w:rPr>
          <w:noProof/>
        </w:rPr>
        <w:fldChar w:fldCharType="separate"/>
      </w:r>
      <w:r>
        <w:rPr>
          <w:noProof/>
        </w:rPr>
        <w:t>18</w:t>
      </w:r>
      <w:r>
        <w:rPr>
          <w:noProof/>
        </w:rPr>
        <w:fldChar w:fldCharType="end"/>
      </w:r>
    </w:p>
    <w:p w14:paraId="5B5FCB54" w14:textId="536BD36A"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3.3.2</w:t>
      </w:r>
      <w:r>
        <w:rPr>
          <w:rFonts w:asciiTheme="minorHAnsi" w:eastAsiaTheme="minorEastAsia" w:hAnsiTheme="minorHAnsi"/>
          <w:noProof/>
          <w:kern w:val="2"/>
          <w:szCs w:val="24"/>
          <w:lang w:val="sl-SI" w:eastAsia="sl-SI"/>
          <w14:ligatures w14:val="standardContextual"/>
        </w:rPr>
        <w:tab/>
      </w:r>
      <w:r>
        <w:rPr>
          <w:noProof/>
        </w:rPr>
        <w:t>DNA isolation from pure bacterial cultures</w:t>
      </w:r>
      <w:r>
        <w:rPr>
          <w:noProof/>
        </w:rPr>
        <w:tab/>
      </w:r>
      <w:r>
        <w:rPr>
          <w:noProof/>
        </w:rPr>
        <w:fldChar w:fldCharType="begin"/>
      </w:r>
      <w:r>
        <w:rPr>
          <w:noProof/>
        </w:rPr>
        <w:instrText xml:space="preserve"> PAGEREF _Toc220591367 \h </w:instrText>
      </w:r>
      <w:r>
        <w:rPr>
          <w:noProof/>
        </w:rPr>
      </w:r>
      <w:r>
        <w:rPr>
          <w:noProof/>
        </w:rPr>
        <w:fldChar w:fldCharType="separate"/>
      </w:r>
      <w:r>
        <w:rPr>
          <w:noProof/>
        </w:rPr>
        <w:t>18</w:t>
      </w:r>
      <w:r>
        <w:rPr>
          <w:noProof/>
        </w:rPr>
        <w:fldChar w:fldCharType="end"/>
      </w:r>
    </w:p>
    <w:p w14:paraId="05083BDF" w14:textId="42CD7D61"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3.4</w:t>
      </w:r>
      <w:r>
        <w:rPr>
          <w:rFonts w:asciiTheme="minorHAnsi" w:eastAsiaTheme="minorEastAsia" w:hAnsiTheme="minorHAnsi"/>
          <w:noProof/>
          <w:kern w:val="2"/>
          <w:szCs w:val="24"/>
          <w:lang w:val="sl-SI" w:eastAsia="sl-SI"/>
          <w14:ligatures w14:val="standardContextual"/>
        </w:rPr>
        <w:tab/>
      </w:r>
      <w:r>
        <w:rPr>
          <w:noProof/>
        </w:rPr>
        <w:t>ABSOLUTE QUANTIFICATION OF THE 16S rRNA GENE IN UNTREATED AND ETHANOL TREATED SAMPLES USING DROPLET DIGITAL PCR</w:t>
      </w:r>
      <w:r>
        <w:rPr>
          <w:noProof/>
        </w:rPr>
        <w:tab/>
      </w:r>
      <w:r>
        <w:rPr>
          <w:noProof/>
        </w:rPr>
        <w:fldChar w:fldCharType="begin"/>
      </w:r>
      <w:r>
        <w:rPr>
          <w:noProof/>
        </w:rPr>
        <w:instrText xml:space="preserve"> PAGEREF _Toc220591368 \h </w:instrText>
      </w:r>
      <w:r>
        <w:rPr>
          <w:noProof/>
        </w:rPr>
      </w:r>
      <w:r>
        <w:rPr>
          <w:noProof/>
        </w:rPr>
        <w:fldChar w:fldCharType="separate"/>
      </w:r>
      <w:r>
        <w:rPr>
          <w:noProof/>
        </w:rPr>
        <w:t>18</w:t>
      </w:r>
      <w:r>
        <w:rPr>
          <w:noProof/>
        </w:rPr>
        <w:fldChar w:fldCharType="end"/>
      </w:r>
    </w:p>
    <w:p w14:paraId="27ED9223" w14:textId="70AB290E"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3.5</w:t>
      </w:r>
      <w:r>
        <w:rPr>
          <w:rFonts w:asciiTheme="minorHAnsi" w:eastAsiaTheme="minorEastAsia" w:hAnsiTheme="minorHAnsi"/>
          <w:noProof/>
          <w:kern w:val="2"/>
          <w:szCs w:val="24"/>
          <w:lang w:val="sl-SI" w:eastAsia="sl-SI"/>
          <w14:ligatures w14:val="standardContextual"/>
        </w:rPr>
        <w:tab/>
      </w:r>
      <w:r>
        <w:rPr>
          <w:noProof/>
        </w:rPr>
        <w:t>SEQUENCING OF MICROBIOTA, SPOROBIOTA, AND BACTERIAL ISOLATES</w:t>
      </w:r>
      <w:r>
        <w:rPr>
          <w:noProof/>
        </w:rPr>
        <w:tab/>
      </w:r>
      <w:r>
        <w:rPr>
          <w:noProof/>
        </w:rPr>
        <w:fldChar w:fldCharType="begin"/>
      </w:r>
      <w:r>
        <w:rPr>
          <w:noProof/>
        </w:rPr>
        <w:instrText xml:space="preserve"> PAGEREF _Toc220591369 \h </w:instrText>
      </w:r>
      <w:r>
        <w:rPr>
          <w:noProof/>
        </w:rPr>
      </w:r>
      <w:r>
        <w:rPr>
          <w:noProof/>
        </w:rPr>
        <w:fldChar w:fldCharType="separate"/>
      </w:r>
      <w:r>
        <w:rPr>
          <w:noProof/>
        </w:rPr>
        <w:t>19</w:t>
      </w:r>
      <w:r>
        <w:rPr>
          <w:noProof/>
        </w:rPr>
        <w:fldChar w:fldCharType="end"/>
      </w:r>
    </w:p>
    <w:p w14:paraId="600BFE10" w14:textId="16993E27"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3.5.1</w:t>
      </w:r>
      <w:r>
        <w:rPr>
          <w:rFonts w:asciiTheme="minorHAnsi" w:eastAsiaTheme="minorEastAsia" w:hAnsiTheme="minorHAnsi"/>
          <w:noProof/>
          <w:kern w:val="2"/>
          <w:szCs w:val="24"/>
          <w:lang w:val="sl-SI" w:eastAsia="sl-SI"/>
          <w14:ligatures w14:val="standardContextual"/>
        </w:rPr>
        <w:tab/>
      </w:r>
      <w:r>
        <w:rPr>
          <w:noProof/>
        </w:rPr>
        <w:t>Amplicon sequencing of the 16S rRNA gene of microbiota and sporobiota</w:t>
      </w:r>
      <w:r>
        <w:rPr>
          <w:noProof/>
        </w:rPr>
        <w:tab/>
      </w:r>
      <w:r>
        <w:rPr>
          <w:noProof/>
        </w:rPr>
        <w:fldChar w:fldCharType="begin"/>
      </w:r>
      <w:r>
        <w:rPr>
          <w:noProof/>
        </w:rPr>
        <w:instrText xml:space="preserve"> PAGEREF _Toc220591370 \h </w:instrText>
      </w:r>
      <w:r>
        <w:rPr>
          <w:noProof/>
        </w:rPr>
      </w:r>
      <w:r>
        <w:rPr>
          <w:noProof/>
        </w:rPr>
        <w:fldChar w:fldCharType="separate"/>
      </w:r>
      <w:r>
        <w:rPr>
          <w:noProof/>
        </w:rPr>
        <w:t>19</w:t>
      </w:r>
      <w:r>
        <w:rPr>
          <w:noProof/>
        </w:rPr>
        <w:fldChar w:fldCharType="end"/>
      </w:r>
    </w:p>
    <w:p w14:paraId="471E923D" w14:textId="54F7B479"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3.5.2</w:t>
      </w:r>
      <w:r>
        <w:rPr>
          <w:rFonts w:asciiTheme="minorHAnsi" w:eastAsiaTheme="minorEastAsia" w:hAnsiTheme="minorHAnsi"/>
          <w:noProof/>
          <w:kern w:val="2"/>
          <w:szCs w:val="24"/>
          <w:lang w:val="sl-SI" w:eastAsia="sl-SI"/>
          <w14:ligatures w14:val="standardContextual"/>
        </w:rPr>
        <w:tab/>
      </w:r>
      <w:r>
        <w:rPr>
          <w:noProof/>
        </w:rPr>
        <w:t>Shotgun metagenomic sequencing of microbiota and sporobiota</w:t>
      </w:r>
      <w:r>
        <w:rPr>
          <w:noProof/>
        </w:rPr>
        <w:tab/>
      </w:r>
      <w:r>
        <w:rPr>
          <w:noProof/>
        </w:rPr>
        <w:fldChar w:fldCharType="begin"/>
      </w:r>
      <w:r>
        <w:rPr>
          <w:noProof/>
        </w:rPr>
        <w:instrText xml:space="preserve"> PAGEREF _Toc220591371 \h </w:instrText>
      </w:r>
      <w:r>
        <w:rPr>
          <w:noProof/>
        </w:rPr>
      </w:r>
      <w:r>
        <w:rPr>
          <w:noProof/>
        </w:rPr>
        <w:fldChar w:fldCharType="separate"/>
      </w:r>
      <w:r>
        <w:rPr>
          <w:noProof/>
        </w:rPr>
        <w:t>19</w:t>
      </w:r>
      <w:r>
        <w:rPr>
          <w:noProof/>
        </w:rPr>
        <w:fldChar w:fldCharType="end"/>
      </w:r>
    </w:p>
    <w:p w14:paraId="7ADD139C" w14:textId="7439824F"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3.5.3</w:t>
      </w:r>
      <w:r>
        <w:rPr>
          <w:rFonts w:asciiTheme="minorHAnsi" w:eastAsiaTheme="minorEastAsia" w:hAnsiTheme="minorHAnsi"/>
          <w:noProof/>
          <w:kern w:val="2"/>
          <w:szCs w:val="24"/>
          <w:lang w:val="sl-SI" w:eastAsia="sl-SI"/>
          <w14:ligatures w14:val="standardContextual"/>
        </w:rPr>
        <w:tab/>
      </w:r>
      <w:r>
        <w:rPr>
          <w:noProof/>
        </w:rPr>
        <w:t>Whole-genome sequencing using Illumina short-read technology</w:t>
      </w:r>
      <w:r>
        <w:rPr>
          <w:noProof/>
        </w:rPr>
        <w:tab/>
      </w:r>
      <w:r>
        <w:rPr>
          <w:noProof/>
        </w:rPr>
        <w:fldChar w:fldCharType="begin"/>
      </w:r>
      <w:r>
        <w:rPr>
          <w:noProof/>
        </w:rPr>
        <w:instrText xml:space="preserve"> PAGEREF _Toc220591372 \h </w:instrText>
      </w:r>
      <w:r>
        <w:rPr>
          <w:noProof/>
        </w:rPr>
      </w:r>
      <w:r>
        <w:rPr>
          <w:noProof/>
        </w:rPr>
        <w:fldChar w:fldCharType="separate"/>
      </w:r>
      <w:r>
        <w:rPr>
          <w:noProof/>
        </w:rPr>
        <w:t>20</w:t>
      </w:r>
      <w:r>
        <w:rPr>
          <w:noProof/>
        </w:rPr>
        <w:fldChar w:fldCharType="end"/>
      </w:r>
    </w:p>
    <w:p w14:paraId="0E4645A1" w14:textId="5559D3D7" w:rsidR="00B41263" w:rsidRDefault="00B41263">
      <w:pPr>
        <w:pStyle w:val="TOC3"/>
        <w:tabs>
          <w:tab w:val="right" w:leader="dot" w:pos="9350"/>
        </w:tabs>
        <w:rPr>
          <w:rFonts w:asciiTheme="minorHAnsi" w:eastAsiaTheme="minorEastAsia" w:hAnsiTheme="minorHAnsi"/>
          <w:noProof/>
          <w:kern w:val="2"/>
          <w:szCs w:val="24"/>
          <w:lang w:val="sl-SI" w:eastAsia="sl-SI"/>
          <w14:ligatures w14:val="standardContextual"/>
        </w:rPr>
      </w:pPr>
      <w:r>
        <w:rPr>
          <w:noProof/>
        </w:rPr>
        <w:t>3.5.4 Whole-genome sequencing using Oxford Nanopore Technologies long-read technology</w:t>
      </w:r>
      <w:r>
        <w:rPr>
          <w:noProof/>
        </w:rPr>
        <w:tab/>
      </w:r>
      <w:r>
        <w:rPr>
          <w:noProof/>
        </w:rPr>
        <w:fldChar w:fldCharType="begin"/>
      </w:r>
      <w:r>
        <w:rPr>
          <w:noProof/>
        </w:rPr>
        <w:instrText xml:space="preserve"> PAGEREF _Toc220591373 \h </w:instrText>
      </w:r>
      <w:r>
        <w:rPr>
          <w:noProof/>
        </w:rPr>
      </w:r>
      <w:r>
        <w:rPr>
          <w:noProof/>
        </w:rPr>
        <w:fldChar w:fldCharType="separate"/>
      </w:r>
      <w:r>
        <w:rPr>
          <w:noProof/>
        </w:rPr>
        <w:t>20</w:t>
      </w:r>
      <w:r>
        <w:rPr>
          <w:noProof/>
        </w:rPr>
        <w:fldChar w:fldCharType="end"/>
      </w:r>
    </w:p>
    <w:p w14:paraId="38E9F201" w14:textId="6BF9925E"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3.6</w:t>
      </w:r>
      <w:r>
        <w:rPr>
          <w:rFonts w:asciiTheme="minorHAnsi" w:eastAsiaTheme="minorEastAsia" w:hAnsiTheme="minorHAnsi"/>
          <w:noProof/>
          <w:kern w:val="2"/>
          <w:szCs w:val="24"/>
          <w:lang w:val="sl-SI" w:eastAsia="sl-SI"/>
          <w14:ligatures w14:val="standardContextual"/>
        </w:rPr>
        <w:tab/>
      </w:r>
      <w:r>
        <w:rPr>
          <w:noProof/>
        </w:rPr>
        <w:t>DATA ANALYSIS</w:t>
      </w:r>
      <w:r>
        <w:rPr>
          <w:noProof/>
        </w:rPr>
        <w:tab/>
      </w:r>
      <w:r>
        <w:rPr>
          <w:noProof/>
        </w:rPr>
        <w:fldChar w:fldCharType="begin"/>
      </w:r>
      <w:r>
        <w:rPr>
          <w:noProof/>
        </w:rPr>
        <w:instrText xml:space="preserve"> PAGEREF _Toc220591374 \h </w:instrText>
      </w:r>
      <w:r>
        <w:rPr>
          <w:noProof/>
        </w:rPr>
      </w:r>
      <w:r>
        <w:rPr>
          <w:noProof/>
        </w:rPr>
        <w:fldChar w:fldCharType="separate"/>
      </w:r>
      <w:r>
        <w:rPr>
          <w:noProof/>
        </w:rPr>
        <w:t>20</w:t>
      </w:r>
      <w:r>
        <w:rPr>
          <w:noProof/>
        </w:rPr>
        <w:fldChar w:fldCharType="end"/>
      </w:r>
    </w:p>
    <w:p w14:paraId="01F5D2E7" w14:textId="6EBF30C4"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lastRenderedPageBreak/>
        <w:t>3.6.1</w:t>
      </w:r>
      <w:r>
        <w:rPr>
          <w:rFonts w:asciiTheme="minorHAnsi" w:eastAsiaTheme="minorEastAsia" w:hAnsiTheme="minorHAnsi"/>
          <w:noProof/>
          <w:kern w:val="2"/>
          <w:szCs w:val="24"/>
          <w:lang w:val="sl-SI" w:eastAsia="sl-SI"/>
          <w14:ligatures w14:val="standardContextual"/>
        </w:rPr>
        <w:tab/>
      </w:r>
      <w:r>
        <w:rPr>
          <w:noProof/>
        </w:rPr>
        <w:t>Amplicon data analysis</w:t>
      </w:r>
      <w:r>
        <w:rPr>
          <w:noProof/>
        </w:rPr>
        <w:tab/>
      </w:r>
      <w:r>
        <w:rPr>
          <w:noProof/>
        </w:rPr>
        <w:fldChar w:fldCharType="begin"/>
      </w:r>
      <w:r>
        <w:rPr>
          <w:noProof/>
        </w:rPr>
        <w:instrText xml:space="preserve"> PAGEREF _Toc220591375 \h </w:instrText>
      </w:r>
      <w:r>
        <w:rPr>
          <w:noProof/>
        </w:rPr>
      </w:r>
      <w:r>
        <w:rPr>
          <w:noProof/>
        </w:rPr>
        <w:fldChar w:fldCharType="separate"/>
      </w:r>
      <w:r>
        <w:rPr>
          <w:noProof/>
        </w:rPr>
        <w:t>20</w:t>
      </w:r>
      <w:r>
        <w:rPr>
          <w:noProof/>
        </w:rPr>
        <w:fldChar w:fldCharType="end"/>
      </w:r>
    </w:p>
    <w:p w14:paraId="4EA8A6C8" w14:textId="2EBFF39A"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3.6.1.1</w:t>
      </w:r>
      <w:r>
        <w:rPr>
          <w:rFonts w:asciiTheme="minorHAnsi" w:eastAsiaTheme="minorEastAsia" w:hAnsiTheme="minorHAnsi"/>
          <w:noProof/>
          <w:kern w:val="2"/>
          <w:szCs w:val="24"/>
          <w:lang w:val="sl-SI" w:eastAsia="sl-SI"/>
          <w14:ligatures w14:val="standardContextual"/>
        </w:rPr>
        <w:tab/>
      </w:r>
      <w:r>
        <w:rPr>
          <w:noProof/>
        </w:rPr>
        <w:t>Preprocessing</w:t>
      </w:r>
      <w:r>
        <w:rPr>
          <w:noProof/>
        </w:rPr>
        <w:tab/>
      </w:r>
      <w:r>
        <w:rPr>
          <w:noProof/>
        </w:rPr>
        <w:fldChar w:fldCharType="begin"/>
      </w:r>
      <w:r>
        <w:rPr>
          <w:noProof/>
        </w:rPr>
        <w:instrText xml:space="preserve"> PAGEREF _Toc220591376 \h </w:instrText>
      </w:r>
      <w:r>
        <w:rPr>
          <w:noProof/>
        </w:rPr>
      </w:r>
      <w:r>
        <w:rPr>
          <w:noProof/>
        </w:rPr>
        <w:fldChar w:fldCharType="separate"/>
      </w:r>
      <w:r>
        <w:rPr>
          <w:noProof/>
        </w:rPr>
        <w:t>20</w:t>
      </w:r>
      <w:r>
        <w:rPr>
          <w:noProof/>
        </w:rPr>
        <w:fldChar w:fldCharType="end"/>
      </w:r>
    </w:p>
    <w:p w14:paraId="37132FB5" w14:textId="00752362"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3.6.1.2</w:t>
      </w:r>
      <w:r>
        <w:rPr>
          <w:rFonts w:asciiTheme="minorHAnsi" w:eastAsiaTheme="minorEastAsia" w:hAnsiTheme="minorHAnsi"/>
          <w:noProof/>
          <w:kern w:val="2"/>
          <w:szCs w:val="24"/>
          <w:lang w:val="sl-SI" w:eastAsia="sl-SI"/>
          <w14:ligatures w14:val="standardContextual"/>
        </w:rPr>
        <w:tab/>
      </w:r>
      <w:r>
        <w:rPr>
          <w:noProof/>
        </w:rPr>
        <w:t>Criteria for determination of ethanol resistant and ethanol non-resistant OTUs in the longitudinal study</w:t>
      </w:r>
      <w:r>
        <w:rPr>
          <w:noProof/>
        </w:rPr>
        <w:tab/>
      </w:r>
      <w:r>
        <w:rPr>
          <w:noProof/>
        </w:rPr>
        <w:fldChar w:fldCharType="begin"/>
      </w:r>
      <w:r>
        <w:rPr>
          <w:noProof/>
        </w:rPr>
        <w:instrText xml:space="preserve"> PAGEREF _Toc220591377 \h </w:instrText>
      </w:r>
      <w:r>
        <w:rPr>
          <w:noProof/>
        </w:rPr>
      </w:r>
      <w:r>
        <w:rPr>
          <w:noProof/>
        </w:rPr>
        <w:fldChar w:fldCharType="separate"/>
      </w:r>
      <w:r>
        <w:rPr>
          <w:noProof/>
        </w:rPr>
        <w:t>21</w:t>
      </w:r>
      <w:r>
        <w:rPr>
          <w:noProof/>
        </w:rPr>
        <w:fldChar w:fldCharType="end"/>
      </w:r>
    </w:p>
    <w:p w14:paraId="761A168E" w14:textId="772E3253"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3.6.1.3</w:t>
      </w:r>
      <w:r>
        <w:rPr>
          <w:rFonts w:asciiTheme="minorHAnsi" w:eastAsiaTheme="minorEastAsia" w:hAnsiTheme="minorHAnsi"/>
          <w:noProof/>
          <w:kern w:val="2"/>
          <w:szCs w:val="24"/>
          <w:lang w:val="sl-SI" w:eastAsia="sl-SI"/>
          <w14:ligatures w14:val="standardContextual"/>
        </w:rPr>
        <w:tab/>
      </w:r>
      <w:r>
        <w:rPr>
          <w:noProof/>
        </w:rPr>
        <w:t>Bacterial diversity and community composition analysis</w:t>
      </w:r>
      <w:r>
        <w:rPr>
          <w:noProof/>
        </w:rPr>
        <w:tab/>
      </w:r>
      <w:r>
        <w:rPr>
          <w:noProof/>
        </w:rPr>
        <w:fldChar w:fldCharType="begin"/>
      </w:r>
      <w:r>
        <w:rPr>
          <w:noProof/>
        </w:rPr>
        <w:instrText xml:space="preserve"> PAGEREF _Toc220591378 \h </w:instrText>
      </w:r>
      <w:r>
        <w:rPr>
          <w:noProof/>
        </w:rPr>
      </w:r>
      <w:r>
        <w:rPr>
          <w:noProof/>
        </w:rPr>
        <w:fldChar w:fldCharType="separate"/>
      </w:r>
      <w:r>
        <w:rPr>
          <w:noProof/>
        </w:rPr>
        <w:t>21</w:t>
      </w:r>
      <w:r>
        <w:rPr>
          <w:noProof/>
        </w:rPr>
        <w:fldChar w:fldCharType="end"/>
      </w:r>
    </w:p>
    <w:p w14:paraId="61E043B0" w14:textId="3690520C"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3.6.1.4</w:t>
      </w:r>
      <w:r>
        <w:rPr>
          <w:rFonts w:asciiTheme="minorHAnsi" w:eastAsiaTheme="minorEastAsia" w:hAnsiTheme="minorHAnsi"/>
          <w:noProof/>
          <w:kern w:val="2"/>
          <w:szCs w:val="24"/>
          <w:lang w:val="sl-SI" w:eastAsia="sl-SI"/>
          <w14:ligatures w14:val="standardContextual"/>
        </w:rPr>
        <w:tab/>
      </w:r>
      <w:r>
        <w:rPr>
          <w:noProof/>
        </w:rPr>
        <w:t>Sporulation frequency calculation and analysis of host, time, and OTU-specific influences</w:t>
      </w:r>
      <w:r>
        <w:rPr>
          <w:noProof/>
        </w:rPr>
        <w:tab/>
      </w:r>
      <w:r>
        <w:rPr>
          <w:noProof/>
        </w:rPr>
        <w:fldChar w:fldCharType="begin"/>
      </w:r>
      <w:r>
        <w:rPr>
          <w:noProof/>
        </w:rPr>
        <w:instrText xml:space="preserve"> PAGEREF _Toc220591379 \h </w:instrText>
      </w:r>
      <w:r>
        <w:rPr>
          <w:noProof/>
        </w:rPr>
      </w:r>
      <w:r>
        <w:rPr>
          <w:noProof/>
        </w:rPr>
        <w:fldChar w:fldCharType="separate"/>
      </w:r>
      <w:r>
        <w:rPr>
          <w:noProof/>
        </w:rPr>
        <w:t>21</w:t>
      </w:r>
      <w:r>
        <w:rPr>
          <w:noProof/>
        </w:rPr>
        <w:fldChar w:fldCharType="end"/>
      </w:r>
    </w:p>
    <w:p w14:paraId="7391ABBF" w14:textId="2ECDFBBA"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3.6.2</w:t>
      </w:r>
      <w:r>
        <w:rPr>
          <w:rFonts w:asciiTheme="minorHAnsi" w:eastAsiaTheme="minorEastAsia" w:hAnsiTheme="minorHAnsi"/>
          <w:noProof/>
          <w:kern w:val="2"/>
          <w:szCs w:val="24"/>
          <w:lang w:val="sl-SI" w:eastAsia="sl-SI"/>
          <w14:ligatures w14:val="standardContextual"/>
        </w:rPr>
        <w:tab/>
      </w:r>
      <w:r>
        <w:rPr>
          <w:noProof/>
        </w:rPr>
        <w:t>Shotgun metagenomic data analysis</w:t>
      </w:r>
      <w:r>
        <w:rPr>
          <w:noProof/>
        </w:rPr>
        <w:tab/>
      </w:r>
      <w:r>
        <w:rPr>
          <w:noProof/>
        </w:rPr>
        <w:fldChar w:fldCharType="begin"/>
      </w:r>
      <w:r>
        <w:rPr>
          <w:noProof/>
        </w:rPr>
        <w:instrText xml:space="preserve"> PAGEREF _Toc220591380 \h </w:instrText>
      </w:r>
      <w:r>
        <w:rPr>
          <w:noProof/>
        </w:rPr>
      </w:r>
      <w:r>
        <w:rPr>
          <w:noProof/>
        </w:rPr>
        <w:fldChar w:fldCharType="separate"/>
      </w:r>
      <w:r>
        <w:rPr>
          <w:noProof/>
        </w:rPr>
        <w:t>22</w:t>
      </w:r>
      <w:r>
        <w:rPr>
          <w:noProof/>
        </w:rPr>
        <w:fldChar w:fldCharType="end"/>
      </w:r>
    </w:p>
    <w:p w14:paraId="3676C569" w14:textId="174DA506"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3.6.2.1</w:t>
      </w:r>
      <w:r>
        <w:rPr>
          <w:rFonts w:asciiTheme="minorHAnsi" w:eastAsiaTheme="minorEastAsia" w:hAnsiTheme="minorHAnsi"/>
          <w:noProof/>
          <w:kern w:val="2"/>
          <w:szCs w:val="24"/>
          <w:lang w:val="sl-SI" w:eastAsia="sl-SI"/>
          <w14:ligatures w14:val="standardContextual"/>
        </w:rPr>
        <w:tab/>
      </w:r>
      <w:r w:rsidRPr="00E85360">
        <w:rPr>
          <w:noProof/>
        </w:rPr>
        <w:t>Preprocessing</w:t>
      </w:r>
      <w:r>
        <w:rPr>
          <w:noProof/>
        </w:rPr>
        <w:tab/>
      </w:r>
      <w:r>
        <w:rPr>
          <w:noProof/>
        </w:rPr>
        <w:fldChar w:fldCharType="begin"/>
      </w:r>
      <w:r>
        <w:rPr>
          <w:noProof/>
        </w:rPr>
        <w:instrText xml:space="preserve"> PAGEREF _Toc220591381 \h </w:instrText>
      </w:r>
      <w:r>
        <w:rPr>
          <w:noProof/>
        </w:rPr>
      </w:r>
      <w:r>
        <w:rPr>
          <w:noProof/>
        </w:rPr>
        <w:fldChar w:fldCharType="separate"/>
      </w:r>
      <w:r>
        <w:rPr>
          <w:noProof/>
        </w:rPr>
        <w:t>22</w:t>
      </w:r>
      <w:r>
        <w:rPr>
          <w:noProof/>
        </w:rPr>
        <w:fldChar w:fldCharType="end"/>
      </w:r>
    </w:p>
    <w:p w14:paraId="05800CEA" w14:textId="2EB673A4"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3.6.2.2</w:t>
      </w:r>
      <w:r>
        <w:rPr>
          <w:rFonts w:asciiTheme="minorHAnsi" w:eastAsiaTheme="minorEastAsia" w:hAnsiTheme="minorHAnsi"/>
          <w:noProof/>
          <w:kern w:val="2"/>
          <w:szCs w:val="24"/>
          <w:lang w:val="sl-SI" w:eastAsia="sl-SI"/>
          <w14:ligatures w14:val="standardContextual"/>
        </w:rPr>
        <w:tab/>
      </w:r>
      <w:r>
        <w:rPr>
          <w:noProof/>
        </w:rPr>
        <w:t>Bacterial, eukaryotic, archaeal and viral community composition analysis</w:t>
      </w:r>
      <w:r>
        <w:rPr>
          <w:noProof/>
        </w:rPr>
        <w:tab/>
      </w:r>
      <w:r>
        <w:rPr>
          <w:noProof/>
        </w:rPr>
        <w:fldChar w:fldCharType="begin"/>
      </w:r>
      <w:r>
        <w:rPr>
          <w:noProof/>
        </w:rPr>
        <w:instrText xml:space="preserve"> PAGEREF _Toc220591382 \h </w:instrText>
      </w:r>
      <w:r>
        <w:rPr>
          <w:noProof/>
        </w:rPr>
      </w:r>
      <w:r>
        <w:rPr>
          <w:noProof/>
        </w:rPr>
        <w:fldChar w:fldCharType="separate"/>
      </w:r>
      <w:r>
        <w:rPr>
          <w:noProof/>
        </w:rPr>
        <w:t>22</w:t>
      </w:r>
      <w:r>
        <w:rPr>
          <w:noProof/>
        </w:rPr>
        <w:fldChar w:fldCharType="end"/>
      </w:r>
    </w:p>
    <w:p w14:paraId="1C7C103A" w14:textId="33D6D55D"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3.6.2.3</w:t>
      </w:r>
      <w:r>
        <w:rPr>
          <w:rFonts w:asciiTheme="minorHAnsi" w:eastAsiaTheme="minorEastAsia" w:hAnsiTheme="minorHAnsi"/>
          <w:noProof/>
          <w:kern w:val="2"/>
          <w:szCs w:val="24"/>
          <w:lang w:val="sl-SI" w:eastAsia="sl-SI"/>
          <w14:ligatures w14:val="standardContextual"/>
        </w:rPr>
        <w:tab/>
      </w:r>
      <w:r>
        <w:rPr>
          <w:noProof/>
        </w:rPr>
        <w:t>Gene-based determination of sporulation capacity for bacterial species</w:t>
      </w:r>
      <w:r>
        <w:rPr>
          <w:noProof/>
        </w:rPr>
        <w:tab/>
      </w:r>
      <w:r>
        <w:rPr>
          <w:noProof/>
        </w:rPr>
        <w:fldChar w:fldCharType="begin"/>
      </w:r>
      <w:r>
        <w:rPr>
          <w:noProof/>
        </w:rPr>
        <w:instrText xml:space="preserve"> PAGEREF _Toc220591383 \h </w:instrText>
      </w:r>
      <w:r>
        <w:rPr>
          <w:noProof/>
        </w:rPr>
      </w:r>
      <w:r>
        <w:rPr>
          <w:noProof/>
        </w:rPr>
        <w:fldChar w:fldCharType="separate"/>
      </w:r>
      <w:r>
        <w:rPr>
          <w:noProof/>
        </w:rPr>
        <w:t>23</w:t>
      </w:r>
      <w:r>
        <w:rPr>
          <w:noProof/>
        </w:rPr>
        <w:fldChar w:fldCharType="end"/>
      </w:r>
    </w:p>
    <w:p w14:paraId="5E8742C8" w14:textId="23F81817"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3.6.2.4</w:t>
      </w:r>
      <w:r>
        <w:rPr>
          <w:rFonts w:asciiTheme="minorHAnsi" w:eastAsiaTheme="minorEastAsia" w:hAnsiTheme="minorHAnsi"/>
          <w:noProof/>
          <w:kern w:val="2"/>
          <w:szCs w:val="24"/>
          <w:lang w:val="sl-SI" w:eastAsia="sl-SI"/>
          <w14:ligatures w14:val="standardContextual"/>
        </w:rPr>
        <w:tab/>
      </w:r>
      <w:r>
        <w:rPr>
          <w:noProof/>
        </w:rPr>
        <w:t>Determination of ethanol-resistant bacterial species</w:t>
      </w:r>
      <w:r>
        <w:rPr>
          <w:noProof/>
        </w:rPr>
        <w:tab/>
      </w:r>
      <w:r>
        <w:rPr>
          <w:noProof/>
        </w:rPr>
        <w:fldChar w:fldCharType="begin"/>
      </w:r>
      <w:r>
        <w:rPr>
          <w:noProof/>
        </w:rPr>
        <w:instrText xml:space="preserve"> PAGEREF _Toc220591384 \h </w:instrText>
      </w:r>
      <w:r>
        <w:rPr>
          <w:noProof/>
        </w:rPr>
      </w:r>
      <w:r>
        <w:rPr>
          <w:noProof/>
        </w:rPr>
        <w:fldChar w:fldCharType="separate"/>
      </w:r>
      <w:r>
        <w:rPr>
          <w:noProof/>
        </w:rPr>
        <w:t>23</w:t>
      </w:r>
      <w:r>
        <w:rPr>
          <w:noProof/>
        </w:rPr>
        <w:fldChar w:fldCharType="end"/>
      </w:r>
    </w:p>
    <w:p w14:paraId="0619D7F7" w14:textId="25B49E6C"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3.6.2.5</w:t>
      </w:r>
      <w:r>
        <w:rPr>
          <w:rFonts w:asciiTheme="minorHAnsi" w:eastAsiaTheme="minorEastAsia" w:hAnsiTheme="minorHAnsi"/>
          <w:noProof/>
          <w:kern w:val="2"/>
          <w:szCs w:val="24"/>
          <w:lang w:val="sl-SI" w:eastAsia="sl-SI"/>
          <w14:ligatures w14:val="standardContextual"/>
        </w:rPr>
        <w:tab/>
      </w:r>
      <w:r>
        <w:rPr>
          <w:noProof/>
        </w:rPr>
        <w:t>Antibiotic resistance gene analysis</w:t>
      </w:r>
      <w:r>
        <w:rPr>
          <w:noProof/>
        </w:rPr>
        <w:tab/>
      </w:r>
      <w:r>
        <w:rPr>
          <w:noProof/>
        </w:rPr>
        <w:fldChar w:fldCharType="begin"/>
      </w:r>
      <w:r>
        <w:rPr>
          <w:noProof/>
        </w:rPr>
        <w:instrText xml:space="preserve"> PAGEREF _Toc220591385 \h </w:instrText>
      </w:r>
      <w:r>
        <w:rPr>
          <w:noProof/>
        </w:rPr>
      </w:r>
      <w:r>
        <w:rPr>
          <w:noProof/>
        </w:rPr>
        <w:fldChar w:fldCharType="separate"/>
      </w:r>
      <w:r>
        <w:rPr>
          <w:noProof/>
        </w:rPr>
        <w:t>23</w:t>
      </w:r>
      <w:r>
        <w:rPr>
          <w:noProof/>
        </w:rPr>
        <w:fldChar w:fldCharType="end"/>
      </w:r>
    </w:p>
    <w:p w14:paraId="287EC206" w14:textId="17685499"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3.7</w:t>
      </w:r>
      <w:r>
        <w:rPr>
          <w:rFonts w:asciiTheme="minorHAnsi" w:eastAsiaTheme="minorEastAsia" w:hAnsiTheme="minorHAnsi"/>
          <w:noProof/>
          <w:kern w:val="2"/>
          <w:szCs w:val="24"/>
          <w:lang w:val="sl-SI" w:eastAsia="sl-SI"/>
          <w14:ligatures w14:val="standardContextual"/>
        </w:rPr>
        <w:tab/>
      </w:r>
      <w:r>
        <w:rPr>
          <w:noProof/>
        </w:rPr>
        <w:t>CULTIVATION AND MOLECULAR CHARACTERISATION OF SELECTED SPORE-FORMING BACTERIA FROM HUMAN STOOL SAMPLES</w:t>
      </w:r>
      <w:r>
        <w:rPr>
          <w:noProof/>
        </w:rPr>
        <w:tab/>
      </w:r>
      <w:r>
        <w:rPr>
          <w:noProof/>
        </w:rPr>
        <w:fldChar w:fldCharType="begin"/>
      </w:r>
      <w:r>
        <w:rPr>
          <w:noProof/>
        </w:rPr>
        <w:instrText xml:space="preserve"> PAGEREF _Toc220591386 \h </w:instrText>
      </w:r>
      <w:r>
        <w:rPr>
          <w:noProof/>
        </w:rPr>
      </w:r>
      <w:r>
        <w:rPr>
          <w:noProof/>
        </w:rPr>
        <w:fldChar w:fldCharType="separate"/>
      </w:r>
      <w:r>
        <w:rPr>
          <w:noProof/>
        </w:rPr>
        <w:t>24</w:t>
      </w:r>
      <w:r>
        <w:rPr>
          <w:noProof/>
        </w:rPr>
        <w:fldChar w:fldCharType="end"/>
      </w:r>
    </w:p>
    <w:p w14:paraId="21E628DD" w14:textId="54757AE1"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3.7.1</w:t>
      </w:r>
      <w:r>
        <w:rPr>
          <w:rFonts w:asciiTheme="minorHAnsi" w:eastAsiaTheme="minorEastAsia" w:hAnsiTheme="minorHAnsi"/>
          <w:noProof/>
          <w:kern w:val="2"/>
          <w:szCs w:val="24"/>
          <w:lang w:val="sl-SI" w:eastAsia="sl-SI"/>
          <w14:ligatures w14:val="standardContextual"/>
        </w:rPr>
        <w:tab/>
      </w:r>
      <w:r>
        <w:rPr>
          <w:noProof/>
        </w:rPr>
        <w:t>Isolation of selected spore-forming bacteria from ethanol treated stool samples</w:t>
      </w:r>
      <w:r>
        <w:rPr>
          <w:noProof/>
        </w:rPr>
        <w:tab/>
      </w:r>
      <w:r>
        <w:rPr>
          <w:noProof/>
        </w:rPr>
        <w:fldChar w:fldCharType="begin"/>
      </w:r>
      <w:r>
        <w:rPr>
          <w:noProof/>
        </w:rPr>
        <w:instrText xml:space="preserve"> PAGEREF _Toc220591387 \h </w:instrText>
      </w:r>
      <w:r>
        <w:rPr>
          <w:noProof/>
        </w:rPr>
      </w:r>
      <w:r>
        <w:rPr>
          <w:noProof/>
        </w:rPr>
        <w:fldChar w:fldCharType="separate"/>
      </w:r>
      <w:r>
        <w:rPr>
          <w:noProof/>
        </w:rPr>
        <w:t>24</w:t>
      </w:r>
      <w:r>
        <w:rPr>
          <w:noProof/>
        </w:rPr>
        <w:fldChar w:fldCharType="end"/>
      </w:r>
    </w:p>
    <w:p w14:paraId="15BA611B" w14:textId="75BA383F"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3.7.2</w:t>
      </w:r>
      <w:r>
        <w:rPr>
          <w:rFonts w:asciiTheme="minorHAnsi" w:eastAsiaTheme="minorEastAsia" w:hAnsiTheme="minorHAnsi"/>
          <w:noProof/>
          <w:kern w:val="2"/>
          <w:szCs w:val="24"/>
          <w:lang w:val="sl-SI" w:eastAsia="sl-SI"/>
          <w14:ligatures w14:val="standardContextual"/>
        </w:rPr>
        <w:tab/>
      </w:r>
      <w:r>
        <w:rPr>
          <w:noProof/>
        </w:rPr>
        <w:t>Analysis of whole-genome sequencing reads</w:t>
      </w:r>
      <w:r>
        <w:rPr>
          <w:noProof/>
        </w:rPr>
        <w:tab/>
      </w:r>
      <w:r>
        <w:rPr>
          <w:noProof/>
        </w:rPr>
        <w:fldChar w:fldCharType="begin"/>
      </w:r>
      <w:r>
        <w:rPr>
          <w:noProof/>
        </w:rPr>
        <w:instrText xml:space="preserve"> PAGEREF _Toc220591388 \h </w:instrText>
      </w:r>
      <w:r>
        <w:rPr>
          <w:noProof/>
        </w:rPr>
      </w:r>
      <w:r>
        <w:rPr>
          <w:noProof/>
        </w:rPr>
        <w:fldChar w:fldCharType="separate"/>
      </w:r>
      <w:r>
        <w:rPr>
          <w:noProof/>
        </w:rPr>
        <w:t>25</w:t>
      </w:r>
      <w:r>
        <w:rPr>
          <w:noProof/>
        </w:rPr>
        <w:fldChar w:fldCharType="end"/>
      </w:r>
    </w:p>
    <w:p w14:paraId="2A2C12D7" w14:textId="769FEAB9"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3.7.2.1</w:t>
      </w:r>
      <w:r>
        <w:rPr>
          <w:rFonts w:asciiTheme="minorHAnsi" w:eastAsiaTheme="minorEastAsia" w:hAnsiTheme="minorHAnsi"/>
          <w:noProof/>
          <w:kern w:val="2"/>
          <w:szCs w:val="24"/>
          <w:lang w:val="sl-SI" w:eastAsia="sl-SI"/>
          <w14:ligatures w14:val="standardContextual"/>
        </w:rPr>
        <w:tab/>
      </w:r>
      <w:r>
        <w:rPr>
          <w:noProof/>
        </w:rPr>
        <w:t>Preprocessing and assembly of short-read sequences</w:t>
      </w:r>
      <w:r>
        <w:rPr>
          <w:noProof/>
        </w:rPr>
        <w:tab/>
      </w:r>
      <w:r>
        <w:rPr>
          <w:noProof/>
        </w:rPr>
        <w:fldChar w:fldCharType="begin"/>
      </w:r>
      <w:r>
        <w:rPr>
          <w:noProof/>
        </w:rPr>
        <w:instrText xml:space="preserve"> PAGEREF _Toc220591389 \h </w:instrText>
      </w:r>
      <w:r>
        <w:rPr>
          <w:noProof/>
        </w:rPr>
      </w:r>
      <w:r>
        <w:rPr>
          <w:noProof/>
        </w:rPr>
        <w:fldChar w:fldCharType="separate"/>
      </w:r>
      <w:r>
        <w:rPr>
          <w:noProof/>
        </w:rPr>
        <w:t>25</w:t>
      </w:r>
      <w:r>
        <w:rPr>
          <w:noProof/>
        </w:rPr>
        <w:fldChar w:fldCharType="end"/>
      </w:r>
    </w:p>
    <w:p w14:paraId="77DB8743" w14:textId="4E41165F"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3.7.2.2</w:t>
      </w:r>
      <w:r>
        <w:rPr>
          <w:rFonts w:asciiTheme="minorHAnsi" w:eastAsiaTheme="minorEastAsia" w:hAnsiTheme="minorHAnsi"/>
          <w:noProof/>
          <w:kern w:val="2"/>
          <w:szCs w:val="24"/>
          <w:lang w:val="sl-SI" w:eastAsia="sl-SI"/>
          <w14:ligatures w14:val="standardContextual"/>
        </w:rPr>
        <w:tab/>
      </w:r>
      <w:r>
        <w:rPr>
          <w:noProof/>
        </w:rPr>
        <w:t>Average nucleotide identity (ANI)</w:t>
      </w:r>
      <w:r>
        <w:rPr>
          <w:noProof/>
        </w:rPr>
        <w:tab/>
      </w:r>
      <w:r>
        <w:rPr>
          <w:noProof/>
        </w:rPr>
        <w:fldChar w:fldCharType="begin"/>
      </w:r>
      <w:r>
        <w:rPr>
          <w:noProof/>
        </w:rPr>
        <w:instrText xml:space="preserve"> PAGEREF _Toc220591390 \h </w:instrText>
      </w:r>
      <w:r>
        <w:rPr>
          <w:noProof/>
        </w:rPr>
      </w:r>
      <w:r>
        <w:rPr>
          <w:noProof/>
        </w:rPr>
        <w:fldChar w:fldCharType="separate"/>
      </w:r>
      <w:r>
        <w:rPr>
          <w:noProof/>
        </w:rPr>
        <w:t>25</w:t>
      </w:r>
      <w:r>
        <w:rPr>
          <w:noProof/>
        </w:rPr>
        <w:fldChar w:fldCharType="end"/>
      </w:r>
    </w:p>
    <w:p w14:paraId="3BE10848" w14:textId="60D59AA4"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3.7.2.3</w:t>
      </w:r>
      <w:r>
        <w:rPr>
          <w:rFonts w:asciiTheme="minorHAnsi" w:eastAsiaTheme="minorEastAsia" w:hAnsiTheme="minorHAnsi"/>
          <w:noProof/>
          <w:kern w:val="2"/>
          <w:szCs w:val="24"/>
          <w:lang w:val="sl-SI" w:eastAsia="sl-SI"/>
          <w14:ligatures w14:val="standardContextual"/>
        </w:rPr>
        <w:tab/>
      </w:r>
      <w:r>
        <w:rPr>
          <w:noProof/>
        </w:rPr>
        <w:t>SNP analysis</w:t>
      </w:r>
      <w:r>
        <w:rPr>
          <w:noProof/>
        </w:rPr>
        <w:tab/>
      </w:r>
      <w:r>
        <w:rPr>
          <w:noProof/>
        </w:rPr>
        <w:fldChar w:fldCharType="begin"/>
      </w:r>
      <w:r>
        <w:rPr>
          <w:noProof/>
        </w:rPr>
        <w:instrText xml:space="preserve"> PAGEREF _Toc220591391 \h </w:instrText>
      </w:r>
      <w:r>
        <w:rPr>
          <w:noProof/>
        </w:rPr>
      </w:r>
      <w:r>
        <w:rPr>
          <w:noProof/>
        </w:rPr>
        <w:fldChar w:fldCharType="separate"/>
      </w:r>
      <w:r>
        <w:rPr>
          <w:noProof/>
        </w:rPr>
        <w:t>26</w:t>
      </w:r>
      <w:r>
        <w:rPr>
          <w:noProof/>
        </w:rPr>
        <w:fldChar w:fldCharType="end"/>
      </w:r>
    </w:p>
    <w:p w14:paraId="43077E35" w14:textId="2B41E462"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3.7.2.4</w:t>
      </w:r>
      <w:r>
        <w:rPr>
          <w:rFonts w:asciiTheme="minorHAnsi" w:eastAsiaTheme="minorEastAsia" w:hAnsiTheme="minorHAnsi"/>
          <w:noProof/>
          <w:kern w:val="2"/>
          <w:szCs w:val="24"/>
          <w:lang w:val="sl-SI" w:eastAsia="sl-SI"/>
          <w14:ligatures w14:val="standardContextual"/>
        </w:rPr>
        <w:tab/>
      </w:r>
      <w:r>
        <w:rPr>
          <w:noProof/>
        </w:rPr>
        <w:t>Preprocessing of long-read sequences and hybrid assembly</w:t>
      </w:r>
      <w:r>
        <w:rPr>
          <w:noProof/>
        </w:rPr>
        <w:tab/>
      </w:r>
      <w:r>
        <w:rPr>
          <w:noProof/>
        </w:rPr>
        <w:fldChar w:fldCharType="begin"/>
      </w:r>
      <w:r>
        <w:rPr>
          <w:noProof/>
        </w:rPr>
        <w:instrText xml:space="preserve"> PAGEREF _Toc220591392 \h </w:instrText>
      </w:r>
      <w:r>
        <w:rPr>
          <w:noProof/>
        </w:rPr>
      </w:r>
      <w:r>
        <w:rPr>
          <w:noProof/>
        </w:rPr>
        <w:fldChar w:fldCharType="separate"/>
      </w:r>
      <w:r>
        <w:rPr>
          <w:noProof/>
        </w:rPr>
        <w:t>26</w:t>
      </w:r>
      <w:r>
        <w:rPr>
          <w:noProof/>
        </w:rPr>
        <w:fldChar w:fldCharType="end"/>
      </w:r>
    </w:p>
    <w:p w14:paraId="11819F1C" w14:textId="3FB02A50"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3.7.2.5</w:t>
      </w:r>
      <w:r>
        <w:rPr>
          <w:rFonts w:asciiTheme="minorHAnsi" w:eastAsiaTheme="minorEastAsia" w:hAnsiTheme="minorHAnsi"/>
          <w:noProof/>
          <w:kern w:val="2"/>
          <w:szCs w:val="24"/>
          <w:lang w:val="sl-SI" w:eastAsia="sl-SI"/>
          <w14:ligatures w14:val="standardContextual"/>
        </w:rPr>
        <w:tab/>
      </w:r>
      <w:r>
        <w:rPr>
          <w:noProof/>
        </w:rPr>
        <w:t>Pan-genome analysis, ANI score and SNP analysis with hybrid assemblies included</w:t>
      </w:r>
      <w:r>
        <w:rPr>
          <w:noProof/>
        </w:rPr>
        <w:tab/>
      </w:r>
      <w:r>
        <w:rPr>
          <w:noProof/>
        </w:rPr>
        <w:fldChar w:fldCharType="begin"/>
      </w:r>
      <w:r>
        <w:rPr>
          <w:noProof/>
        </w:rPr>
        <w:instrText xml:space="preserve"> PAGEREF _Toc220591393 \h </w:instrText>
      </w:r>
      <w:r>
        <w:rPr>
          <w:noProof/>
        </w:rPr>
      </w:r>
      <w:r>
        <w:rPr>
          <w:noProof/>
        </w:rPr>
        <w:fldChar w:fldCharType="separate"/>
      </w:r>
      <w:r>
        <w:rPr>
          <w:noProof/>
        </w:rPr>
        <w:t>26</w:t>
      </w:r>
      <w:r>
        <w:rPr>
          <w:noProof/>
        </w:rPr>
        <w:fldChar w:fldCharType="end"/>
      </w:r>
    </w:p>
    <w:p w14:paraId="34C19F35" w14:textId="09A263B7" w:rsidR="00B41263" w:rsidRDefault="00B41263">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r w:rsidRPr="00E85360">
        <w:rPr>
          <w:noProof/>
        </w:rPr>
        <w:t>3.7.2.6</w:t>
      </w:r>
      <w:r>
        <w:rPr>
          <w:rFonts w:asciiTheme="minorHAnsi" w:eastAsiaTheme="minorEastAsia" w:hAnsiTheme="minorHAnsi"/>
          <w:noProof/>
          <w:kern w:val="2"/>
          <w:szCs w:val="24"/>
          <w:lang w:val="sl-SI" w:eastAsia="sl-SI"/>
          <w14:ligatures w14:val="standardContextual"/>
        </w:rPr>
        <w:tab/>
      </w:r>
      <w:r>
        <w:rPr>
          <w:noProof/>
        </w:rPr>
        <w:t xml:space="preserve">Analysis of </w:t>
      </w:r>
      <w:r w:rsidRPr="00E85360">
        <w:rPr>
          <w:i/>
          <w:noProof/>
        </w:rPr>
        <w:t>C. saudiense</w:t>
      </w:r>
      <w:r>
        <w:rPr>
          <w:noProof/>
        </w:rPr>
        <w:t xml:space="preserve"> in shotgun metagenomic samples</w:t>
      </w:r>
      <w:r>
        <w:rPr>
          <w:noProof/>
        </w:rPr>
        <w:tab/>
      </w:r>
      <w:r>
        <w:rPr>
          <w:noProof/>
        </w:rPr>
        <w:fldChar w:fldCharType="begin"/>
      </w:r>
      <w:r>
        <w:rPr>
          <w:noProof/>
        </w:rPr>
        <w:instrText xml:space="preserve"> PAGEREF _Toc220591394 \h </w:instrText>
      </w:r>
      <w:r>
        <w:rPr>
          <w:noProof/>
        </w:rPr>
      </w:r>
      <w:r>
        <w:rPr>
          <w:noProof/>
        </w:rPr>
        <w:fldChar w:fldCharType="separate"/>
      </w:r>
      <w:r>
        <w:rPr>
          <w:noProof/>
        </w:rPr>
        <w:t>27</w:t>
      </w:r>
      <w:r>
        <w:rPr>
          <w:noProof/>
        </w:rPr>
        <w:fldChar w:fldCharType="end"/>
      </w:r>
    </w:p>
    <w:p w14:paraId="03058A47" w14:textId="3C9C9632" w:rsidR="00B41263" w:rsidRDefault="00B4126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Pr>
          <w:noProof/>
        </w:rPr>
        <w:t>4</w:t>
      </w:r>
      <w:r>
        <w:rPr>
          <w:rFonts w:asciiTheme="minorHAnsi" w:eastAsiaTheme="minorEastAsia" w:hAnsiTheme="minorHAnsi"/>
          <w:noProof/>
          <w:kern w:val="2"/>
          <w:szCs w:val="24"/>
          <w:lang w:val="sl-SI" w:eastAsia="sl-SI"/>
          <w14:ligatures w14:val="standardContextual"/>
        </w:rPr>
        <w:tab/>
      </w:r>
      <w:r>
        <w:rPr>
          <w:noProof/>
        </w:rPr>
        <w:t>RESULTS</w:t>
      </w:r>
      <w:r>
        <w:rPr>
          <w:noProof/>
        </w:rPr>
        <w:tab/>
      </w:r>
      <w:r>
        <w:rPr>
          <w:noProof/>
        </w:rPr>
        <w:fldChar w:fldCharType="begin"/>
      </w:r>
      <w:r>
        <w:rPr>
          <w:noProof/>
        </w:rPr>
        <w:instrText xml:space="preserve"> PAGEREF _Toc220591395 \h </w:instrText>
      </w:r>
      <w:r>
        <w:rPr>
          <w:noProof/>
        </w:rPr>
      </w:r>
      <w:r>
        <w:rPr>
          <w:noProof/>
        </w:rPr>
        <w:fldChar w:fldCharType="separate"/>
      </w:r>
      <w:r>
        <w:rPr>
          <w:noProof/>
        </w:rPr>
        <w:t>28</w:t>
      </w:r>
      <w:r>
        <w:rPr>
          <w:noProof/>
        </w:rPr>
        <w:fldChar w:fldCharType="end"/>
      </w:r>
    </w:p>
    <w:p w14:paraId="069666FD" w14:textId="117E7E0E"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4.1</w:t>
      </w:r>
      <w:r>
        <w:rPr>
          <w:rFonts w:asciiTheme="minorHAnsi" w:eastAsiaTheme="minorEastAsia" w:hAnsiTheme="minorHAnsi"/>
          <w:noProof/>
          <w:kern w:val="2"/>
          <w:szCs w:val="24"/>
          <w:lang w:val="sl-SI" w:eastAsia="sl-SI"/>
          <w14:ligatures w14:val="standardContextual"/>
        </w:rPr>
        <w:tab/>
      </w:r>
      <w:r>
        <w:rPr>
          <w:noProof/>
        </w:rPr>
        <w:t xml:space="preserve">COMPARISON OF ISOLATION PROTOCOLS FOR BACTERIAL DNA FROM HUMAN STOOL SAMPLES </w:t>
      </w:r>
      <w:r>
        <w:rPr>
          <w:noProof/>
        </w:rPr>
        <w:tab/>
      </w:r>
      <w:r>
        <w:rPr>
          <w:noProof/>
        </w:rPr>
        <w:fldChar w:fldCharType="begin"/>
      </w:r>
      <w:r>
        <w:rPr>
          <w:noProof/>
        </w:rPr>
        <w:instrText xml:space="preserve"> PAGEREF _Toc220591396 \h </w:instrText>
      </w:r>
      <w:r>
        <w:rPr>
          <w:noProof/>
        </w:rPr>
      </w:r>
      <w:r>
        <w:rPr>
          <w:noProof/>
        </w:rPr>
        <w:fldChar w:fldCharType="separate"/>
      </w:r>
      <w:r>
        <w:rPr>
          <w:noProof/>
        </w:rPr>
        <w:t>28</w:t>
      </w:r>
      <w:r>
        <w:rPr>
          <w:noProof/>
        </w:rPr>
        <w:fldChar w:fldCharType="end"/>
      </w:r>
    </w:p>
    <w:p w14:paraId="52F9BD4C" w14:textId="46DBC50C"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4.2</w:t>
      </w:r>
      <w:r>
        <w:rPr>
          <w:rFonts w:asciiTheme="minorHAnsi" w:eastAsiaTheme="minorEastAsia" w:hAnsiTheme="minorHAnsi"/>
          <w:noProof/>
          <w:kern w:val="2"/>
          <w:szCs w:val="24"/>
          <w:lang w:val="sl-SI" w:eastAsia="sl-SI"/>
          <w14:ligatures w14:val="standardContextual"/>
        </w:rPr>
        <w:tab/>
      </w:r>
      <w:r>
        <w:rPr>
          <w:noProof/>
        </w:rPr>
        <w:t>OPTIMIZATION OF PRE-TREATMENT FOR DNA ISOLATION FROM SPORES AND OTHER RESISTANT BACTERIA IN STOOL SAMPLES</w:t>
      </w:r>
      <w:r>
        <w:rPr>
          <w:noProof/>
        </w:rPr>
        <w:tab/>
      </w:r>
      <w:r>
        <w:rPr>
          <w:noProof/>
        </w:rPr>
        <w:fldChar w:fldCharType="begin"/>
      </w:r>
      <w:r>
        <w:rPr>
          <w:noProof/>
        </w:rPr>
        <w:instrText xml:space="preserve"> PAGEREF _Toc220591397 \h </w:instrText>
      </w:r>
      <w:r>
        <w:rPr>
          <w:noProof/>
        </w:rPr>
      </w:r>
      <w:r>
        <w:rPr>
          <w:noProof/>
        </w:rPr>
        <w:fldChar w:fldCharType="separate"/>
      </w:r>
      <w:r>
        <w:rPr>
          <w:noProof/>
        </w:rPr>
        <w:t>30</w:t>
      </w:r>
      <w:r>
        <w:rPr>
          <w:noProof/>
        </w:rPr>
        <w:fldChar w:fldCharType="end"/>
      </w:r>
    </w:p>
    <w:p w14:paraId="51DFDEB8" w14:textId="7BE69BBA"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4.3</w:t>
      </w:r>
      <w:r>
        <w:rPr>
          <w:rFonts w:asciiTheme="minorHAnsi" w:eastAsiaTheme="minorEastAsia" w:hAnsiTheme="minorHAnsi"/>
          <w:noProof/>
          <w:kern w:val="2"/>
          <w:szCs w:val="24"/>
          <w:lang w:val="sl-SI" w:eastAsia="sl-SI"/>
          <w14:ligatures w14:val="standardContextual"/>
        </w:rPr>
        <w:tab/>
      </w:r>
      <w:r>
        <w:rPr>
          <w:noProof/>
        </w:rPr>
        <w:t>DESCRIPTION AND COMPARISON OF THE TEMPORAL STABILITY OF THE GUT MICROBIOTA AND SPOROBIOTA IN HEALTHY INDIVIDUALS</w:t>
      </w:r>
      <w:r>
        <w:rPr>
          <w:noProof/>
        </w:rPr>
        <w:tab/>
      </w:r>
      <w:r>
        <w:rPr>
          <w:noProof/>
        </w:rPr>
        <w:fldChar w:fldCharType="begin"/>
      </w:r>
      <w:r>
        <w:rPr>
          <w:noProof/>
        </w:rPr>
        <w:instrText xml:space="preserve"> PAGEREF _Toc220591398 \h </w:instrText>
      </w:r>
      <w:r>
        <w:rPr>
          <w:noProof/>
        </w:rPr>
      </w:r>
      <w:r>
        <w:rPr>
          <w:noProof/>
        </w:rPr>
        <w:fldChar w:fldCharType="separate"/>
      </w:r>
      <w:r>
        <w:rPr>
          <w:noProof/>
        </w:rPr>
        <w:t>32</w:t>
      </w:r>
      <w:r>
        <w:rPr>
          <w:noProof/>
        </w:rPr>
        <w:fldChar w:fldCharType="end"/>
      </w:r>
    </w:p>
    <w:p w14:paraId="14702CC3" w14:textId="38822955"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4.3.1</w:t>
      </w:r>
      <w:r>
        <w:rPr>
          <w:rFonts w:asciiTheme="minorHAnsi" w:eastAsiaTheme="minorEastAsia" w:hAnsiTheme="minorHAnsi"/>
          <w:noProof/>
          <w:kern w:val="2"/>
          <w:szCs w:val="24"/>
          <w:lang w:val="sl-SI" w:eastAsia="sl-SI"/>
          <w14:ligatures w14:val="standardContextual"/>
        </w:rPr>
        <w:tab/>
      </w:r>
      <w:r>
        <w:rPr>
          <w:noProof/>
        </w:rPr>
        <w:t>Composition, abundance and diversity of human gut microbiota</w:t>
      </w:r>
      <w:r>
        <w:rPr>
          <w:noProof/>
        </w:rPr>
        <w:tab/>
      </w:r>
      <w:r>
        <w:rPr>
          <w:noProof/>
        </w:rPr>
        <w:fldChar w:fldCharType="begin"/>
      </w:r>
      <w:r>
        <w:rPr>
          <w:noProof/>
        </w:rPr>
        <w:instrText xml:space="preserve"> PAGEREF _Toc220591399 \h </w:instrText>
      </w:r>
      <w:r>
        <w:rPr>
          <w:noProof/>
        </w:rPr>
      </w:r>
      <w:r>
        <w:rPr>
          <w:noProof/>
        </w:rPr>
        <w:fldChar w:fldCharType="separate"/>
      </w:r>
      <w:r>
        <w:rPr>
          <w:noProof/>
        </w:rPr>
        <w:t>32</w:t>
      </w:r>
      <w:r>
        <w:rPr>
          <w:noProof/>
        </w:rPr>
        <w:fldChar w:fldCharType="end"/>
      </w:r>
    </w:p>
    <w:p w14:paraId="2E71E83E" w14:textId="4ABF4F94"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lastRenderedPageBreak/>
        <w:t>4.3.2</w:t>
      </w:r>
      <w:r>
        <w:rPr>
          <w:rFonts w:asciiTheme="minorHAnsi" w:eastAsiaTheme="minorEastAsia" w:hAnsiTheme="minorHAnsi"/>
          <w:noProof/>
          <w:kern w:val="2"/>
          <w:szCs w:val="24"/>
          <w:lang w:val="sl-SI" w:eastAsia="sl-SI"/>
          <w14:ligatures w14:val="standardContextual"/>
        </w:rPr>
        <w:tab/>
      </w:r>
      <w:r>
        <w:rPr>
          <w:noProof/>
        </w:rPr>
        <w:t>Composition, abundance and diversity of ethanol-resistant bacterial community and sporobiota in the human gut</w:t>
      </w:r>
      <w:r>
        <w:rPr>
          <w:noProof/>
        </w:rPr>
        <w:tab/>
      </w:r>
      <w:r>
        <w:rPr>
          <w:noProof/>
        </w:rPr>
        <w:fldChar w:fldCharType="begin"/>
      </w:r>
      <w:r>
        <w:rPr>
          <w:noProof/>
        </w:rPr>
        <w:instrText xml:space="preserve"> PAGEREF _Toc220591400 \h </w:instrText>
      </w:r>
      <w:r>
        <w:rPr>
          <w:noProof/>
        </w:rPr>
      </w:r>
      <w:r>
        <w:rPr>
          <w:noProof/>
        </w:rPr>
        <w:fldChar w:fldCharType="separate"/>
      </w:r>
      <w:r>
        <w:rPr>
          <w:noProof/>
        </w:rPr>
        <w:t>40</w:t>
      </w:r>
      <w:r>
        <w:rPr>
          <w:noProof/>
        </w:rPr>
        <w:fldChar w:fldCharType="end"/>
      </w:r>
    </w:p>
    <w:p w14:paraId="62E75D3A" w14:textId="0A2A4A11" w:rsidR="00B41263" w:rsidRDefault="00B41263">
      <w:pPr>
        <w:pStyle w:val="TOC4"/>
        <w:tabs>
          <w:tab w:val="right" w:leader="dot" w:pos="9350"/>
        </w:tabs>
        <w:rPr>
          <w:rFonts w:asciiTheme="minorHAnsi" w:eastAsiaTheme="minorEastAsia" w:hAnsiTheme="minorHAnsi"/>
          <w:noProof/>
          <w:kern w:val="2"/>
          <w:szCs w:val="24"/>
          <w:lang w:val="sl-SI" w:eastAsia="sl-SI"/>
          <w14:ligatures w14:val="standardContextual"/>
        </w:rPr>
      </w:pPr>
      <w:r>
        <w:rPr>
          <w:noProof/>
        </w:rPr>
        <w:t>4.3.2.1 Ethanol-resistant community and sporobiota in amplicon data</w:t>
      </w:r>
      <w:r>
        <w:rPr>
          <w:noProof/>
        </w:rPr>
        <w:tab/>
      </w:r>
      <w:r>
        <w:rPr>
          <w:noProof/>
        </w:rPr>
        <w:fldChar w:fldCharType="begin"/>
      </w:r>
      <w:r>
        <w:rPr>
          <w:noProof/>
        </w:rPr>
        <w:instrText xml:space="preserve"> PAGEREF _Toc220591401 \h </w:instrText>
      </w:r>
      <w:r>
        <w:rPr>
          <w:noProof/>
        </w:rPr>
      </w:r>
      <w:r>
        <w:rPr>
          <w:noProof/>
        </w:rPr>
        <w:fldChar w:fldCharType="separate"/>
      </w:r>
      <w:r>
        <w:rPr>
          <w:noProof/>
        </w:rPr>
        <w:t>40</w:t>
      </w:r>
      <w:r>
        <w:rPr>
          <w:noProof/>
        </w:rPr>
        <w:fldChar w:fldCharType="end"/>
      </w:r>
    </w:p>
    <w:p w14:paraId="60F05794" w14:textId="1F6F37DB" w:rsidR="00B41263" w:rsidRDefault="00B41263">
      <w:pPr>
        <w:pStyle w:val="TOC4"/>
        <w:tabs>
          <w:tab w:val="right" w:leader="dot" w:pos="9350"/>
        </w:tabs>
        <w:rPr>
          <w:rFonts w:asciiTheme="minorHAnsi" w:eastAsiaTheme="minorEastAsia" w:hAnsiTheme="minorHAnsi"/>
          <w:noProof/>
          <w:kern w:val="2"/>
          <w:szCs w:val="24"/>
          <w:lang w:val="sl-SI" w:eastAsia="sl-SI"/>
          <w14:ligatures w14:val="standardContextual"/>
        </w:rPr>
      </w:pPr>
      <w:r>
        <w:rPr>
          <w:noProof/>
        </w:rPr>
        <w:t>4.3.2.2 Sporobiota in shotgun metagenomic data</w:t>
      </w:r>
      <w:r>
        <w:rPr>
          <w:noProof/>
        </w:rPr>
        <w:tab/>
      </w:r>
      <w:r>
        <w:rPr>
          <w:noProof/>
        </w:rPr>
        <w:fldChar w:fldCharType="begin"/>
      </w:r>
      <w:r>
        <w:rPr>
          <w:noProof/>
        </w:rPr>
        <w:instrText xml:space="preserve"> PAGEREF _Toc220591402 \h </w:instrText>
      </w:r>
      <w:r>
        <w:rPr>
          <w:noProof/>
        </w:rPr>
      </w:r>
      <w:r>
        <w:rPr>
          <w:noProof/>
        </w:rPr>
        <w:fldChar w:fldCharType="separate"/>
      </w:r>
      <w:r>
        <w:rPr>
          <w:noProof/>
        </w:rPr>
        <w:t>41</w:t>
      </w:r>
      <w:r>
        <w:rPr>
          <w:noProof/>
        </w:rPr>
        <w:fldChar w:fldCharType="end"/>
      </w:r>
    </w:p>
    <w:p w14:paraId="7F5CBCFA" w14:textId="121CCA19"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4.3.3</w:t>
      </w:r>
      <w:r>
        <w:rPr>
          <w:rFonts w:asciiTheme="minorHAnsi" w:eastAsiaTheme="minorEastAsia" w:hAnsiTheme="minorHAnsi"/>
          <w:noProof/>
          <w:kern w:val="2"/>
          <w:szCs w:val="24"/>
          <w:lang w:val="sl-SI" w:eastAsia="sl-SI"/>
          <w14:ligatures w14:val="standardContextual"/>
        </w:rPr>
        <w:tab/>
      </w:r>
      <w:r>
        <w:rPr>
          <w:noProof/>
        </w:rPr>
        <w:t>Between and within-individual dynamics of spore-forming and non-spore-forming bacterial communities over time</w:t>
      </w:r>
      <w:r>
        <w:rPr>
          <w:noProof/>
        </w:rPr>
        <w:tab/>
      </w:r>
      <w:r>
        <w:rPr>
          <w:noProof/>
        </w:rPr>
        <w:fldChar w:fldCharType="begin"/>
      </w:r>
      <w:r>
        <w:rPr>
          <w:noProof/>
        </w:rPr>
        <w:instrText xml:space="preserve"> PAGEREF _Toc220591403 \h </w:instrText>
      </w:r>
      <w:r>
        <w:rPr>
          <w:noProof/>
        </w:rPr>
      </w:r>
      <w:r>
        <w:rPr>
          <w:noProof/>
        </w:rPr>
        <w:fldChar w:fldCharType="separate"/>
      </w:r>
      <w:r>
        <w:rPr>
          <w:noProof/>
        </w:rPr>
        <w:t>43</w:t>
      </w:r>
      <w:r>
        <w:rPr>
          <w:noProof/>
        </w:rPr>
        <w:fldChar w:fldCharType="end"/>
      </w:r>
    </w:p>
    <w:p w14:paraId="23CAB876" w14:textId="0F0F5748"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4.3.4</w:t>
      </w:r>
      <w:r>
        <w:rPr>
          <w:rFonts w:asciiTheme="minorHAnsi" w:eastAsiaTheme="minorEastAsia" w:hAnsiTheme="minorHAnsi"/>
          <w:noProof/>
          <w:kern w:val="2"/>
          <w:szCs w:val="24"/>
          <w:lang w:val="sl-SI" w:eastAsia="sl-SI"/>
          <w14:ligatures w14:val="standardContextual"/>
        </w:rPr>
        <w:tab/>
      </w:r>
      <w:r>
        <w:rPr>
          <w:noProof/>
        </w:rPr>
        <w:t xml:space="preserve">Sporulation frequency of ethanol-resistant </w:t>
      </w:r>
      <w:r w:rsidRPr="00E85360">
        <w:rPr>
          <w:i/>
          <w:noProof/>
        </w:rPr>
        <w:t>Bacillota</w:t>
      </w:r>
      <w:r>
        <w:rPr>
          <w:noProof/>
        </w:rPr>
        <w:t xml:space="preserve"> in the human gut is host and time dependent</w:t>
      </w:r>
      <w:r>
        <w:rPr>
          <w:noProof/>
        </w:rPr>
        <w:tab/>
      </w:r>
      <w:r>
        <w:rPr>
          <w:noProof/>
        </w:rPr>
        <w:fldChar w:fldCharType="begin"/>
      </w:r>
      <w:r>
        <w:rPr>
          <w:noProof/>
        </w:rPr>
        <w:instrText xml:space="preserve"> PAGEREF _Toc220591404 \h </w:instrText>
      </w:r>
      <w:r>
        <w:rPr>
          <w:noProof/>
        </w:rPr>
      </w:r>
      <w:r>
        <w:rPr>
          <w:noProof/>
        </w:rPr>
        <w:fldChar w:fldCharType="separate"/>
      </w:r>
      <w:r>
        <w:rPr>
          <w:noProof/>
        </w:rPr>
        <w:t>45</w:t>
      </w:r>
      <w:r>
        <w:rPr>
          <w:noProof/>
        </w:rPr>
        <w:fldChar w:fldCharType="end"/>
      </w:r>
    </w:p>
    <w:p w14:paraId="3313413D" w14:textId="00593B51"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4.4</w:t>
      </w:r>
      <w:r>
        <w:rPr>
          <w:rFonts w:asciiTheme="minorHAnsi" w:eastAsiaTheme="minorEastAsia" w:hAnsiTheme="minorHAnsi"/>
          <w:noProof/>
          <w:kern w:val="2"/>
          <w:szCs w:val="24"/>
          <w:lang w:val="sl-SI" w:eastAsia="sl-SI"/>
          <w14:ligatures w14:val="standardContextual"/>
        </w:rPr>
        <w:tab/>
      </w:r>
      <w:r>
        <w:rPr>
          <w:noProof/>
        </w:rPr>
        <w:t>CULTIVATION AND MOLECULAR CHARACTERIZATION OF THE REPRESENTATIVE SPORE-FORMING SPECIES</w:t>
      </w:r>
      <w:r>
        <w:rPr>
          <w:noProof/>
        </w:rPr>
        <w:tab/>
      </w:r>
      <w:r>
        <w:rPr>
          <w:noProof/>
        </w:rPr>
        <w:fldChar w:fldCharType="begin"/>
      </w:r>
      <w:r>
        <w:rPr>
          <w:noProof/>
        </w:rPr>
        <w:instrText xml:space="preserve"> PAGEREF _Toc220591405 \h </w:instrText>
      </w:r>
      <w:r>
        <w:rPr>
          <w:noProof/>
        </w:rPr>
      </w:r>
      <w:r>
        <w:rPr>
          <w:noProof/>
        </w:rPr>
        <w:fldChar w:fldCharType="separate"/>
      </w:r>
      <w:r>
        <w:rPr>
          <w:noProof/>
        </w:rPr>
        <w:t>48</w:t>
      </w:r>
      <w:r>
        <w:rPr>
          <w:noProof/>
        </w:rPr>
        <w:fldChar w:fldCharType="end"/>
      </w:r>
    </w:p>
    <w:p w14:paraId="04BA87BF" w14:textId="50B9A805"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4.4.1</w:t>
      </w:r>
      <w:r>
        <w:rPr>
          <w:rFonts w:asciiTheme="minorHAnsi" w:eastAsiaTheme="minorEastAsia" w:hAnsiTheme="minorHAnsi"/>
          <w:noProof/>
          <w:kern w:val="2"/>
          <w:szCs w:val="24"/>
          <w:lang w:val="sl-SI" w:eastAsia="sl-SI"/>
          <w14:ligatures w14:val="standardContextual"/>
        </w:rPr>
        <w:tab/>
      </w:r>
      <w:r>
        <w:rPr>
          <w:noProof/>
        </w:rPr>
        <w:t>Cultivation and sequencing of selected spore-forming species from ethanol treated stool samples</w:t>
      </w:r>
      <w:r>
        <w:rPr>
          <w:noProof/>
        </w:rPr>
        <w:tab/>
      </w:r>
      <w:r>
        <w:rPr>
          <w:noProof/>
        </w:rPr>
        <w:fldChar w:fldCharType="begin"/>
      </w:r>
      <w:r>
        <w:rPr>
          <w:noProof/>
        </w:rPr>
        <w:instrText xml:space="preserve"> PAGEREF _Toc220591406 \h </w:instrText>
      </w:r>
      <w:r>
        <w:rPr>
          <w:noProof/>
        </w:rPr>
      </w:r>
      <w:r>
        <w:rPr>
          <w:noProof/>
        </w:rPr>
        <w:fldChar w:fldCharType="separate"/>
      </w:r>
      <w:r>
        <w:rPr>
          <w:noProof/>
        </w:rPr>
        <w:t>48</w:t>
      </w:r>
      <w:r>
        <w:rPr>
          <w:noProof/>
        </w:rPr>
        <w:fldChar w:fldCharType="end"/>
      </w:r>
    </w:p>
    <w:p w14:paraId="02F661EA" w14:textId="3E547ECF" w:rsidR="00B41263" w:rsidRDefault="00B41263">
      <w:pPr>
        <w:pStyle w:val="TOC3"/>
        <w:tabs>
          <w:tab w:val="right" w:leader="dot" w:pos="9350"/>
        </w:tabs>
        <w:rPr>
          <w:rFonts w:asciiTheme="minorHAnsi" w:eastAsiaTheme="minorEastAsia" w:hAnsiTheme="minorHAnsi"/>
          <w:noProof/>
          <w:kern w:val="2"/>
          <w:szCs w:val="24"/>
          <w:lang w:val="sl-SI" w:eastAsia="sl-SI"/>
          <w14:ligatures w14:val="standardContextual"/>
        </w:rPr>
      </w:pPr>
      <w:r>
        <w:rPr>
          <w:noProof/>
        </w:rPr>
        <w:t>4.1.2 Average nucleotide identity, core SNPs analysis and pangenome construction</w:t>
      </w:r>
      <w:r>
        <w:rPr>
          <w:noProof/>
        </w:rPr>
        <w:tab/>
      </w:r>
      <w:r>
        <w:rPr>
          <w:noProof/>
        </w:rPr>
        <w:fldChar w:fldCharType="begin"/>
      </w:r>
      <w:r>
        <w:rPr>
          <w:noProof/>
        </w:rPr>
        <w:instrText xml:space="preserve"> PAGEREF _Toc220591407 \h </w:instrText>
      </w:r>
      <w:r>
        <w:rPr>
          <w:noProof/>
        </w:rPr>
      </w:r>
      <w:r>
        <w:rPr>
          <w:noProof/>
        </w:rPr>
        <w:fldChar w:fldCharType="separate"/>
      </w:r>
      <w:r>
        <w:rPr>
          <w:noProof/>
        </w:rPr>
        <w:t>48</w:t>
      </w:r>
      <w:r>
        <w:rPr>
          <w:noProof/>
        </w:rPr>
        <w:fldChar w:fldCharType="end"/>
      </w:r>
    </w:p>
    <w:p w14:paraId="4116F1F9" w14:textId="4DFCDEC1"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4.1.3</w:t>
      </w:r>
      <w:r>
        <w:rPr>
          <w:rFonts w:asciiTheme="minorHAnsi" w:eastAsiaTheme="minorEastAsia" w:hAnsiTheme="minorHAnsi"/>
          <w:noProof/>
          <w:kern w:val="2"/>
          <w:szCs w:val="24"/>
          <w:lang w:val="sl-SI" w:eastAsia="sl-SI"/>
          <w14:ligatures w14:val="standardContextual"/>
        </w:rPr>
        <w:tab/>
      </w:r>
      <w:r>
        <w:rPr>
          <w:noProof/>
        </w:rPr>
        <w:t xml:space="preserve">Shotgun metagenomic analysis of </w:t>
      </w:r>
      <w:r w:rsidRPr="00E85360">
        <w:rPr>
          <w:i/>
          <w:iCs/>
          <w:noProof/>
        </w:rPr>
        <w:t>C. saudiense</w:t>
      </w:r>
      <w:r>
        <w:rPr>
          <w:noProof/>
        </w:rPr>
        <w:tab/>
      </w:r>
      <w:r>
        <w:rPr>
          <w:noProof/>
        </w:rPr>
        <w:fldChar w:fldCharType="begin"/>
      </w:r>
      <w:r>
        <w:rPr>
          <w:noProof/>
        </w:rPr>
        <w:instrText xml:space="preserve"> PAGEREF _Toc220591408 \h </w:instrText>
      </w:r>
      <w:r>
        <w:rPr>
          <w:noProof/>
        </w:rPr>
      </w:r>
      <w:r>
        <w:rPr>
          <w:noProof/>
        </w:rPr>
        <w:fldChar w:fldCharType="separate"/>
      </w:r>
      <w:r>
        <w:rPr>
          <w:noProof/>
        </w:rPr>
        <w:t>51</w:t>
      </w:r>
      <w:r>
        <w:rPr>
          <w:noProof/>
        </w:rPr>
        <w:fldChar w:fldCharType="end"/>
      </w:r>
    </w:p>
    <w:p w14:paraId="284DBE7E" w14:textId="3D9E5830"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4.1</w:t>
      </w:r>
      <w:r>
        <w:rPr>
          <w:rFonts w:asciiTheme="minorHAnsi" w:eastAsiaTheme="minorEastAsia" w:hAnsiTheme="minorHAnsi"/>
          <w:noProof/>
          <w:kern w:val="2"/>
          <w:szCs w:val="24"/>
          <w:lang w:val="sl-SI" w:eastAsia="sl-SI"/>
          <w14:ligatures w14:val="standardContextual"/>
        </w:rPr>
        <w:tab/>
      </w:r>
      <w:r>
        <w:rPr>
          <w:noProof/>
        </w:rPr>
        <w:t>LONGITUDINAL CHANGES IN THE RESISTOME DEPENDING ON CHANGES IN THE INTESTINAL MICROBIOTA</w:t>
      </w:r>
      <w:r>
        <w:rPr>
          <w:noProof/>
        </w:rPr>
        <w:tab/>
      </w:r>
      <w:r>
        <w:rPr>
          <w:noProof/>
        </w:rPr>
        <w:fldChar w:fldCharType="begin"/>
      </w:r>
      <w:r>
        <w:rPr>
          <w:noProof/>
        </w:rPr>
        <w:instrText xml:space="preserve"> PAGEREF _Toc220591409 \h </w:instrText>
      </w:r>
      <w:r>
        <w:rPr>
          <w:noProof/>
        </w:rPr>
      </w:r>
      <w:r>
        <w:rPr>
          <w:noProof/>
        </w:rPr>
        <w:fldChar w:fldCharType="separate"/>
      </w:r>
      <w:r>
        <w:rPr>
          <w:noProof/>
        </w:rPr>
        <w:t>53</w:t>
      </w:r>
      <w:r>
        <w:rPr>
          <w:noProof/>
        </w:rPr>
        <w:fldChar w:fldCharType="end"/>
      </w:r>
    </w:p>
    <w:p w14:paraId="4991BADE" w14:textId="5A4F97D8"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4.1.2</w:t>
      </w:r>
      <w:r>
        <w:rPr>
          <w:rFonts w:asciiTheme="minorHAnsi" w:eastAsiaTheme="minorEastAsia" w:hAnsiTheme="minorHAnsi"/>
          <w:noProof/>
          <w:kern w:val="2"/>
          <w:szCs w:val="24"/>
          <w:lang w:val="sl-SI" w:eastAsia="sl-SI"/>
          <w14:ligatures w14:val="standardContextual"/>
        </w:rPr>
        <w:tab/>
      </w:r>
      <w:r>
        <w:rPr>
          <w:noProof/>
        </w:rPr>
        <w:t>Overall diversity and abundance of antimicrobial resistance genes</w:t>
      </w:r>
      <w:r>
        <w:rPr>
          <w:noProof/>
        </w:rPr>
        <w:tab/>
      </w:r>
      <w:r>
        <w:rPr>
          <w:noProof/>
        </w:rPr>
        <w:fldChar w:fldCharType="begin"/>
      </w:r>
      <w:r>
        <w:rPr>
          <w:noProof/>
        </w:rPr>
        <w:instrText xml:space="preserve"> PAGEREF _Toc220591410 \h </w:instrText>
      </w:r>
      <w:r>
        <w:rPr>
          <w:noProof/>
        </w:rPr>
      </w:r>
      <w:r>
        <w:rPr>
          <w:noProof/>
        </w:rPr>
        <w:fldChar w:fldCharType="separate"/>
      </w:r>
      <w:r>
        <w:rPr>
          <w:noProof/>
        </w:rPr>
        <w:t>53</w:t>
      </w:r>
      <w:r>
        <w:rPr>
          <w:noProof/>
        </w:rPr>
        <w:fldChar w:fldCharType="end"/>
      </w:r>
    </w:p>
    <w:p w14:paraId="76BAC158" w14:textId="075DF1E3"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4.1.3</w:t>
      </w:r>
      <w:r>
        <w:rPr>
          <w:rFonts w:asciiTheme="minorHAnsi" w:eastAsiaTheme="minorEastAsia" w:hAnsiTheme="minorHAnsi"/>
          <w:noProof/>
          <w:kern w:val="2"/>
          <w:szCs w:val="24"/>
          <w:lang w:val="sl-SI" w:eastAsia="sl-SI"/>
          <w14:ligatures w14:val="standardContextual"/>
        </w:rPr>
        <w:tab/>
      </w:r>
      <w:r>
        <w:rPr>
          <w:noProof/>
        </w:rPr>
        <w:t>Persistence of antimicrobial resistance genes in the human gut</w:t>
      </w:r>
      <w:r>
        <w:rPr>
          <w:noProof/>
        </w:rPr>
        <w:tab/>
      </w:r>
      <w:r>
        <w:rPr>
          <w:noProof/>
        </w:rPr>
        <w:fldChar w:fldCharType="begin"/>
      </w:r>
      <w:r>
        <w:rPr>
          <w:noProof/>
        </w:rPr>
        <w:instrText xml:space="preserve"> PAGEREF _Toc220591411 \h </w:instrText>
      </w:r>
      <w:r>
        <w:rPr>
          <w:noProof/>
        </w:rPr>
      </w:r>
      <w:r>
        <w:rPr>
          <w:noProof/>
        </w:rPr>
        <w:fldChar w:fldCharType="separate"/>
      </w:r>
      <w:r>
        <w:rPr>
          <w:noProof/>
        </w:rPr>
        <w:t>54</w:t>
      </w:r>
      <w:r>
        <w:rPr>
          <w:noProof/>
        </w:rPr>
        <w:fldChar w:fldCharType="end"/>
      </w:r>
    </w:p>
    <w:p w14:paraId="75983FFB" w14:textId="5FDCC25F" w:rsidR="00B41263" w:rsidRDefault="00B4126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Pr>
          <w:noProof/>
        </w:rPr>
        <w:t>5</w:t>
      </w:r>
      <w:r>
        <w:rPr>
          <w:rFonts w:asciiTheme="minorHAnsi" w:eastAsiaTheme="minorEastAsia" w:hAnsiTheme="minorHAnsi"/>
          <w:noProof/>
          <w:kern w:val="2"/>
          <w:szCs w:val="24"/>
          <w:lang w:val="sl-SI" w:eastAsia="sl-SI"/>
          <w14:ligatures w14:val="standardContextual"/>
        </w:rPr>
        <w:tab/>
      </w:r>
      <w:r>
        <w:rPr>
          <w:noProof/>
        </w:rPr>
        <w:t>DISCUSSION</w:t>
      </w:r>
      <w:r>
        <w:rPr>
          <w:noProof/>
        </w:rPr>
        <w:tab/>
      </w:r>
      <w:r>
        <w:rPr>
          <w:noProof/>
        </w:rPr>
        <w:fldChar w:fldCharType="begin"/>
      </w:r>
      <w:r>
        <w:rPr>
          <w:noProof/>
        </w:rPr>
        <w:instrText xml:space="preserve"> PAGEREF _Toc220591412 \h </w:instrText>
      </w:r>
      <w:r>
        <w:rPr>
          <w:noProof/>
        </w:rPr>
      </w:r>
      <w:r>
        <w:rPr>
          <w:noProof/>
        </w:rPr>
        <w:fldChar w:fldCharType="separate"/>
      </w:r>
      <w:r>
        <w:rPr>
          <w:noProof/>
        </w:rPr>
        <w:t>57</w:t>
      </w:r>
      <w:r>
        <w:rPr>
          <w:noProof/>
        </w:rPr>
        <w:fldChar w:fldCharType="end"/>
      </w:r>
    </w:p>
    <w:p w14:paraId="6CDB797D" w14:textId="7ACE6FCE" w:rsidR="00B41263" w:rsidRDefault="00B41263">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r>
        <w:rPr>
          <w:noProof/>
        </w:rPr>
        <w:t>5.1</w:t>
      </w:r>
      <w:r>
        <w:rPr>
          <w:rFonts w:asciiTheme="minorHAnsi" w:eastAsiaTheme="minorEastAsia" w:hAnsiTheme="minorHAnsi"/>
          <w:noProof/>
          <w:kern w:val="2"/>
          <w:szCs w:val="24"/>
          <w:lang w:val="sl-SI" w:eastAsia="sl-SI"/>
          <w14:ligatures w14:val="standardContextual"/>
        </w:rPr>
        <w:tab/>
      </w:r>
      <w:r>
        <w:rPr>
          <w:noProof/>
        </w:rPr>
        <w:t>COMPARISON OF TEMPORAL STABILITY OF THE GUT MICROBIOTA AND SPOROBIOTA IN HEALTHY INDIVIDUALS</w:t>
      </w:r>
      <w:r>
        <w:rPr>
          <w:noProof/>
        </w:rPr>
        <w:tab/>
      </w:r>
      <w:r>
        <w:rPr>
          <w:noProof/>
        </w:rPr>
        <w:fldChar w:fldCharType="begin"/>
      </w:r>
      <w:r>
        <w:rPr>
          <w:noProof/>
        </w:rPr>
        <w:instrText xml:space="preserve"> PAGEREF _Toc220591413 \h </w:instrText>
      </w:r>
      <w:r>
        <w:rPr>
          <w:noProof/>
        </w:rPr>
      </w:r>
      <w:r>
        <w:rPr>
          <w:noProof/>
        </w:rPr>
        <w:fldChar w:fldCharType="separate"/>
      </w:r>
      <w:r>
        <w:rPr>
          <w:noProof/>
        </w:rPr>
        <w:t>57</w:t>
      </w:r>
      <w:r>
        <w:rPr>
          <w:noProof/>
        </w:rPr>
        <w:fldChar w:fldCharType="end"/>
      </w:r>
    </w:p>
    <w:p w14:paraId="3AD0B39C" w14:textId="23F2266E"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5.1.1</w:t>
      </w:r>
      <w:r>
        <w:rPr>
          <w:rFonts w:asciiTheme="minorHAnsi" w:eastAsiaTheme="minorEastAsia" w:hAnsiTheme="minorHAnsi"/>
          <w:noProof/>
          <w:kern w:val="2"/>
          <w:szCs w:val="24"/>
          <w:lang w:val="sl-SI" w:eastAsia="sl-SI"/>
          <w14:ligatures w14:val="standardContextual"/>
        </w:rPr>
        <w:tab/>
      </w:r>
      <w:r>
        <w:rPr>
          <w:noProof/>
        </w:rPr>
        <w:t>Human gut microbiota</w:t>
      </w:r>
      <w:r>
        <w:rPr>
          <w:noProof/>
        </w:rPr>
        <w:tab/>
      </w:r>
      <w:r>
        <w:rPr>
          <w:noProof/>
        </w:rPr>
        <w:fldChar w:fldCharType="begin"/>
      </w:r>
      <w:r>
        <w:rPr>
          <w:noProof/>
        </w:rPr>
        <w:instrText xml:space="preserve"> PAGEREF _Toc220591414 \h </w:instrText>
      </w:r>
      <w:r>
        <w:rPr>
          <w:noProof/>
        </w:rPr>
      </w:r>
      <w:r>
        <w:rPr>
          <w:noProof/>
        </w:rPr>
        <w:fldChar w:fldCharType="separate"/>
      </w:r>
      <w:r>
        <w:rPr>
          <w:noProof/>
        </w:rPr>
        <w:t>57</w:t>
      </w:r>
      <w:r>
        <w:rPr>
          <w:noProof/>
        </w:rPr>
        <w:fldChar w:fldCharType="end"/>
      </w:r>
    </w:p>
    <w:p w14:paraId="7387439B" w14:textId="27493089" w:rsidR="00B41263" w:rsidRDefault="00B41263">
      <w:pPr>
        <w:pStyle w:val="TOC3"/>
        <w:tabs>
          <w:tab w:val="right" w:leader="dot" w:pos="9350"/>
        </w:tabs>
        <w:rPr>
          <w:rFonts w:asciiTheme="minorHAnsi" w:eastAsiaTheme="minorEastAsia" w:hAnsiTheme="minorHAnsi"/>
          <w:noProof/>
          <w:kern w:val="2"/>
          <w:szCs w:val="24"/>
          <w:lang w:val="sl-SI" w:eastAsia="sl-SI"/>
          <w14:ligatures w14:val="standardContextual"/>
        </w:rPr>
      </w:pPr>
      <w:r>
        <w:rPr>
          <w:noProof/>
        </w:rPr>
        <w:t>5.1.2 Human gut sporobiota</w:t>
      </w:r>
      <w:r>
        <w:rPr>
          <w:noProof/>
        </w:rPr>
        <w:tab/>
      </w:r>
      <w:r>
        <w:rPr>
          <w:noProof/>
        </w:rPr>
        <w:fldChar w:fldCharType="begin"/>
      </w:r>
      <w:r>
        <w:rPr>
          <w:noProof/>
        </w:rPr>
        <w:instrText xml:space="preserve"> PAGEREF _Toc220591415 \h </w:instrText>
      </w:r>
      <w:r>
        <w:rPr>
          <w:noProof/>
        </w:rPr>
      </w:r>
      <w:r>
        <w:rPr>
          <w:noProof/>
        </w:rPr>
        <w:fldChar w:fldCharType="separate"/>
      </w:r>
      <w:r>
        <w:rPr>
          <w:noProof/>
        </w:rPr>
        <w:t>59</w:t>
      </w:r>
      <w:r>
        <w:rPr>
          <w:noProof/>
        </w:rPr>
        <w:fldChar w:fldCharType="end"/>
      </w:r>
    </w:p>
    <w:p w14:paraId="27398CA4" w14:textId="1A40CE7A" w:rsidR="00B41263" w:rsidRDefault="00B41263">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r>
        <w:rPr>
          <w:noProof/>
        </w:rPr>
        <w:t>5.1.3</w:t>
      </w:r>
      <w:r>
        <w:rPr>
          <w:rFonts w:asciiTheme="minorHAnsi" w:eastAsiaTheme="minorEastAsia" w:hAnsiTheme="minorHAnsi"/>
          <w:noProof/>
          <w:kern w:val="2"/>
          <w:szCs w:val="24"/>
          <w:lang w:val="sl-SI" w:eastAsia="sl-SI"/>
          <w14:ligatures w14:val="standardContextual"/>
        </w:rPr>
        <w:tab/>
      </w:r>
      <w:r>
        <w:rPr>
          <w:noProof/>
        </w:rPr>
        <w:t>Between and within individual dynamics of spore-forming bacteria</w:t>
      </w:r>
      <w:r>
        <w:rPr>
          <w:noProof/>
        </w:rPr>
        <w:tab/>
      </w:r>
      <w:r>
        <w:rPr>
          <w:noProof/>
        </w:rPr>
        <w:fldChar w:fldCharType="begin"/>
      </w:r>
      <w:r>
        <w:rPr>
          <w:noProof/>
        </w:rPr>
        <w:instrText xml:space="preserve"> PAGEREF _Toc220591416 \h </w:instrText>
      </w:r>
      <w:r>
        <w:rPr>
          <w:noProof/>
        </w:rPr>
      </w:r>
      <w:r>
        <w:rPr>
          <w:noProof/>
        </w:rPr>
        <w:fldChar w:fldCharType="separate"/>
      </w:r>
      <w:r>
        <w:rPr>
          <w:noProof/>
        </w:rPr>
        <w:t>60</w:t>
      </w:r>
      <w:r>
        <w:rPr>
          <w:noProof/>
        </w:rPr>
        <w:fldChar w:fldCharType="end"/>
      </w:r>
    </w:p>
    <w:p w14:paraId="65D548D1" w14:textId="38D98BED" w:rsidR="00B41263" w:rsidRDefault="00B41263">
      <w:pPr>
        <w:pStyle w:val="TOC3"/>
        <w:tabs>
          <w:tab w:val="right" w:leader="dot" w:pos="9350"/>
        </w:tabs>
        <w:rPr>
          <w:rFonts w:asciiTheme="minorHAnsi" w:eastAsiaTheme="minorEastAsia" w:hAnsiTheme="minorHAnsi"/>
          <w:noProof/>
          <w:kern w:val="2"/>
          <w:szCs w:val="24"/>
          <w:lang w:val="sl-SI" w:eastAsia="sl-SI"/>
          <w14:ligatures w14:val="standardContextual"/>
        </w:rPr>
      </w:pPr>
      <w:r>
        <w:rPr>
          <w:noProof/>
        </w:rPr>
        <w:t>5.1.4 Sporulation frequency is individual and time-specific</w:t>
      </w:r>
      <w:r>
        <w:rPr>
          <w:noProof/>
        </w:rPr>
        <w:tab/>
      </w:r>
      <w:r>
        <w:rPr>
          <w:noProof/>
        </w:rPr>
        <w:fldChar w:fldCharType="begin"/>
      </w:r>
      <w:r>
        <w:rPr>
          <w:noProof/>
        </w:rPr>
        <w:instrText xml:space="preserve"> PAGEREF _Toc220591417 \h </w:instrText>
      </w:r>
      <w:r>
        <w:rPr>
          <w:noProof/>
        </w:rPr>
      </w:r>
      <w:r>
        <w:rPr>
          <w:noProof/>
        </w:rPr>
        <w:fldChar w:fldCharType="separate"/>
      </w:r>
      <w:r>
        <w:rPr>
          <w:noProof/>
        </w:rPr>
        <w:t>61</w:t>
      </w:r>
      <w:r>
        <w:rPr>
          <w:noProof/>
        </w:rPr>
        <w:fldChar w:fldCharType="end"/>
      </w:r>
    </w:p>
    <w:p w14:paraId="42576094" w14:textId="1962FE60" w:rsidR="00B41263" w:rsidRDefault="00B41263">
      <w:pPr>
        <w:pStyle w:val="TOC2"/>
        <w:tabs>
          <w:tab w:val="right" w:leader="dot" w:pos="9350"/>
        </w:tabs>
        <w:rPr>
          <w:rFonts w:asciiTheme="minorHAnsi" w:eastAsiaTheme="minorEastAsia" w:hAnsiTheme="minorHAnsi"/>
          <w:noProof/>
          <w:kern w:val="2"/>
          <w:szCs w:val="24"/>
          <w:lang w:val="sl-SI" w:eastAsia="sl-SI"/>
          <w14:ligatures w14:val="standardContextual"/>
        </w:rPr>
      </w:pPr>
      <w:r>
        <w:rPr>
          <w:noProof/>
        </w:rPr>
        <w:t>5.2 INDIVIDUAL-SPECIFIC POPULATION GENETIC ANALYSIS OF CULTURED SPORE-FORMING SPECIES</w:t>
      </w:r>
      <w:r>
        <w:rPr>
          <w:noProof/>
        </w:rPr>
        <w:tab/>
      </w:r>
      <w:r>
        <w:rPr>
          <w:noProof/>
        </w:rPr>
        <w:fldChar w:fldCharType="begin"/>
      </w:r>
      <w:r>
        <w:rPr>
          <w:noProof/>
        </w:rPr>
        <w:instrText xml:space="preserve"> PAGEREF _Toc220591418 \h </w:instrText>
      </w:r>
      <w:r>
        <w:rPr>
          <w:noProof/>
        </w:rPr>
      </w:r>
      <w:r>
        <w:rPr>
          <w:noProof/>
        </w:rPr>
        <w:fldChar w:fldCharType="separate"/>
      </w:r>
      <w:r>
        <w:rPr>
          <w:noProof/>
        </w:rPr>
        <w:t>61</w:t>
      </w:r>
      <w:r>
        <w:rPr>
          <w:noProof/>
        </w:rPr>
        <w:fldChar w:fldCharType="end"/>
      </w:r>
    </w:p>
    <w:p w14:paraId="2D20E1C3" w14:textId="02297B34" w:rsidR="00B41263" w:rsidRDefault="00B41263">
      <w:pPr>
        <w:pStyle w:val="TOC2"/>
        <w:tabs>
          <w:tab w:val="right" w:leader="dot" w:pos="9350"/>
        </w:tabs>
        <w:rPr>
          <w:rFonts w:asciiTheme="minorHAnsi" w:eastAsiaTheme="minorEastAsia" w:hAnsiTheme="minorHAnsi"/>
          <w:noProof/>
          <w:kern w:val="2"/>
          <w:szCs w:val="24"/>
          <w:lang w:val="sl-SI" w:eastAsia="sl-SI"/>
          <w14:ligatures w14:val="standardContextual"/>
        </w:rPr>
      </w:pPr>
      <w:r>
        <w:rPr>
          <w:noProof/>
        </w:rPr>
        <w:t>5.3 MONITORING LONGITUDINAL CHANGES IN THE GUT RESISTOME OF HEALTHY INDIVIDUALS</w:t>
      </w:r>
      <w:r>
        <w:rPr>
          <w:noProof/>
        </w:rPr>
        <w:tab/>
      </w:r>
      <w:r>
        <w:rPr>
          <w:noProof/>
        </w:rPr>
        <w:fldChar w:fldCharType="begin"/>
      </w:r>
      <w:r>
        <w:rPr>
          <w:noProof/>
        </w:rPr>
        <w:instrText xml:space="preserve"> PAGEREF _Toc220591419 \h </w:instrText>
      </w:r>
      <w:r>
        <w:rPr>
          <w:noProof/>
        </w:rPr>
      </w:r>
      <w:r>
        <w:rPr>
          <w:noProof/>
        </w:rPr>
        <w:fldChar w:fldCharType="separate"/>
      </w:r>
      <w:r>
        <w:rPr>
          <w:noProof/>
        </w:rPr>
        <w:t>62</w:t>
      </w:r>
      <w:r>
        <w:rPr>
          <w:noProof/>
        </w:rPr>
        <w:fldChar w:fldCharType="end"/>
      </w:r>
    </w:p>
    <w:p w14:paraId="6181C111" w14:textId="1433DA3B" w:rsidR="00B41263" w:rsidRDefault="00B4126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Pr>
          <w:noProof/>
        </w:rPr>
        <w:t>6</w:t>
      </w:r>
      <w:r>
        <w:rPr>
          <w:rFonts w:asciiTheme="minorHAnsi" w:eastAsiaTheme="minorEastAsia" w:hAnsiTheme="minorHAnsi"/>
          <w:noProof/>
          <w:kern w:val="2"/>
          <w:szCs w:val="24"/>
          <w:lang w:val="sl-SI" w:eastAsia="sl-SI"/>
          <w14:ligatures w14:val="standardContextual"/>
        </w:rPr>
        <w:tab/>
      </w:r>
      <w:r>
        <w:rPr>
          <w:noProof/>
        </w:rPr>
        <w:t>CONCLUSIONS</w:t>
      </w:r>
      <w:r>
        <w:rPr>
          <w:noProof/>
        </w:rPr>
        <w:tab/>
      </w:r>
      <w:r>
        <w:rPr>
          <w:noProof/>
        </w:rPr>
        <w:fldChar w:fldCharType="begin"/>
      </w:r>
      <w:r>
        <w:rPr>
          <w:noProof/>
        </w:rPr>
        <w:instrText xml:space="preserve"> PAGEREF _Toc220591420 \h </w:instrText>
      </w:r>
      <w:r>
        <w:rPr>
          <w:noProof/>
        </w:rPr>
      </w:r>
      <w:r>
        <w:rPr>
          <w:noProof/>
        </w:rPr>
        <w:fldChar w:fldCharType="separate"/>
      </w:r>
      <w:r>
        <w:rPr>
          <w:noProof/>
        </w:rPr>
        <w:t>65</w:t>
      </w:r>
      <w:r>
        <w:rPr>
          <w:noProof/>
        </w:rPr>
        <w:fldChar w:fldCharType="end"/>
      </w:r>
    </w:p>
    <w:p w14:paraId="49D8911A" w14:textId="6FC7A519" w:rsidR="00B41263" w:rsidRDefault="00B4126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Pr>
          <w:noProof/>
        </w:rPr>
        <w:t>7</w:t>
      </w:r>
      <w:r>
        <w:rPr>
          <w:rFonts w:asciiTheme="minorHAnsi" w:eastAsiaTheme="minorEastAsia" w:hAnsiTheme="minorHAnsi"/>
          <w:noProof/>
          <w:kern w:val="2"/>
          <w:szCs w:val="24"/>
          <w:lang w:val="sl-SI" w:eastAsia="sl-SI"/>
          <w14:ligatures w14:val="standardContextual"/>
        </w:rPr>
        <w:tab/>
      </w:r>
      <w:r>
        <w:rPr>
          <w:noProof/>
        </w:rPr>
        <w:t>SUMMARY</w:t>
      </w:r>
      <w:r>
        <w:rPr>
          <w:noProof/>
        </w:rPr>
        <w:tab/>
      </w:r>
      <w:r>
        <w:rPr>
          <w:noProof/>
        </w:rPr>
        <w:fldChar w:fldCharType="begin"/>
      </w:r>
      <w:r>
        <w:rPr>
          <w:noProof/>
        </w:rPr>
        <w:instrText xml:space="preserve"> PAGEREF _Toc220591421 \h </w:instrText>
      </w:r>
      <w:r>
        <w:rPr>
          <w:noProof/>
        </w:rPr>
      </w:r>
      <w:r>
        <w:rPr>
          <w:noProof/>
        </w:rPr>
        <w:fldChar w:fldCharType="separate"/>
      </w:r>
      <w:r>
        <w:rPr>
          <w:noProof/>
        </w:rPr>
        <w:t>65</w:t>
      </w:r>
      <w:r>
        <w:rPr>
          <w:noProof/>
        </w:rPr>
        <w:fldChar w:fldCharType="end"/>
      </w:r>
    </w:p>
    <w:p w14:paraId="144369D1" w14:textId="2D45C2C1" w:rsidR="00B41263" w:rsidRDefault="00B4126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Pr>
          <w:noProof/>
        </w:rPr>
        <w:t>8</w:t>
      </w:r>
      <w:r>
        <w:rPr>
          <w:rFonts w:asciiTheme="minorHAnsi" w:eastAsiaTheme="minorEastAsia" w:hAnsiTheme="minorHAnsi"/>
          <w:noProof/>
          <w:kern w:val="2"/>
          <w:szCs w:val="24"/>
          <w:lang w:val="sl-SI" w:eastAsia="sl-SI"/>
          <w14:ligatures w14:val="standardContextual"/>
        </w:rPr>
        <w:tab/>
      </w:r>
      <w:r>
        <w:rPr>
          <w:noProof/>
        </w:rPr>
        <w:t xml:space="preserve">POVZETEK </w:t>
      </w:r>
      <w:r w:rsidRPr="00E85360">
        <w:rPr>
          <w:noProof/>
        </w:rPr>
        <w:t>(do 10% obsega angleškega dela doktorske naloge)</w:t>
      </w:r>
      <w:r>
        <w:rPr>
          <w:noProof/>
        </w:rPr>
        <w:tab/>
      </w:r>
      <w:r>
        <w:rPr>
          <w:noProof/>
        </w:rPr>
        <w:fldChar w:fldCharType="begin"/>
      </w:r>
      <w:r>
        <w:rPr>
          <w:noProof/>
        </w:rPr>
        <w:instrText xml:space="preserve"> PAGEREF _Toc220591422 \h </w:instrText>
      </w:r>
      <w:r>
        <w:rPr>
          <w:noProof/>
        </w:rPr>
      </w:r>
      <w:r>
        <w:rPr>
          <w:noProof/>
        </w:rPr>
        <w:fldChar w:fldCharType="separate"/>
      </w:r>
      <w:r>
        <w:rPr>
          <w:noProof/>
        </w:rPr>
        <w:t>65</w:t>
      </w:r>
      <w:r>
        <w:rPr>
          <w:noProof/>
        </w:rPr>
        <w:fldChar w:fldCharType="end"/>
      </w:r>
    </w:p>
    <w:p w14:paraId="793F2275" w14:textId="77281EF9" w:rsidR="00B41263" w:rsidRDefault="00B4126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rPr>
          <w:noProof/>
        </w:rPr>
        <w:t>9</w:t>
      </w:r>
      <w:r>
        <w:rPr>
          <w:rFonts w:asciiTheme="minorHAnsi" w:eastAsiaTheme="minorEastAsia" w:hAnsiTheme="minorHAnsi"/>
          <w:noProof/>
          <w:kern w:val="2"/>
          <w:szCs w:val="24"/>
          <w:lang w:val="sl-SI" w:eastAsia="sl-SI"/>
          <w14:ligatures w14:val="standardContextual"/>
        </w:rPr>
        <w:tab/>
      </w:r>
      <w:r>
        <w:rPr>
          <w:noProof/>
        </w:rPr>
        <w:t>REFERENCES</w:t>
      </w:r>
      <w:r>
        <w:rPr>
          <w:noProof/>
        </w:rPr>
        <w:tab/>
      </w:r>
      <w:r>
        <w:rPr>
          <w:noProof/>
        </w:rPr>
        <w:fldChar w:fldCharType="begin"/>
      </w:r>
      <w:r>
        <w:rPr>
          <w:noProof/>
        </w:rPr>
        <w:instrText xml:space="preserve"> PAGEREF _Toc220591423 \h </w:instrText>
      </w:r>
      <w:r>
        <w:rPr>
          <w:noProof/>
        </w:rPr>
      </w:r>
      <w:r>
        <w:rPr>
          <w:noProof/>
        </w:rPr>
        <w:fldChar w:fldCharType="separate"/>
      </w:r>
      <w:r>
        <w:rPr>
          <w:noProof/>
        </w:rPr>
        <w:t>66</w:t>
      </w:r>
      <w:r>
        <w:rPr>
          <w:noProof/>
        </w:rPr>
        <w:fldChar w:fldCharType="end"/>
      </w:r>
    </w:p>
    <w:p w14:paraId="0DD3A213" w14:textId="0619D0CD" w:rsidR="00F17164" w:rsidRPr="00543B19" w:rsidRDefault="00801198">
      <w:pPr>
        <w:spacing w:line="259" w:lineRule="auto"/>
        <w:jc w:val="left"/>
      </w:pPr>
      <w:r w:rsidRPr="00DA42F5">
        <w:lastRenderedPageBreak/>
        <w:fldChar w:fldCharType="end"/>
      </w:r>
      <w:r w:rsidR="00F17164" w:rsidRPr="00DA42F5">
        <w:rPr>
          <w:b/>
          <w:bCs/>
        </w:rPr>
        <w:br w:type="page"/>
      </w:r>
    </w:p>
    <w:p w14:paraId="7352D1FE" w14:textId="51D50DC8" w:rsidR="00CD77AB" w:rsidRPr="00DA42F5" w:rsidRDefault="00281EC3" w:rsidP="00221812">
      <w:pPr>
        <w:pStyle w:val="Heading1"/>
        <w:numPr>
          <w:ilvl w:val="0"/>
          <w:numId w:val="26"/>
        </w:numPr>
      </w:pPr>
      <w:bookmarkStart w:id="1" w:name="_Toc212712188"/>
      <w:bookmarkStart w:id="2" w:name="_Toc216099703"/>
      <w:bookmarkStart w:id="3" w:name="_Toc220591349"/>
      <w:r w:rsidRPr="00DA42F5">
        <w:lastRenderedPageBreak/>
        <w:t>INTRODUCTION</w:t>
      </w:r>
      <w:bookmarkEnd w:id="1"/>
      <w:r w:rsidRPr="00DA42F5">
        <w:t xml:space="preserve"> </w:t>
      </w:r>
      <w:r w:rsidR="003D12EB" w:rsidRPr="00DA42F5">
        <w:t>– work in progress</w:t>
      </w:r>
      <w:bookmarkEnd w:id="2"/>
      <w:bookmarkEnd w:id="3"/>
    </w:p>
    <w:p w14:paraId="27B417A2" w14:textId="77777777" w:rsidR="00DA42F5" w:rsidRPr="00DA42F5" w:rsidRDefault="00DA42F5" w:rsidP="00DA42F5">
      <w:r w:rsidRPr="00DA42F5">
        <w:t xml:space="preserve">The composition of the intestinal microbiota in the human gut is the result of constant immigration and competition between bacteria, viruses, archaea, and eukaryotes. Colonization begins at birth as infants acquire bacteria from their caretakers and environment </w:t>
      </w:r>
      <w:r w:rsidRPr="00DA42F5">
        <w:fldChar w:fldCharType="begin"/>
      </w:r>
      <w:r w:rsidRPr="00DA42F5">
        <w:instrText xml:space="preserve"> ADDIN ZOTERO_ITEM CSL_CITATION {"citationID":"JbbjOHVr","properties":{"formattedCitation":"(Martino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DA42F5">
        <w:fldChar w:fldCharType="separate"/>
      </w:r>
      <w:r w:rsidRPr="00DA42F5">
        <w:rPr>
          <w:rFonts w:cs="Times New Roman"/>
        </w:rPr>
        <w:t>(Martino et al., 2022)</w:t>
      </w:r>
      <w:r w:rsidRPr="00DA42F5">
        <w:fldChar w:fldCharType="end"/>
      </w:r>
      <w:r w:rsidRPr="00DA42F5">
        <w:t xml:space="preserve">. Successful colonization of commensal bacteria depends both on their capacity to spread between human hosts and their ability to establish and grow within an individual host. The likelihood of transmission increases with bacteria’s utilization of different life strategies (e.g. dormancy) and their prevalence, however high strain abundance within a host is not typically driven by transmission, but rather the bacterium’s ability to adapt and grow within a host </w:t>
      </w:r>
      <w:r w:rsidRPr="00DA42F5">
        <w:fldChar w:fldCharType="begin"/>
      </w:r>
      <w:r w:rsidRPr="00DA42F5">
        <w:instrText xml:space="preserve"> ADDIN ZOTERO_ITEM CSL_CITATION {"citationID":"FwD8Rgrz","properties":{"formattedCitation":"(Valles-Colomer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A42F5">
        <w:fldChar w:fldCharType="separate"/>
      </w:r>
      <w:r w:rsidRPr="00DA42F5">
        <w:rPr>
          <w:rFonts w:cs="Times New Roman"/>
        </w:rPr>
        <w:t>(Valles-Colomer et al., 2023)</w:t>
      </w:r>
      <w:r w:rsidRPr="00DA42F5">
        <w:fldChar w:fldCharType="end"/>
      </w:r>
      <w:r w:rsidRPr="00DA42F5">
        <w:t xml:space="preserve">. </w:t>
      </w:r>
    </w:p>
    <w:p w14:paraId="42FB7B04" w14:textId="77777777" w:rsidR="00DA42F5" w:rsidRPr="00DA42F5" w:rsidRDefault="00DA42F5" w:rsidP="00DA42F5">
      <w:r w:rsidRPr="00DA42F5">
        <w:t xml:space="preserve">A high proportion of gut bacteria, at least 50%, possess the genetic capability for sporulation, suggesting that a considerable fraction of human gut microbiota harbour the capacity to survive conditions that are unfavourable for growth </w:t>
      </w:r>
      <w:r w:rsidRPr="00DA42F5">
        <w:fldChar w:fldCharType="begin"/>
      </w:r>
      <w:r w:rsidRPr="00DA42F5">
        <w:instrText xml:space="preserve"> ADDIN ZOTERO_ITEM CSL_CITATION {"citationID":"1u78q8Nq","properties":{"formattedCitation":"(Browne et al., 2016a)","plainCitation":"(Browne et al., 2016a)","noteIndex":0},"citationItems":[{"id":3164,"uris":["http://zotero.org/users/8873894/items/S6UVG3L2"],"itemData":{"id":3164,"type":"article-journal","abstract":"A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A42F5">
        <w:fldChar w:fldCharType="separate"/>
      </w:r>
      <w:r w:rsidRPr="00DA42F5">
        <w:rPr>
          <w:rFonts w:cs="Times New Roman"/>
        </w:rPr>
        <w:t>(Browne et al., 2016a)</w:t>
      </w:r>
      <w:r w:rsidRPr="00DA42F5">
        <w:fldChar w:fldCharType="end"/>
      </w:r>
      <w:r w:rsidRPr="00DA42F5">
        <w:t xml:space="preserve">. Sporulation is one of the most researched strategies for increasing survival time outside of the human gut as spore-forming bacteria are present in the most abundant phylum in human gut </w:t>
      </w:r>
      <w:r w:rsidRPr="00DA42F5">
        <w:rPr>
          <w:i/>
          <w:iCs/>
        </w:rPr>
        <w:t>Bacillota</w:t>
      </w:r>
      <w:r w:rsidRPr="00DA42F5">
        <w:t xml:space="preserve"> </w:t>
      </w:r>
      <w:r w:rsidRPr="00DA42F5">
        <w:fldChar w:fldCharType="begin"/>
      </w:r>
      <w:r w:rsidRPr="00DA42F5">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Spectr","page":"TBS-0015-2012","PMID":"26184964","PMCID":"PMC4306282","source":"PubMed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rsidRPr="00DA42F5">
        <w:fldChar w:fldCharType="separate"/>
      </w:r>
      <w:r w:rsidRPr="00DA42F5">
        <w:rPr>
          <w:rFonts w:cs="Times New Roman"/>
        </w:rPr>
        <w:t>(Egan et al., 2021; Galperin, 2013; Rajilić-Stojanović &amp; de Vos, 2014)</w:t>
      </w:r>
      <w:r w:rsidRPr="00DA42F5">
        <w:fldChar w:fldCharType="end"/>
      </w:r>
      <w:r w:rsidRPr="00DA42F5">
        <w:t xml:space="preserve">. The ability of spore-forming bacteria to endure unfavourable conditions, such as oxygen, antibiotic treatment, inflammation, and other diseases, allows them to persist and potentially recolonize the gut following disruptions but also facilitates transmission between individuals </w:t>
      </w:r>
      <w:r w:rsidRPr="00DA42F5">
        <w:fldChar w:fldCharType="begin"/>
      </w:r>
      <w:r w:rsidRPr="00DA42F5">
        <w:instrText xml:space="preserve"> ADDIN ZOTERO_ITEM CSL_CITATION {"citationID":"Wedxp187","properties":{"formattedCitation":"(Swick et al., 2016; Tetz &amp; Tetz, 2017)","plainCitation":"(Swick et al., 2016; Tetz &amp; Tetz, 2017)","noteIndex":0},"citationItems":[{"id":2051,"uris":["http://zotero.org/users/8873894/items/8U7JDRN7"],"itemData":{"id":2051,"type":"article-journal","container-title":"Microbiology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Pr="00DA42F5">
        <w:fldChar w:fldCharType="separate"/>
      </w:r>
      <w:r w:rsidRPr="00DA42F5">
        <w:rPr>
          <w:rFonts w:cs="Times New Roman"/>
        </w:rPr>
        <w:t>(Swick et al., 2016; Tetz &amp; Tetz, 2017)</w:t>
      </w:r>
      <w:r w:rsidRPr="00DA42F5">
        <w:fldChar w:fldCharType="end"/>
      </w:r>
      <w:r w:rsidRPr="00DA42F5">
        <w:t xml:space="preserve">. Other mechanisms hypothesized to increase transmission between human hosts include </w:t>
      </w:r>
      <w:proofErr w:type="spellStart"/>
      <w:r w:rsidRPr="00DA42F5">
        <w:t>aerotoleration</w:t>
      </w:r>
      <w:proofErr w:type="spellEnd"/>
      <w:r w:rsidRPr="00DA42F5">
        <w:t xml:space="preserve">, and viable, but not-culturable state, where an increased survival ability is achieved through decreased metabolic activity and strengthened cell walls </w:t>
      </w:r>
      <w:r w:rsidRPr="00DA42F5">
        <w:fldChar w:fldCharType="begin"/>
      </w:r>
      <w:r w:rsidRPr="00DA42F5">
        <w:instrText xml:space="preserve"> ADDIN ZOTERO_ITEM CSL_CITATION {"citationID":"ESMYRXz6","properties":{"formattedCitation":"(Setlow,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Spectrum","DOI":"10.1128/microbiolspec.tbs-0003-2012","issue":"5","page":"10.1128/microbiolspec.tbs-0003-2012","publisher":"American Society for Microbiology","source":"journals.asm.org (Atypon)","title":"Spore Resistance Properties","volume":"2","author":[{"family":"Setlow","given":"Peter"}],"issued":{"date-parts":[["2014",9,19]]}}}],"schema":"https://github.com/citation-style-language/schema/raw/master/csl-citation.json"} </w:instrText>
      </w:r>
      <w:r w:rsidRPr="00DA42F5">
        <w:fldChar w:fldCharType="separate"/>
      </w:r>
      <w:r w:rsidRPr="00DA42F5">
        <w:rPr>
          <w:rFonts w:cs="Times New Roman"/>
        </w:rPr>
        <w:t>(Setlow, 2014)</w:t>
      </w:r>
      <w:r w:rsidRPr="00DA42F5">
        <w:fldChar w:fldCharType="end"/>
      </w:r>
      <w:r w:rsidRPr="00DA42F5">
        <w:t xml:space="preserve">. </w:t>
      </w:r>
    </w:p>
    <w:p w14:paraId="44AB2823" w14:textId="77777777" w:rsidR="00DA42F5" w:rsidRPr="00DA42F5" w:rsidRDefault="00DA42F5" w:rsidP="00DA42F5">
      <w:r w:rsidRPr="00DA42F5">
        <w:t xml:space="preserve">While most research has focused on the pathogenic sporeformers related to food safety and intestinal infections, these strains constitute a miniscule fraction of the microbiota and far less is known about the ecological dynamics of commensal, spore-forming bacteria that are highly abundant within healthy individuals </w:t>
      </w:r>
      <w:r w:rsidRPr="00DA42F5">
        <w:fldChar w:fldCharType="begin"/>
      </w:r>
      <w:r w:rsidRPr="00DA42F5">
        <w:instrText xml:space="preserve"> ADDIN ZOTERO_ITEM CSL_CITATION {"citationID":"rI3zDF8r","properties":{"formattedCitation":"(Brown, 2000)","plainCitation":"(Brown, 2000)","noteIndex":0},"citationItems":[{"id":2993,"uris":["http://zotero.org/users/8873894/items/D6H26382"],"itemData":{"id":2993,"type":"article-journal","abstract":"Bacterial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rsidRPr="00DA42F5">
        <w:fldChar w:fldCharType="separate"/>
      </w:r>
      <w:r w:rsidRPr="00DA42F5">
        <w:rPr>
          <w:rFonts w:cs="Times New Roman"/>
        </w:rPr>
        <w:t>(Brown, 2000)</w:t>
      </w:r>
      <w:r w:rsidRPr="00DA42F5">
        <w:fldChar w:fldCharType="end"/>
      </w:r>
      <w:r w:rsidRPr="00DA42F5">
        <w:t xml:space="preserve">. Different studies have employed ethanol, heat shock or lysozyme treatment to separate vegetative cells from spores in stool samples. An advance in the isolation of ethanol resistant spore-forming bacteria was achieved with addition of bile acids to boost germination in the culture process </w:t>
      </w:r>
      <w:r w:rsidRPr="00DA42F5">
        <w:fldChar w:fldCharType="begin"/>
      </w:r>
      <w:r w:rsidRPr="00DA42F5">
        <w:instrText xml:space="preserve"> ADDIN ZOTERO_ITEM CSL_CITATION {"citationID":"rcaRLHyk","properties":{"formattedCitation":"(Browne et al., 2016a; Onizuka et al., 2021; Tanaka et al., 2020)","plainCitation":"(Browne et al., 2016a; Onizuka et al., 2021; Tanaka et al., 2020)","noteIndex":0},"citationItems":[{"id":3164,"uris":["http://zotero.org/users/8873894/items/S6UVG3L2"],"itemData":{"id":3164,"type":"article-journal","abstract":"A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A42F5">
        <w:fldChar w:fldCharType="separate"/>
      </w:r>
      <w:r w:rsidRPr="00DA42F5">
        <w:rPr>
          <w:rFonts w:cs="Times New Roman"/>
        </w:rPr>
        <w:t>(Browne et al., 2016a; Onizuka et al., 2021; Tanaka et al., 2020)</w:t>
      </w:r>
      <w:r w:rsidRPr="00DA42F5">
        <w:fldChar w:fldCharType="end"/>
      </w:r>
      <w:r w:rsidRPr="00DA42F5">
        <w:t xml:space="preserve">. More recently, culture-independent studies using either lysozyme treatment or ethanol shock to remove vegetative cells were used to investigate transmission of spore-forming bacteria between human hosts. In a cohort of healthy human adults, it was shown that lysozyme resistant OTUs are more frequently shared between individuals than other taxa </w:t>
      </w:r>
      <w:r w:rsidRPr="00DA42F5">
        <w:fldChar w:fldCharType="begin"/>
      </w:r>
      <w:r w:rsidRPr="00DA42F5">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A42F5">
        <w:fldChar w:fldCharType="separate"/>
      </w:r>
      <w:r w:rsidRPr="00DA42F5">
        <w:rPr>
          <w:rFonts w:cs="Times New Roman"/>
        </w:rPr>
        <w:t>(Kearney et al., 2018)</w:t>
      </w:r>
      <w:r w:rsidRPr="00DA42F5">
        <w:fldChar w:fldCharType="end"/>
      </w:r>
      <w:r w:rsidRPr="00DA42F5">
        <w:t xml:space="preserve">. While a comparison of infant-mother pairs showed that the majority of OTUs determined as spore-forming are acquired from environment rather than mother-to-child transmission </w:t>
      </w:r>
      <w:r w:rsidRPr="00DA42F5">
        <w:fldChar w:fldCharType="begin"/>
      </w:r>
      <w:r w:rsidRPr="00DA42F5">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DA42F5">
        <w:fldChar w:fldCharType="separate"/>
      </w:r>
      <w:r w:rsidRPr="00DA42F5">
        <w:rPr>
          <w:rFonts w:cs="Times New Roman"/>
        </w:rPr>
        <w:t>(Avershina et al., 2020)</w:t>
      </w:r>
      <w:r w:rsidRPr="00DA42F5">
        <w:fldChar w:fldCharType="end"/>
      </w:r>
      <w:r w:rsidRPr="00DA42F5">
        <w:t xml:space="preserve">.  Sporeformers are present in lower abundance in infant gut than adult’s, but despite this, they are the initial producers of butyrate, which was shown to protect the gut from intestinal diseases such as inflammatory bowel disease and colon cancer </w:t>
      </w:r>
      <w:r w:rsidRPr="00DA42F5">
        <w:fldChar w:fldCharType="begin"/>
      </w:r>
      <w:r w:rsidRPr="00DA42F5">
        <w:instrText xml:space="preserve"> ADDIN ZOTERO_ITEM CSL_CITATION {"citationID":"SyoQbQA9","properties":{"formattedCitation":"(Appert et al., 2020; Hodgkinson et al., 2023; Korpela et al., 2018; Nayfach et al., 2016)","plainCitation":"(Appert et al., 2020; Hodgkinson et al., 2023; Korpela et al., 2018; Nayfach et al., 2016)","noteIndex":0},"citationItems":[{"id":1596,"uris":["http://zotero.org/users/8873894/items/WWYT9LM8"],"itemData":{"id":1596,"type":"article-journal","abstract":"The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Microbiol","language":"eng","page":"3909-3921","PMID":"32686173","source":"PubMed","title":"Initial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Res","page":"561-568","PMID":"29496731","PMCID":"PMC5880245","source":"PubMed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rsidRPr="00DA42F5">
        <w:fldChar w:fldCharType="separate"/>
      </w:r>
      <w:r w:rsidRPr="00DA42F5">
        <w:rPr>
          <w:rFonts w:cs="Times New Roman"/>
        </w:rPr>
        <w:t>(Appert et al., 2020; Hodgkinson et al., 2023; Korpela et al., 2018; Nayfach et al., 2016)</w:t>
      </w:r>
      <w:r w:rsidRPr="00DA42F5">
        <w:fldChar w:fldCharType="end"/>
      </w:r>
      <w:r w:rsidRPr="00DA42F5">
        <w:t xml:space="preserve">. </w:t>
      </w:r>
    </w:p>
    <w:p w14:paraId="752F9ED4" w14:textId="77777777" w:rsidR="00DA42F5" w:rsidRPr="00DA42F5" w:rsidRDefault="00DA42F5" w:rsidP="00DA42F5">
      <w:r w:rsidRPr="00DA42F5">
        <w:lastRenderedPageBreak/>
        <w:t xml:space="preserve">A meta-metagenomic analysis of human gut microbiomes revealed that the loss of sporulation genes increases a bacterial species’ relative abundance in an individual, but decreases its overall prevalence in the broader population </w:t>
      </w:r>
      <w:r w:rsidRPr="00DA42F5">
        <w:fldChar w:fldCharType="begin"/>
      </w:r>
      <w:r w:rsidRPr="00DA42F5">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A42F5">
        <w:fldChar w:fldCharType="separate"/>
      </w:r>
      <w:r w:rsidRPr="00DA42F5">
        <w:rPr>
          <w:rFonts w:cs="Times New Roman"/>
        </w:rPr>
        <w:t>(Browne et al., 2021)</w:t>
      </w:r>
      <w:r w:rsidRPr="00DA42F5">
        <w:fldChar w:fldCharType="end"/>
      </w:r>
      <w:r w:rsidRPr="00DA42F5">
        <w:t xml:space="preserve">. At the level of cultured strains, the dynamics of three non-spore-forming and one spore-forming species have been tracked over time in human gut. The non-spore-forming strains of </w:t>
      </w:r>
      <w:r w:rsidRPr="00DA42F5">
        <w:rPr>
          <w:i/>
          <w:iCs/>
        </w:rPr>
        <w:t xml:space="preserve">Bacteroides </w:t>
      </w:r>
      <w:proofErr w:type="spellStart"/>
      <w:r w:rsidRPr="00DA42F5">
        <w:rPr>
          <w:i/>
          <w:iCs/>
        </w:rPr>
        <w:t>vulgatus</w:t>
      </w:r>
      <w:proofErr w:type="spellEnd"/>
      <w:r w:rsidRPr="00DA42F5">
        <w:t xml:space="preserve"> and </w:t>
      </w:r>
      <w:r w:rsidRPr="00DA42F5">
        <w:rPr>
          <w:i/>
          <w:iCs/>
        </w:rPr>
        <w:t>Bacteroides ovatus</w:t>
      </w:r>
      <w:r w:rsidRPr="00DA42F5">
        <w:t xml:space="preserve"> colonized an individual only once, while </w:t>
      </w:r>
      <w:r w:rsidRPr="00DA42F5">
        <w:rPr>
          <w:i/>
          <w:iCs/>
        </w:rPr>
        <w:t>Escherichia coli</w:t>
      </w:r>
      <w:r w:rsidRPr="00DA42F5">
        <w:t xml:space="preserve"> exhibited a mix of strains that were persistent and those that were replaced over time. In contrast, the spore-forming bacterium </w:t>
      </w:r>
      <w:proofErr w:type="spellStart"/>
      <w:r w:rsidRPr="00DA42F5">
        <w:rPr>
          <w:i/>
          <w:iCs/>
        </w:rPr>
        <w:t>Turicibacter</w:t>
      </w:r>
      <w:proofErr w:type="spellEnd"/>
      <w:r w:rsidRPr="00DA42F5">
        <w:rPr>
          <w:i/>
          <w:iCs/>
        </w:rPr>
        <w:t xml:space="preserve"> sanguinis</w:t>
      </w:r>
      <w:r w:rsidRPr="00DA42F5">
        <w:t xml:space="preserve"> showed a pattern of strain replacement with each colonization attempt </w:t>
      </w:r>
      <w:r w:rsidRPr="00DA42F5">
        <w:fldChar w:fldCharType="begin"/>
      </w:r>
      <w:r w:rsidRPr="00DA42F5">
        <w:instrText xml:space="preserve"> ADDIN ZOTERO_ITEM CSL_CITATION {"citationID":"4XY64oDa","properties":{"formattedCitation":"(Martinson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A42F5">
        <w:fldChar w:fldCharType="separate"/>
      </w:r>
      <w:r w:rsidRPr="00DA42F5">
        <w:rPr>
          <w:rFonts w:cs="Times New Roman"/>
        </w:rPr>
        <w:t>(Martinson et al., 2019; Poyet et al., 2019)</w:t>
      </w:r>
      <w:r w:rsidRPr="00DA42F5">
        <w:fldChar w:fldCharType="end"/>
      </w:r>
      <w:r w:rsidRPr="00DA42F5">
        <w:t xml:space="preserve">. Interestingly, evidence from a 24-day time series of an individuals’ </w:t>
      </w:r>
      <w:proofErr w:type="spellStart"/>
      <w:r w:rsidRPr="00DA42F5">
        <w:t>16S</w:t>
      </w:r>
      <w:proofErr w:type="spellEnd"/>
      <w:r w:rsidRPr="00DA42F5">
        <w:t xml:space="preserve"> rRNA amplicon sequences showed a higher correlation between OTUs in the lysozyme resistant fraction than other OTUs in this person’s gut, supporting the hypothesis that spore-forming bacteria can establish a persistent community of dormant cells in an environment termed ‘seed bank’ </w:t>
      </w:r>
      <w:r w:rsidRPr="00DA42F5">
        <w:fldChar w:fldCharType="begin"/>
      </w:r>
      <w:r w:rsidRPr="00DA42F5">
        <w: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rsidRPr="00DA42F5">
        <w:fldChar w:fldCharType="separate"/>
      </w:r>
      <w:r w:rsidRPr="00DA42F5">
        <w:rPr>
          <w:rFonts w:cs="Times New Roman"/>
        </w:rPr>
        <w:t>(Kearney et al., 2018; Lennon &amp; Jones, 2011)</w:t>
      </w:r>
      <w:r w:rsidRPr="00DA42F5">
        <w:fldChar w:fldCharType="end"/>
      </w:r>
      <w:r w:rsidRPr="00DA42F5">
        <w:t xml:space="preserve">. </w:t>
      </w:r>
    </w:p>
    <w:p w14:paraId="3EED1C3C" w14:textId="77777777" w:rsidR="00DA42F5" w:rsidRPr="00DA42F5" w:rsidRDefault="00DA42F5" w:rsidP="00DA42F5">
      <w:r w:rsidRPr="00DA42F5">
        <w:t xml:space="preserve">ALI </w:t>
      </w:r>
    </w:p>
    <w:p w14:paraId="2960EEF5" w14:textId="77777777" w:rsidR="00DA42F5" w:rsidRPr="00DA42F5" w:rsidRDefault="00DA42F5" w:rsidP="00DA42F5">
      <w:r w:rsidRPr="00DA42F5">
        <w:t>The human gut microbiota has a significant impact on various aspects of an organism's health, making it a crucial target for developing diagnostics, prognostics, risk assessment, and targeted therapeutic methods for different diseases (Clemente et al., 2012). The community of microbes present in the human gut is complex and dynamic, making longitudinal studies an essential tool to investigate the stability or variability of an individual's gut microbiota over time.</w:t>
      </w:r>
    </w:p>
    <w:p w14:paraId="06BBF996" w14:textId="77777777" w:rsidR="00DA42F5" w:rsidRPr="00DA42F5" w:rsidRDefault="00DA42F5" w:rsidP="00DA42F5">
      <w:r w:rsidRPr="00DA42F5">
        <w:t xml:space="preserve">Several longitudinal studies have been conducted on the gut microbiota. These studies included small (one or two) or large (hundreds) number of individuals, with two or more sampling points at different time intervals (days, weeks, months, years) within a specific geographical area. The standard method of </w:t>
      </w:r>
      <w:proofErr w:type="spellStart"/>
      <w:r w:rsidRPr="00DA42F5">
        <w:t>analyzing</w:t>
      </w:r>
      <w:proofErr w:type="spellEnd"/>
      <w:r w:rsidRPr="00DA42F5">
        <w:t xml:space="preserve"> gut bacteria is amplicon sequencing of the </w:t>
      </w:r>
      <w:proofErr w:type="spellStart"/>
      <w:r w:rsidRPr="00DA42F5">
        <w:t>16S</w:t>
      </w:r>
      <w:proofErr w:type="spellEnd"/>
      <w:r w:rsidRPr="00DA42F5">
        <w:t xml:space="preserve"> rRNA gene. However, a few studies have explored the presence of fungi using targeted sequencing of the ITS region and the </w:t>
      </w:r>
      <w:proofErr w:type="spellStart"/>
      <w:r w:rsidRPr="00DA42F5">
        <w:t>18S</w:t>
      </w:r>
      <w:proofErr w:type="spellEnd"/>
      <w:r w:rsidRPr="00DA42F5">
        <w:t xml:space="preserve"> rRNA gene, or even shotgun metagenomics. Still, bacterial fraction of gut microbiota is much better understood than that of fungi, other eukaryotes, or viruses (Martino et al., 2022).</w:t>
      </w:r>
    </w:p>
    <w:p w14:paraId="74629507" w14:textId="77777777" w:rsidR="00DA42F5" w:rsidRPr="00DA42F5" w:rsidRDefault="00DA42F5" w:rsidP="00DA42F5">
      <w:r w:rsidRPr="00DA42F5">
        <w:t>At least 50% of the bacteria present in the human gut can form endospores (Browne et al., 2016). These endospore-forming bacteria, also known as sporobiota, can survive significant disturbances such as antibiotic treatments, inflammation, or diseases (Egan et al., 2021). Bacterial spores are the first colonizers of the gut microbiota following disruption such as antibiotic therapy or illness (Tetz &amp; Tetz, 2017). Sporobiota plays a crucial role in the horizontal gene transfer of both commensal and pathogenic bacteria between different hosts and/or environments (Broaders et al., 2013). The spread of antimicrobial resistance has become an increasing concern, with horizontal gene transfer playing a particularly significant role in this phenomenon (McInnes et al., 2020). Traditional molecular methods for investigating gut microbiota are not suitable for researching spore-forming bacteria due to the hardy outer cortex of spores, which hinders DNA isolation (</w:t>
      </w:r>
      <w:proofErr w:type="spellStart"/>
      <w:r w:rsidRPr="00DA42F5">
        <w:t>Setlow</w:t>
      </w:r>
      <w:proofErr w:type="spellEnd"/>
      <w:r w:rsidRPr="00DA42F5">
        <w:t xml:space="preserve">, 2007). Moreover, there is a sequencing bias as bacteria in the phylum Bacillota </w:t>
      </w:r>
      <w:r w:rsidRPr="00DA42F5">
        <w:lastRenderedPageBreak/>
        <w:t xml:space="preserve">(Firmicutes) possess more </w:t>
      </w:r>
      <w:proofErr w:type="spellStart"/>
      <w:r w:rsidRPr="00DA42F5">
        <w:t>rrn</w:t>
      </w:r>
      <w:proofErr w:type="spellEnd"/>
      <w:r w:rsidRPr="00DA42F5">
        <w:t xml:space="preserve"> operons (on average 7.01 copies), making it difficult to ensure the reliability of targeted sequencing (Filippidou et al., 2015).</w:t>
      </w:r>
    </w:p>
    <w:p w14:paraId="04FC2DD3" w14:textId="77777777" w:rsidR="00DA42F5" w:rsidRPr="00DA42F5" w:rsidRDefault="00DA42F5" w:rsidP="00DA42F5"/>
    <w:p w14:paraId="5976A9EE" w14:textId="77777777" w:rsidR="00DA42F5" w:rsidRPr="00DA42F5" w:rsidRDefault="00DA42F5" w:rsidP="00DA42F5">
      <w:pPr>
        <w:pStyle w:val="Heading2"/>
        <w:numPr>
          <w:ilvl w:val="0"/>
          <w:numId w:val="0"/>
        </w:numPr>
        <w:ind w:left="360" w:hanging="360"/>
      </w:pPr>
      <w:bookmarkStart w:id="4" w:name="_Toc220591350"/>
      <w:r w:rsidRPr="00DA42F5">
        <w:t>1.1 RESEARCH GOALS</w:t>
      </w:r>
      <w:bookmarkEnd w:id="4"/>
    </w:p>
    <w:p w14:paraId="3861E4BB" w14:textId="77777777" w:rsidR="00DA42F5" w:rsidRPr="00DA42F5" w:rsidRDefault="00DA42F5" w:rsidP="00DA42F5">
      <w:r w:rsidRPr="00DA42F5">
        <w:t xml:space="preserve">Our research aims to optimize the isolation of DNA from spores in human stool samples and compare the metagenomic sequences of the sporobiota with that of microbiota over a period of 6 months in a small group of healthy male participants. We will look for correlations between changes in the gut microbiota and sporobiota with changes in the individual's lifestyle, which we will monitor using questionnaires. We will compare the results at the species level of taxonomy for bacteria, viruses (DNA bacteriophages and eucaryotic viruses), and fungi but also at the level of antibiotic resistance genes, by sequencing DNA from stool samples. We will also isolate chosen species from different time-points of an individual and use whole genome sequences to investigate population dynamics through time. According to goals presented below. </w:t>
      </w:r>
    </w:p>
    <w:p w14:paraId="1E90A889" w14:textId="77777777" w:rsidR="00DA42F5" w:rsidRPr="00DA42F5" w:rsidRDefault="00DA42F5" w:rsidP="00DA42F5"/>
    <w:p w14:paraId="2E9E5800" w14:textId="77777777" w:rsidR="00DA42F5" w:rsidRPr="00DA42F5" w:rsidRDefault="00DA42F5" w:rsidP="00DA42F5">
      <w:pPr>
        <w:pStyle w:val="ListParagraph"/>
        <w:numPr>
          <w:ilvl w:val="0"/>
          <w:numId w:val="40"/>
        </w:numPr>
      </w:pPr>
      <w:r w:rsidRPr="00DA42F5">
        <w:t>Description and comparison of the temporal stability of the gut microbiota and sporobiota in healthy individuals.</w:t>
      </w:r>
    </w:p>
    <w:p w14:paraId="0BA2D5BD" w14:textId="77777777" w:rsidR="00DA42F5" w:rsidRPr="00DA42F5" w:rsidRDefault="00DA42F5" w:rsidP="00DA42F5">
      <w:r w:rsidRPr="00DA42F5">
        <w:t xml:space="preserve">We aim to describe the composition, diversity, and abundance of bacterial, viral, and fungal communities in the gut, including both commonly found colonizers and sporadically occurring species at different time points. We will monitor the community variations using metagenomic sequencing, targeted sequencing of the </w:t>
      </w:r>
      <w:proofErr w:type="spellStart"/>
      <w:r w:rsidRPr="00DA42F5">
        <w:t>16S</w:t>
      </w:r>
      <w:proofErr w:type="spellEnd"/>
      <w:r w:rsidRPr="00DA42F5">
        <w:t xml:space="preserve"> rRNA gene and cultivation of specific spore-forming species. We will investigate how the individual’s time points will cluster (density of clustering) and what will be the distance between the points of samples from regular monitoring and samples from extreme events. As previous studies showed gut microbiota is </w:t>
      </w:r>
      <w:bookmarkStart w:id="5" w:name="_Int_WuvpZ9iF"/>
      <w:r w:rsidRPr="00DA42F5">
        <w:t>relatively stable</w:t>
      </w:r>
      <w:bookmarkEnd w:id="5"/>
      <w:r w:rsidRPr="00DA42F5">
        <w:t xml:space="preserve"> through time, but there are deviations from this equilibrium especially in the </w:t>
      </w:r>
      <w:r w:rsidRPr="00DA42F5">
        <w:rPr>
          <w:i/>
          <w:iCs/>
        </w:rPr>
        <w:t xml:space="preserve">Bacillota </w:t>
      </w:r>
      <w:r w:rsidRPr="00DA42F5">
        <w:t xml:space="preserve">phylum that includes most known spore-forming bacteria. We will compare the degree of clustering within and between microbiota and sporobiota samples of different individuals. We will analyse whether the longitudinal variation in the microbiota and sporobiota is similar or if one shows a greater variation than the other. </w:t>
      </w:r>
    </w:p>
    <w:p w14:paraId="00EE700E" w14:textId="77777777" w:rsidR="00DA42F5" w:rsidRPr="00DA42F5" w:rsidRDefault="00DA42F5" w:rsidP="00DA42F5">
      <w:pPr>
        <w:pStyle w:val="ListParagraph"/>
        <w:numPr>
          <w:ilvl w:val="0"/>
          <w:numId w:val="40"/>
        </w:numPr>
      </w:pPr>
      <w:r w:rsidRPr="00DA42F5">
        <w:t xml:space="preserve">Individual specific population genetics analysis on the isolated spore-forming species </w:t>
      </w:r>
    </w:p>
    <w:p w14:paraId="564D8BFF" w14:textId="77777777" w:rsidR="00DA42F5" w:rsidRPr="00DA42F5" w:rsidRDefault="00DA42F5" w:rsidP="00DA42F5">
      <w:r w:rsidRPr="00DA42F5">
        <w:t xml:space="preserve">We aim to optimize the growth conditions and to obtain strains of the same spore-forming species from different time points of an individual for whole-genome sequencing. With the genome comparison of a population of a species in different time points we will try to assess the retention/transition time and new acquisition of a spore-forming bacteria in the human gut. We will also be monitoring changes in the number of plasmids or bacteriophages in this species. This will be done in parallel with the analysis of metagenomic data. </w:t>
      </w:r>
    </w:p>
    <w:p w14:paraId="78009757" w14:textId="77777777" w:rsidR="00DA42F5" w:rsidRPr="00DA42F5" w:rsidRDefault="00DA42F5" w:rsidP="00DA42F5"/>
    <w:p w14:paraId="49BAEAE0" w14:textId="77777777" w:rsidR="00DA42F5" w:rsidRPr="00DA42F5" w:rsidRDefault="00DA42F5" w:rsidP="00DA42F5">
      <w:pPr>
        <w:pStyle w:val="ListParagraph"/>
        <w:numPr>
          <w:ilvl w:val="0"/>
          <w:numId w:val="40"/>
        </w:numPr>
      </w:pPr>
      <w:r w:rsidRPr="00DA42F5">
        <w:lastRenderedPageBreak/>
        <w:t>Monitoring longitudinal changes in the resistome depending on changes in the intestinal microbiota.</w:t>
      </w:r>
    </w:p>
    <w:p w14:paraId="22D18066" w14:textId="77777777" w:rsidR="00DA42F5" w:rsidRPr="00DA42F5" w:rsidRDefault="00DA42F5" w:rsidP="00DA42F5">
      <w:r w:rsidRPr="00DA42F5">
        <w:t>We aim to investigate the stability of antibiotic resistance genes present in the gut microbiota over time, which is also known as the gut resistome. We will assess the presence or absence and the abundance of specific antibiotic resistance genes to characterize the longitudinal stability of the resistome with metagenomic data as cultivation would only give us the results for cultivable bacteria and not overall antibiotic resistance genes, that we will get with metagenomic sequencing. Additionally, we will examine whether there is a correlation between changes observed in the gut microbiota and changes in the resistome.</w:t>
      </w:r>
    </w:p>
    <w:p w14:paraId="5A37878B" w14:textId="77777777" w:rsidR="00DA42F5" w:rsidRPr="00DA42F5" w:rsidRDefault="00DA42F5" w:rsidP="00DA42F5"/>
    <w:p w14:paraId="1F57CC12" w14:textId="77777777" w:rsidR="00DA42F5" w:rsidRPr="00DA42F5" w:rsidRDefault="00DA42F5" w:rsidP="00DA42F5">
      <w:pPr>
        <w:pStyle w:val="Heading2"/>
        <w:numPr>
          <w:ilvl w:val="1"/>
          <w:numId w:val="39"/>
        </w:numPr>
        <w:ind w:left="1440"/>
      </w:pPr>
      <w:bookmarkStart w:id="6" w:name="_Toc220591351"/>
      <w:r w:rsidRPr="00DA42F5">
        <w:t>RESEARCH HYPOTHESIS</w:t>
      </w:r>
      <w:bookmarkEnd w:id="6"/>
      <w:r w:rsidRPr="00DA42F5">
        <w:t xml:space="preserve"> </w:t>
      </w:r>
    </w:p>
    <w:p w14:paraId="063C8996" w14:textId="77777777" w:rsidR="00DA42F5" w:rsidRPr="00DA42F5" w:rsidRDefault="00DA42F5" w:rsidP="00DA42F5"/>
    <w:p w14:paraId="5B76F810" w14:textId="77777777" w:rsidR="00DA42F5" w:rsidRPr="00DA42F5" w:rsidRDefault="00DA42F5" w:rsidP="00DA42F5">
      <w:pPr>
        <w:pStyle w:val="ListParagraph"/>
        <w:numPr>
          <w:ilvl w:val="0"/>
          <w:numId w:val="41"/>
        </w:numPr>
      </w:pPr>
      <w:r w:rsidRPr="00DA42F5">
        <w:t>The gut sporobiota of an individual will be less stable than the gut microbiota.</w:t>
      </w:r>
    </w:p>
    <w:p w14:paraId="7E175CF8" w14:textId="77777777" w:rsidR="00DA42F5" w:rsidRPr="00DA42F5" w:rsidRDefault="00DA42F5" w:rsidP="00DA42F5">
      <w:pPr>
        <w:pStyle w:val="ListParagraph"/>
        <w:numPr>
          <w:ilvl w:val="0"/>
          <w:numId w:val="41"/>
        </w:numPr>
      </w:pPr>
      <w:r w:rsidRPr="00DA42F5">
        <w:t>Gut sporobiota and microbiota will change during the extreme event in most volunteers.</w:t>
      </w:r>
    </w:p>
    <w:p w14:paraId="61568A28" w14:textId="77777777" w:rsidR="00DA42F5" w:rsidRPr="00DA42F5" w:rsidRDefault="00DA42F5" w:rsidP="00DA42F5">
      <w:pPr>
        <w:pStyle w:val="ListParagraph"/>
        <w:numPr>
          <w:ilvl w:val="0"/>
          <w:numId w:val="41"/>
        </w:numPr>
      </w:pPr>
      <w:r w:rsidRPr="00DA42F5">
        <w:t>Increased presence of resistance genes will correlate with reduced diversity of the microbiota.</w:t>
      </w:r>
    </w:p>
    <w:p w14:paraId="4FFF084E" w14:textId="18F2E4FB" w:rsidR="00DA42F5" w:rsidRPr="00DA42F5" w:rsidRDefault="00DA42F5" w:rsidP="00DA42F5"/>
    <w:p w14:paraId="771A3A21" w14:textId="77777777" w:rsidR="00221812" w:rsidRPr="00DA42F5" w:rsidRDefault="00221812">
      <w:pPr>
        <w:spacing w:line="259" w:lineRule="auto"/>
        <w:jc w:val="left"/>
      </w:pPr>
      <w:r w:rsidRPr="00DA42F5">
        <w:br w:type="page"/>
      </w:r>
    </w:p>
    <w:p w14:paraId="0BBBAAF1" w14:textId="4756AF99" w:rsidR="003D12EB" w:rsidRPr="00DA42F5" w:rsidRDefault="00221812" w:rsidP="003D12EB">
      <w:pPr>
        <w:pStyle w:val="Heading1"/>
        <w:numPr>
          <w:ilvl w:val="0"/>
          <w:numId w:val="26"/>
        </w:numPr>
      </w:pPr>
      <w:bookmarkStart w:id="7" w:name="_Toc216099704"/>
      <w:bookmarkStart w:id="8" w:name="_Toc220591352"/>
      <w:r w:rsidRPr="00DA42F5">
        <w:lastRenderedPageBreak/>
        <w:t>LITERATURE REVIEW</w:t>
      </w:r>
      <w:bookmarkEnd w:id="7"/>
      <w:bookmarkEnd w:id="8"/>
    </w:p>
    <w:p w14:paraId="79AC3B52" w14:textId="77777777" w:rsidR="00DA42F5" w:rsidRPr="00DA42F5" w:rsidRDefault="00DA42F5" w:rsidP="00DA42F5">
      <w:pPr>
        <w:pStyle w:val="Heading2"/>
      </w:pPr>
      <w:bookmarkStart w:id="9" w:name="_Toc219124854"/>
      <w:bookmarkStart w:id="10" w:name="_Toc220591353"/>
      <w:r w:rsidRPr="00DA42F5">
        <w:t>HUMAN GUT MICROBIOTA</w:t>
      </w:r>
      <w:bookmarkEnd w:id="9"/>
      <w:bookmarkEnd w:id="10"/>
      <w:r w:rsidRPr="00DA42F5">
        <w:t xml:space="preserve"> </w:t>
      </w:r>
    </w:p>
    <w:p w14:paraId="5F6CAAC1" w14:textId="77777777" w:rsidR="00DA42F5" w:rsidRPr="00DA42F5" w:rsidRDefault="00DA42F5" w:rsidP="00DA42F5">
      <w:r w:rsidRPr="00DA42F5">
        <w:t>The intestine is the most densely colonized microbial habitat of the human body, harbouring trillions of bacteria along with viruses, archaea and eukaryotes that collectively form the gut microbiota (Heidrich et al., 2025). Colonization begins at birth as infants acquire bacteria from their caretakers, siblings, and the surrounding environment (Martino et al., 2022). Successful colonization of commensal bacteria depends on both their capacity to spread across human hosts and their ability to establish and grow within an individual host. Community composition reflects a continuous balance between immigration, growth, competition and cooperation among these microorganisms, constrained by host physiology, lifestyle, and environment (Amato &amp; Carmody, 2023).</w:t>
      </w:r>
    </w:p>
    <w:p w14:paraId="66DF9297" w14:textId="77777777" w:rsidR="00DA42F5" w:rsidRPr="00DA42F5" w:rsidRDefault="00DA42F5" w:rsidP="00DA42F5"/>
    <w:p w14:paraId="2A079AF3" w14:textId="77777777" w:rsidR="00DA42F5" w:rsidRPr="00DA42F5" w:rsidRDefault="00DA42F5" w:rsidP="00DA42F5">
      <w:pPr>
        <w:pStyle w:val="Heading3"/>
      </w:pPr>
      <w:bookmarkStart w:id="11" w:name="_Toc219124855"/>
      <w:bookmarkStart w:id="12" w:name="_Toc220591354"/>
      <w:r w:rsidRPr="00DA42F5">
        <w:t>Longitudinal studies of human gut microbiota</w:t>
      </w:r>
      <w:bookmarkEnd w:id="11"/>
      <w:bookmarkEnd w:id="12"/>
      <w:r w:rsidRPr="00DA42F5">
        <w:t xml:space="preserve"> </w:t>
      </w:r>
    </w:p>
    <w:p w14:paraId="00D02BEE" w14:textId="77777777" w:rsidR="00DA42F5" w:rsidRPr="00DA42F5" w:rsidRDefault="00DA42F5" w:rsidP="00DA42F5">
      <w:r w:rsidRPr="00DA42F5">
        <w:t xml:space="preserve">Longitudinal studies, in which microbiota is sampled repeatedly from the same individuals, provide the main empirical basis for understanding temporal dynamics and individuality in the human gut </w:t>
      </w:r>
      <w:r w:rsidRPr="00DA42F5">
        <w:fldChar w:fldCharType="begin"/>
      </w:r>
      <w:r w:rsidRPr="00DA42F5">
        <w:instrText xml:space="preserve"> ADDIN ZOTERO_ITEM CSL_CITATION {"citationID":"HGfrCYqt","properties":{"formattedCitation":"(Schlomann &amp; Parthasarathy, 2019)","plainCitation":"(Schlomann &amp; Parthasarathy, 2019)","noteIndex":0},"citationItems":[{"id":3469,"uris":["http://zotero.org/users/8873894/items/BAUF6V4L"],"itemData":{"id":3469,"type":"article-journal","abstract":"Vast communities of microorganisms inhabit the gastrointestinal tracts of humans and other animals. Understanding their initial development, fluctuations in composition, stability over long times, and responses to transient perturbations – in other words their dynamics – is important both for gaining basic insights into these ecosystems and for rationally manipulating them for therapeutic ends. Gut microbiome dynamics, however, remain poorly understood. We review here studies of gut microbiome dynamics in the presence and absence of external perturbations, noting especially the long timescales associated with overall stability and the short timescales associated with various underlying biological processes. Integrating these disparate timescales, we suggest, is an important goal for future work and is necessary for developing a predictive understanding of microbiome dynamics.","collection-title":"Microbiota","container-title":"Current Opinion in Microbiology","DOI":"10.1016/j.mib.2019.09.011","ISSN":"1369-5274","journalAbbreviation":"Current Opinion in Microbiology","page":"56-63","source":"ScienceDirect","title":"Timescales of gut microbiome dynamics","volume":"50","author":[{"family":"Schlomann","given":"Brandon H"},{"family":"Parthasarathy","given":"Raghuveer"}],"issued":{"date-parts":[["2019",8,1]]}}}],"schema":"https://github.com/citation-style-language/schema/raw/master/csl-citation.json"} </w:instrText>
      </w:r>
      <w:r w:rsidRPr="00DA42F5">
        <w:fldChar w:fldCharType="separate"/>
      </w:r>
      <w:r w:rsidRPr="00DA42F5">
        <w:t>(Schlomann &amp; Parthasarathy, 2019)</w:t>
      </w:r>
      <w:r w:rsidRPr="00DA42F5">
        <w:fldChar w:fldCharType="end"/>
      </w:r>
      <w:r w:rsidRPr="00DA42F5">
        <w:t xml:space="preserve">. Several longitudinal studies have been conducted on the gut microbiota. Cohorts have ranged from single‑subject dense time series to hundreds of participants, with sampling intervals from days to months or years, and typically focus on one geographical region. Most studies have profiled bacteria using </w:t>
      </w:r>
      <w:proofErr w:type="spellStart"/>
      <w:r w:rsidRPr="00DA42F5">
        <w:t>16S</w:t>
      </w:r>
      <w:proofErr w:type="spellEnd"/>
      <w:r w:rsidRPr="00DA42F5">
        <w:t xml:space="preserve"> rRNA gene amplicon sequencing, but some have also characterized fungi by targeting the ITS region or </w:t>
      </w:r>
      <w:proofErr w:type="spellStart"/>
      <w:r w:rsidRPr="00DA42F5">
        <w:t>18S</w:t>
      </w:r>
      <w:proofErr w:type="spellEnd"/>
      <w:r w:rsidRPr="00DA42F5">
        <w:t xml:space="preserve"> rRNA gene, and an increasing number now use shotgun metagenomics to capture strain‑level and functional dynamics, with some studies also including multi-omics approaches. </w:t>
      </w:r>
    </w:p>
    <w:p w14:paraId="4D320028" w14:textId="77777777" w:rsidR="00DA42F5" w:rsidRPr="00DA42F5" w:rsidRDefault="00DA42F5" w:rsidP="00DA42F5">
      <w:r w:rsidRPr="00DA42F5">
        <w:t xml:space="preserve">Early longitudinal studies relied on </w:t>
      </w:r>
      <w:proofErr w:type="spellStart"/>
      <w:r w:rsidRPr="00DA42F5">
        <w:t>DGGE</w:t>
      </w:r>
      <w:proofErr w:type="spellEnd"/>
      <w:r w:rsidRPr="00DA42F5">
        <w:t xml:space="preserve"> (denaturing gradient gel electrophoresis) or DNA microarrays </w:t>
      </w:r>
      <w:r w:rsidRPr="00DA42F5">
        <w:fldChar w:fldCharType="begin"/>
      </w:r>
      <w:r w:rsidRPr="00DA42F5">
        <w:instrText xml:space="preserve"> ADDIN ZOTERO_ITEM CSL_CITATION {"citationID":"LOwPCSdv","properties":{"formattedCitation":"(Duytschaever et al., 2011; Jalanka-Tuovinen et al., 2011; Rajili\\uc0\\u263{}-Stojanovi\\uc0\\u263{} et al., 2013)","plainCitation":"(Duytschaever et al., 2011; Jalanka-Tuovinen et al., 2011; Rajilić-Stojanović et al., 2013)","noteIndex":0},"citationItems":[{"id":1578,"uris":["http://zotero.org/users/8873894/items/CEPWCUEG"],"itemData":{"id":1578,"type":"article-journal","abstract":"Although only poorly documented, it can be assumed that intensive antibiotic treatments of chronic lung infections in patients with cystic fibrosis (CF) also affect the diversity and metabolic functioning of the gastrointestinal microbiota and potentially lead to a state of dysbiosis. A better knowledge of the differences in gut microbiota composition and stability between patients with CF and healthy subjects could lead to optimization of current antibiotic therapies and/or development of add-on therapies. Using conventional culturing and population fingerprinting by denaturing gradient gel electrophoresis (DGGE) of 16S rRNA amplicons, we compared the predominant fecal microbiota of 21 patients with CF and 24 healthy siblings in a cross-sectional study. General medium counts, as well as counts on media specific for lactic acid bacteria, clostridia, Bifidobacterium spp., Veillonella spp., and Bacteroides-Prevotella spp., were consistently higher in sibling samples than in CF samples, whereas the reverse was found for enterobacterial counts. DGGE fingerprinting uncovered large intersubject variations in both study groups. On the other hand, the cross-sectional data indicated that the predominant fecal microbiota of patients and siblings had comparable species richness. In addition, a longitudinal study was performed on 7 or 8 consecutive samples collected over a 2-year period from two patients and their respective siblings. For these samples, DGGE profiling indicated an overall trend toward lower temporal stability and lower species richness in the predominant fecal CF microbiota. The observed compositional and dynamic perturbations provide the first evidence of a general dysbiosis in children with CF compared to their siblings.","container-title":"Applied and Environmental Microbiology","DOI":"10.1128/AEM.05933-11","ISSN":"1098-5336","issue":"22","journalAbbreviation":"Appl Environ Microbiol","language":"eng","page":"8015-8024","PMID":"21926193","PMCID":"PMC3208981","source":"PubMed","title":"Cross-sectional and longitudinal comparisons of the predominant fecal microbiota compositions of a group of pediatric patients with cystic fibrosis and their healthy siblings","volume":"77","author":[{"family":"Duytschaever","given":"Gwen"},{"family":"Huys","given":"Geert"},{"family":"Bekaert","given":"Maarten"},{"family":"Boulanger","given":"Linda"},{"family":"De Boeck","given":"Kris"},{"family":"Vandamme","given":"Peter"}],"issued":{"date-parts":[["2011",11]]}}},{"id":1577,"uris":["http://zotero.org/users/8873894/items/7BZQZ77R"],"itemData":{"id":1577,"type":"article-journal","abstract":"BACKGROUND: While our knowledge of the intestinal microbiota during disease is accumulating, basic information of the microbiota in healthy subjects is still scarce. The aim of this study was to characterize the intestinal microbiota of healthy adults and specifically address its temporal stability, core microbiota and relation with intestinal symptoms. We carried out a longitudinal study by following a set of 15 healthy Finnish subjects for seven weeks and regularly assessed their intestinal bacteria and archaea with the Human Intestinal Tract (HIT) Chip, a phylogenetic microarray, in conjunction with qPCR analyses. The health perception and occurrence of intestinal symptoms was recorded by questionnaire at each sampling point.\nPRINCIPAL FINDINGS: A high overall temporal stability of the microbiota was observed. Five subjects showed transient microbiota destabilization, which correlated not only with the intake of antibiotics but also with overseas travelling and temporary illness, expanding the hitherto known factors affecting the intestinal microbiota. We identified significant correlations between the microbiota and common intestinal symptoms, including abdominal pain and bloating. The most striking finding was the inverse correlation between Bifidobacteria and abdominal pain: subjects who experienced pain had over five-fold less Bifidobacteria compared to those without pain. Finally, a novel computational approach was used to define the common core microbiota, highlighting the role of the analysis depth in finding the phylogenetic core and estimating its size. The in-depth analysis suggested that we share a substantial number of our intestinal phylotypes but as they represent highly variable proportions of the total community, many of them often remain undetected.\nCONCLUSIONS/SIGNIFICANCE: A global and high-resolution microbiota analysis was carried out to determine the temporal stability, the associations with intestinal symptoms, and the individual and common core microbiota in healthy adults. The findings provide new approaches to define intestinal health and to further characterize the microbial communities inhabiting the human gut.","container-title":"PloS One","DOI":"10.1371/journal.pone.0023035","ISSN":"1932-6203","issue":"7","journalAbbreviation":"PLoS One","language":"eng","page":"e23035","PMID":"21829582","PMCID":"PMC3145776","source":"PubMed","title":"Intestinal microbiota in healthy adults: temporal analysis reveals individual and common core and relation to intestinal symptoms","title-short":"Intestinal microbiota in healthy adults","volume":"6","author":[{"family":"Jalanka-Tuovinen","given":"Jonna"},{"family":"Salonen","given":"Anne"},{"family":"Nikkilä","given":"Janne"},{"family":"Immonen","given":"Outi"},{"family":"Kekkonen","given":"Riina"},{"family":"Lahti","given":"Leo"},{"family":"Palva","given":"Airi"},{"family":"Vos","given":"Willem M.","non-dropping-particle":"de"}],"issued":{"date-parts":[["2011"]]}}},{"id":1511,"uris":["http://zotero.org/users/8873894/items/GISEGPM4"],"itemData":{"id":1511,"type":"article-journal","abstract":"The microbiota that colonizes the human intestinal tract is complex and its structure is specific for each of us. In this study we expand the knowledge about the stability of the subject-specific microbiota and show that this ecosystem is stable in short-term intervals (&lt; 1 year) but also during long periods of time (&gt; 10 years). The faecal microbiota composition of five unrelated and healthy subjects was analysed using a comprehensive and highly reproducible phylogenetic microarray, the HITChip. The results show that the use of antibiotics, application of specific dietary regimes and distant travelling have limited impact on the microbiota composition. Several anaerobic genera, including Bifidobacterium and a number of genera within the Bacteroidetes and the Firmicutes phylum, exhibit significantly higher similarity than the total microbiota. Although the gut microbiota contains subject-specific species, the presence of which is preserved throughout the years, their relative abundance changes considerably. Consequently, the recently proposed enterotype status appears to be a varying characteristic of the microbiota. Our data show that the intestinal microbiota contains a core community of permanent colonizers, and that environmentally introduced changes of the microbiota throughout adulthood are primarily affecting the abundance but not the presence of specific microbial species.","container-title":"Environmental Microbiology","DOI":"10.1111/1462-2920.12023","ISSN":"1462-2920","issue":"4","language":"en","note":"_eprint: https://onlinelibrary.wiley.com/doi/pdf/10.1111/1462-2920.12023","page":"1146-1159","source":"Wiley Online Library","title":"Long-term monitoring of the human intestinal microbiota composition","volume":"15","author":[{"family":"Rajilić-Stojanović","given":"Mirjana"},{"family":"Heilig","given":"Hans G. H. J."},{"family":"Tims","given":"Sebastian"},{"family":"Zoetendal","given":"Erwin G."},{"family":"Vos","given":"Willem M.","non-dropping-particle":"de"}],"issued":{"date-parts":[["2013"]]}}}],"schema":"https://github.com/citation-style-language/schema/raw/master/csl-citation.json"} </w:instrText>
      </w:r>
      <w:r w:rsidRPr="00DA42F5">
        <w:fldChar w:fldCharType="separate"/>
      </w:r>
      <w:r w:rsidRPr="00DA42F5">
        <w:t>(Duytschaever et al., 2011; Jalanka-Tuovinen et al., 2011; Rajilić-Stojanović et al., 2013)</w:t>
      </w:r>
      <w:r w:rsidRPr="00DA42F5">
        <w:fldChar w:fldCharType="end"/>
      </w:r>
      <w:r w:rsidRPr="00DA42F5">
        <w:t xml:space="preserve">. With the advancement of next‑generation sequencing, </w:t>
      </w:r>
      <w:proofErr w:type="spellStart"/>
      <w:r w:rsidRPr="00DA42F5">
        <w:t>16S</w:t>
      </w:r>
      <w:proofErr w:type="spellEnd"/>
      <w:r w:rsidRPr="00DA42F5">
        <w:t xml:space="preserve"> rRNA amplicon sequencing rapidly became the dominant approach </w:t>
      </w:r>
      <w:r w:rsidRPr="00DA42F5">
        <w:fldChar w:fldCharType="begin"/>
      </w:r>
      <w:r w:rsidRPr="00DA42F5">
        <w:instrText xml:space="preserve"> ADDIN ZOTERO_ITEM CSL_CITATION {"citationID":"TgqujY3O","properties":{"formattedCitation":"(Caporaso et al., 2011; Claesson et al., 2011; Clooney et al., 2021; Costello et al., 2009; David et al., 2014; Dubois et al., 2017; Faith et al., 2013; Flores et al., 2014; Fu et al., 2019; Hao et al., 2018; Hisada et al., 2015; Jayasinghe et al., 2017; Levy et al., 2020; Mart\\uc0\\u237{}nez et al., 2013; Martinson et al., 2019; Olsson et al., 2022; Turroni et al., 2017)","plainCitation":"(Caporaso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Turroni et al., 2017)","noteIndex":0},"citationItems":[{"id":1113,"uris":["http://zotero.org/users/8873894/items/J7BXX9RI"],"itemData":{"id":1113,"type":"article-journal","abstract":"Background: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I"},{"family":"Knight","given":"Rob"}],"issued":{"date-parts":[["2011"]]}}},{"id":1567,"uris":["http://zotero.org/users/8873894/items/5CR64PC5"],"itemData":{"id":1567,"type":"article-journal","abstract":"Alterations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W."}],"issued":{"date-parts":[["2011",3,15]]}}},{"id":1590,"uris":["http://zotero.org/users/8873894/items/GHJ58Y3G"],"itemData":{"id":1590,"type":"article-journal","abstract":"Objective The microbiome contributes to the pathogenesis of inflammatory bowel disease (IBD) but the relative contribution of different lifestyle and environmental factors to the compositional variability of the gut microbiota is unclear.\nDesign Here, we rank the size effect of disease activity, medications, diet and geographic location of the faecal microbiota composition (16S rRNA gene sequencing) in patients with Crohn’s disease (CD; n=303), ulcerative colitis (UC; n = 228) and controls (n=161), followed longitudinally (at three time points with 16 weeks intervals).\nResults Reduced microbiota diversity but increased variability was confirmed in CD and UC compared with controls. Significant compositional differences between diseases, particularly CD, and controls were evident. Longitudinal analyses revealed reduced temporal microbiota stability in IBD, particularly in patients with changes in disease activity. Machine learning separated disease from controls, and active from inactive disease, when consecutive time points were modelled. Geographic location accounted for most of the microbiota variance, second to the presence or absence of CD, followed by history of surgical resection, alcohol consumption and UC diagnosis, medications and diet with most (90.3%) of the compositional variance stochastic or unexplained.\nConclusion The popular concept of precision medicine and rational design of any therapeutic manipulation of the microbiota will have to contend not only with the heterogeneity of the host response, but also with widely differing lifestyles and with much variance still unaccounted for.","container-title":"Gut","DOI":"10.1136/gutjnl-2020-321106","ISSN":"0017-5749, 1468-3288","issue":"3","language":"en","license":"©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http://creativecommons.org/licenses/by-nc/4.0/.","page":"499-510","PMID":"32536605","publisher":"BMJ Publishing Group","section":"Inflammatory bowel disease","source":"gut.bmj.com","title":"Ranking microbiome variance in inflammatory bowel disease: a large longitudinal intercontinental study","title-short":"Ranking microbiome variance in inflammatory bowel disease","volume":"70","author":[{"family":"Clooney","given":"Adam G."},{"family":"Eckenberger","given":"Julia"},{"family":"Laserna-Mendieta","given":"Emilio"},{"family":"Sexton","given":"Kathryn A."},{"family":"Bernstein","given":"Matthew T."},{"family":"Vagianos","given":"Kathy"},{"family":"Sargent","given":"Michael"},{"family":"Ryan","given":"Feargal J."},{"family":"Moran","given":"Carthage"},{"family":"Sheehan","given":"Donal"},{"family":"Sleator","given":"Roy D."},{"family":"Targownik","given":"Laura E."},{"family":"Bernstein","given":"Charles N."},{"family":"Shanahan","given":"Fergus"},{"family":"Claesson","given":"Marcus J."}],"issued":{"date-parts":[["2021",3,1]]}}},{"id":1114,"uris":["http://zotero.org/users/8873894/items/UW5I5LEN"],"itemData":{"id":1114,"type":"article-journal","container-title":"Science","DOI":"10.1126/science.1177486","issue":"5960","page":"1694-1697","publisher":"American Association for the Advancement of Science","source":"science.org (Atypon)","title":"Bacterial Community Variation in Human Body Habitats Across Space and Time","volume":"326","author":[{"family":"Costello","given":"Elizabeth K."},{"family":"Lauber","given":"Christian L."},{"family":"Hamady","given":"Micah"},{"family":"Fierer","given":"Noah"},{"family":"Gordon","given":"Jeffrey I."},{"family":"Knight","given":"Rob"}],"issued":{"date-parts":[["2009",12,18]]}}},{"id":1118,"uris":["http://zotero.org/users/8873894/items/BZDKSHQD"],"itemData":{"id":1118,"type":"article-journal","abstract":"Background: Disturbance to human microbiota may underlie several pathologies. Yet, we lack a comprehensive understanding of how lifestyle affects the dynamics of human-associated microbial communities.\nResults: Here, we link over 10,000 longitudinal measurements of human wellness and action to the daily gut and salivary microbiota dynamics of two individuals over the course of one year. These time series show overall microbial communities to be stable for months. However, rare events in each subjects’ life rapidly and broadly impacted microbiota dynamics. Travel from the developed to the developing world in one subject led to a nearly two-fold increase in the Bacteroidetes to Firmicutes ratio, which reversed upon return. Enteric infection in the other subject resulted in the permanent decline of most gut bacterial taxa, which were replaced by genetically similar species. Still, even during periods of overall community stability, the dynamics of select microbial taxa could be associated with specific host behaviors. Most prominently, changes in host fiber intake positively correlated with next-day abundance changes among 15% of gut microbiota members.\nConclusions: Our findings suggest that although human-associated microbial communities are generally stable, they can be quickly and profoundly altered by common human actions and experiences.","container-title":"Genome Biology","DOI":"10.1186/gb-2014-15-7-r89","ISSN":"1465-6906","issue":"7","journalAbbreviation":"Genome Biol","language":"en","page":"R89","source":"DOI.org (Crossref)","title":"Host lifestyle affects human microbiota on daily timescales","volume":"15","author":[{"family":"David","given":"Lawrence A"},{"family":"Materna","given":"Arne C"},{"family":"Friedman","given":"Jonathan"},{"family":"Campos-Baptista","given":"Maria I"},{"family":"Blackburn","given":"Matthew C"},{"family":"Perrotta","given":"Allison"},{"family":"Erdman","given":"Susan E"},{"family":"Alm","given":"Eric J"}],"issued":{"date-parts":[["2014"]]}}},{"id":1584,"uris":["http://zotero.org/users/8873894/items/8AT8KFEK"],"itemData":{"id":1584,"type":"article-journal","abstract":"BACKGROUND: The human gut microbiome represents a diverse microbial community that varies across individuals and populations, and is influenced by factors such as host genetics and lifestyle. Diet is a major force shaping the gut microbiome, and the effects of dietary choices on microbiome composition are well documented. However, it remains poorly known how natural temporal variation in diet can affect the microbiome. The traditional Inuit diet is primarily based on animal products, which are thought to vary seasonally according to prey availability. We previously investigated the Inuit gut microbiome sampled at a single time point, and found no detectable differences in overall microbiome community composition attributable to the traditional Inuit diet.\nRESULTS: To determine whether seasonal changes in the Inuit diet might induce more pronounced changes in the microbiome, we collected stool and toilet paper samples, and dietary information from Inuit volunteers living in Resolute Bay (Nunavut, Canada), and compared them to individuals of European descent living in Montréal (Québec, Canada) consuming a typical Western diet. We sequenced the V4 region of the 16S rRNA gene to characterize microbiome diversity and composition, and compared samples collected with toilet paper or from stool. Our results show that these sampling methods provide similar, but non-identical portraits of the microbiome. Based on toilet paper samples, we found that much of the variation in microbiome community composition could be explained by individual identity (45-61% of variation explained, depending on the beta diversity metric used), with small but significant variation (3-5%) explained by sex or geography (Nunavut or Montréal). In contrast with our previous study at one time point, sampling over the course of a year revealed that diet explains 11% of variation in community composition across all participants, and 17% of variation specifically among Nunavut participants. However, we observed no clear seasonal shifts in the microbiomes of participants from either Nunavut or Montréal. Within-individual microbial diversity fluctuated more over time in Nunavut than in Montréal, consistent with a more variable and highly individualized diet in Nunavut.\nCONCLUSIONS: Together, these results shows that the traditional Inuit diet and lifestyle has an impact on the composition, diversity and stability of the Inuit gut microbiome, even if the seasonality of the diet is less pronounced than expected, perhaps due to an increasingly westernized diet.","container-title":"Microbiome","DOI":"10.1186/s40168-017-0370-7","ISSN":"2049-2618","issue":"1","journalAbbreviation":"Microbiome","language":"eng","page":"151","PMID":"29145891","PMCID":"PMC5689144","source":"PubMed","title":"The Inuit gut microbiome is dynamic over time and shaped by traditional foods","volume":"5","author":[{"family":"Dubois","given":"Geneviève"},{"family":"Girard","given":"Catherine"},{"family":"Lapointe","given":"François-Joseph"},{"family":"Shapiro","given":"B. Jesse"}],"issued":{"date-parts":[["2017",11,16]]}}},{"id":1112,"uris":["http://zotero.org/users/8873894/items/C29JXBJV"],"itemData":{"id":1112,"type":"article-journal","abstract":"A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I."}],"issued":{"date-parts":[["2013",7,5]]}}},{"id":1512,"uris":["http://zotero.org/users/8873894/items/DTPQY9MB"],"itemData":{"id":1512,"type":"article-journal","abstract":"It is now apparent that the complex microbial communities found on and in the human body vary across individuals. What has largely been missing from previous studies is an understanding of how these communities vary over time within individuals. To the extent to which it has been considered, it is often assumed that temporal variability is negligible for healthy adults. Here we address this gap in understanding by profiling the forehead, gut (fecal), palm, and tongue microbial communities in 85 adults, weekly over 3 months.","container-title":"Genome Biology","DOI":"10.1186/s13059-014-0531-y","ISSN":"1474-760X","issue":"12","journalAbbreviation":"Genome Biology","page":"531","source":"BioMed Central","title":"Temporal variability is a personalized feature of the human microbiome","volume":"15","author":[{"family":"Flores","given":"Gilberto E."},{"family":"Caporaso","given":"J. Gregory"},{"family":"Henley","given":"Jessica B."},{"family":"Rideout","given":"Jai Ram"},{"family":"Domogala","given":"Daniel"},{"family":"Chase","given":"John"},{"family":"Leff","given":"Jonathan W."},{"family":"Vázquez-Baeza","given":"Yoshiki"},{"family":"Gonzalez","given":"Antonio"},{"family":"Knight","given":"Rob"},{"family":"Dunn","given":"Robert R."},{"family":"Fierer","given":"Noah"}],"issued":{"date-parts":[["2014",12,3]]}}},{"id":1586,"uris":["http://zotero.org/users/8873894/items/4MHV6IR7"],"itemData":{"id":1586,"type":"article-journal","abstract":"BACKGROUND: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J."}],"issued":{"date-parts":[["2019",1]]}}},{"id":1062,"uris":["http://zotero.org/users/8873894/items/J48JRAKJ"],"itemData":{"id":1062,"type":"article-journal","abstract":"Understanding the dynamics of human gut microbiota in space is crucial in maintaining astronaut health. Long-duration and deep-space manned exploration will require the in situ regeneration of resources, which would be achieved by an artificial ecosystem, such as a bioregenerative life-support system (BLSS). Potential response of human gut microbiota to particular lifestyle and dietary structure experienced in a BLSS remains unclear. Here, we report how a BLSS impacts the gut microbiota during a 105-day study that took place in the Chinese Lunar Palace 1 (LP1). The three crewmembers were provided with high-plant and high-fibre diet, and they followed a fixed schedule including extensive labour in the plant cabin. The gut microbiota composition of the three crewmembers showed convergence and similar dynamic change. Increased diversity and abundance of Lachnospira, Faecalibacterium and Blautia indicated that the LP1 dietary structure and the lifestyle may be beneficial for the maintenance of healthy gut microbiome. A stronger impact was found from the gut microbiome to the environment compared with the opposite direction, suggesting the necessity of environmental pathogen control in BLSS.","container-title":"Environmental Microbiology","DOI":"10.1111/1462-2920.14358","ISSN":"1462-2920","issue":"10","language":"en","note":"_eprint: https://onlinelibrary.wiley.com/doi/pdf/10.1111/1462-2920.14358","page":"3643-3656","source":"Wiley Online Library","title":"The influence of bioregenerative life-support system dietary structure and lifestyle on the gut microbiota: a 105-day ground-based space simulation in Lunar Palace 1","title-short":"The influence of bioregenerative life-support system dietary structure and lifestyle on the gut microbiota","volume":"20","author":[{"family":"Hao","given":"Zikai"},{"family":"Li","given":"Leyuan"},{"family":"Fu","given":"Yuming"},{"family":"Liu","given":"Hong"}],"issued":{"date-parts":[["2018"]]}}},{"id":1581,"uris":["http://zotero.org/users/8873894/items/Q4QP9PMD"],"itemData":{"id":1581,"type":"article-journal","abstract":"Relationships between human gut microbiota, dietary habits, and health/diseases are the subject of epidemiological and clinical studies. However, the temporal stability and variability of the bacterial community in fecal samples remain unclear. In this study, middle-aged Japanese male and female volunteers (n = 5 each) without disease were recruited from the Sakura Diet Study. Fecal samples and lifestyle information were collected in every quarter and at each defecation for 7 continuous days. Next-generation sequencing of 16S rDNA and hierarchical clustering showed no time trend and intra-individual differences in both fecal sample sets. Significant inter-individual variations in seasonal and daily fecal sample sets were detected for 24 and 23 out of 39 selected dominant genera (&gt;0.1% of the total human gut microbiota; occupation rate &gt;85%), respectively. Intra- to inter-individual variance ratios in 26 and 35 genera were significantly &lt;1.0 for seasonal and daily stabilities. Seasonal variation in fermented milk consumption might be associated with Bifidobacterium composition, but not with Lactobacillus. For most of the dominant genera in the human gut microbiota, inter-individual variations were significantly larger than intra-individual variations. Further studies are warranted to determine the contributions of human gut microbiota to nutritional metabolism, health promotion, and prevention/development of diseases.","container-title":"Archives of Microbiology","DOI":"10.1007/s00203-015-1125-0","ISSN":"1432-072X","issue":"7","journalAbbreviation":"Arch Microbiol","language":"eng","page":"919-934","PMID":"26068535","PMCID":"PMC4536265","source":"PubMed","title":"Inter- and intra-individual variations in seasonal and daily stabilities of the human gut microbiota in Japanese","volume":"197","author":[{"family":"Hisada","given":"Takayoshi"},{"family":"Endoh","given":"Kaori"},{"family":"Kuriki","given":"Kiyonori"}],"issued":{"date-parts":[["2015",9]]}}},{"id":1059,"uris":["http://zotero.org/users/8873894/items/HWV479CZ"],"itemData":{"id":1059,"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M."}],"issued":{"date-parts":[["2017",12,1]]}}},{"id":1396,"uris":["http://zotero.org/users/8873894/items/3GTDIIXU"],"itemData":{"id":1396,"type":"article-journal","abstract":"Deep molecular phenotyping of individuals provides the opportunity for biological insight into host physiology. As the human microbiome is increasingly being recognized as an important determinant of host health, understanding the host–microbiome relationship in a multiomics context may pave the way forward for targeted interventions. In this study, we analyze gut microbial composition of 101 individuals over the course of a year, alongside clinical markers and serum metabolomics. We establish association between specific gut compositional states and host health biomarkers (e.g., of inflammation). Finally, we provide evidence for an apparent transition barrier between these compositional states. A deeper understanding of microbiome dynamics and the associated variation in host phenotypes furthers our ability to engineer effective interventions that optimize wellness., The Pioneer 100 Wellness Project involved quantitatively profiling 108 participants’ molecular physiology over time, including genomes, gut microbiomes, blood metabolomes, blood proteomes, clinical chemistries, and data from wearable devices. Here, we present a longitudinal analysis focused specifically around the Pioneer 100 gut microbiomes. We distinguished a subpopulation of individuals with reduced gut diversity, elevated relative abundance of the genus Prevotella, and reduced levels of the genus Bacteroides. We found that the relative abundances of Bacteroides and Prevotella were significantly correlated with certain serum metabolites, including omega-6 fatty acids. Primary dimensions in distance-based redundancy analysis of clinical chemistries explained 18.5% of the variance in bacterial community composition, and revealed a Bacteroides/Prevotella dichotomy aligned with inflammation and dietary markers. Finally, longitudinal analysis of gut microbiome dynamics within individuals showed that direct transitions between Bacteroides-dominated and Prevotella-dominated communities were rare, suggesting the presence of a barrier between these states. One implication is that interventions seeking to transition between Bacteroides- and Prevotella-dominated communities will need to identify permissible paths through ecological state-space that circumvent this apparent barrier.","container-title":"Proceedings of the National Academy of Sciences of the United States of America","DOI":"10.1073/pnas.1922498117","ISSN":"0027-8424","issue":"24","journalAbbreviation":"Proc Natl Acad Sci U S A","page":"13839-13845","PMID":"32471946","PMCID":"PMC7306764","source":"PubMed Central","title":"Longitudinal analysis reveals transition barriers between dominant ecological states in the gut microbiome","volume":"117","author":[{"family":"Levy","given":"Roie"},{"family":"Magis","given":"Andrew T."},{"family":"Earls","given":"John C."},{"family":"Manor","given":"Ohad"},{"family":"Wilmanski","given":"Tomasz"},{"family":"Lovejoy","given":"Jennifer"},{"family":"Gibbons","given":"Sean M."},{"family":"Omenn","given":"Gilbert S."},{"family":"Hood","given":"Leroy"},{"family":"Price","given":"Nathan D."}],"issued":{"date-parts":[["2020",6,16]]}}},{"id":1063,"uris":["http://zotero.org/users/8873894/items/BJP4NI43"],"itemData":{"id":1063,"type":"article-journal","abstract":"Next-generation sequencing has greatly contributed to an improved ecological understanding of the human gut microbiota. Nevertheless, questions remain regarding the characteristics of this ecosystem and the ecological processes that shape it, and controversy has arisen regarding the stability of the bacterial populations and the existence of a temporal core. In this study, we have characterized the fecal microbial communities of three human individuals over a one-year period by 454 pyrosequencing of 16S rRNA tags in order to investigate the temporal characteristics of the bacterial communities. The findings revealed a temporal core of 33 to 40 species-level Operational Taxonomic Units (OTUs) within subjects. Although these OTUs accounted only for around 12% of the total OTUs detected, they added up to &gt;75% of the total sequences obtained for each individual. In order to determine the capacity of the sequencing and bioinformatic approaches applied during this study to accurately determine the proportion of a core microbiota, we analyzed the fecal microbiota of nine mice with a defined three-member community. This experiment revealed that the sequencing approach inflated the amount of rare OTUs, which introduced a significant degree of artificial variation across samples, and hence reduced the apparent fraction of shared OTUs. However, when assessing the data quantitatively by focusing on dominant lineages, the sequencing approaches deliver an accurate representation of the community. In conclusion, this study revealed that the human fecal microbiota is dominated by around 40 species that maintain persistent populations over the duration of one year. The findings allow conclusions about the ecological factors that shape the community and support the concept of a homeostatic ecosystem controlled largely by deterministic processes. Our analysis of a three-member community revealed that methodological artifacts of OTU-based approaches complicate core calculations, and these limitations have to be considered in the interpretation of microbiome studies.","container-title":"PLOS ONE","DOI":"10.1371/journal.pone.0069621","ISSN":"1932-6203","issue":"7","journalAbbreviation":"PLOS ONE","language":"en","page":"e69621","publisher":"Public Library of Science","source":"PLoS Journals","title":"Long-Term Temporal Analysis of the Human Fecal Microbiota Revealed a Stable Core of Dominant Bacterial Species","volume":"8","author":[{"family":"Martínez","given":"Inés"},{"family":"Muller","given":"Catherine E."},{"family":"Walter","given":"Jens"}],"issued":{"date-parts":[["2013",7,16]]}}},{"id":1067,"uris":["http://zotero.org/users/8873894/items/NLVU5PGV"],"itemData":{"id":1067,"type":"article-journal","abstract":"Longitudinal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1061,"uris":["http://zotero.org/users/8873894/items/MAYR2WCS"],"itemData":{"id":1061,"type":"article-journal","abstract":"The intestinal microbial communities and their temporal dynamics are gaining increasing interest due to the significant implications for human health. Recent studies have shown the dynamic behavior of the gut microbiota in free-living, healthy persons. To date, it is not known whether these dynamics are applicable during prolonged life sharing in a confined and controlled environment.","container-title":"Microbiome","DOI":"10.1186/s40168-017-0256-8","ISSN":"2049-2618","issue":"1","journalAbbreviation":"Microbiome","page":"39","source":"BioMed Central","title":"Temporal dynamics of the gut microbiota in people sharing a confined environment, a 520-day ground-based space simulation, MARS500","volume":"5","author":[{"family":"Turroni","given":"Silvia"},{"family":"Rampelli","given":"Simone"},{"family":"Biagi","given":"Elena"},{"family":"Consolandi","given":"Clarissa"},{"family":"Severgnini","given":"Marco"},{"family":"Peano","given":"Clelia"},{"family":"Quercia","given":"Sara"},{"family":"Soverini","given":"Matteo"},{"family":"Carbonero","given":"Franck G."},{"family":"Bianconi","given":"Giovanna"},{"family":"Rettberg","given":"Petra"},{"family":"Canganella","given":"Francesco"},{"family":"Brigidi","given":"Patrizia"},{"family":"Candela","given":"Marco"}],"issued":{"date-parts":[["2017",3,24]]}}}],"schema":"https://github.com/citation-style-language/schema/raw/master/csl-citation.json"} </w:instrText>
      </w:r>
      <w:r w:rsidRPr="00DA42F5">
        <w:fldChar w:fldCharType="separate"/>
      </w:r>
      <w:r w:rsidRPr="00DA42F5">
        <w:t>(Caporaso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Turroni et al., 2017)</w:t>
      </w:r>
      <w:r w:rsidRPr="00DA42F5">
        <w:fldChar w:fldCharType="end"/>
      </w:r>
      <w:r w:rsidRPr="00DA42F5">
        <w:t xml:space="preserve">. These studies included populations ranging from one or two individuals to several hundred adults, typically male but sometimes female, with individuals aged between 18 and 50 years and a body mass index between 18.5 and 25. Sampling intervals ranged from daily or weekly to several months or even years apart. Densely sampled time series studies showed strong individual-specific and relatively persistent community structure despite day-to-day fluctuations </w:t>
      </w:r>
      <w:r w:rsidRPr="00DA42F5">
        <w:fldChar w:fldCharType="begin"/>
      </w:r>
      <w:r w:rsidRPr="00DA42F5">
        <w:instrText xml:space="preserve"> ADDIN ZOTERO_ITEM CSL_CITATION {"citationID":"ttSAftGC","properties":{"formattedCitation":"(Caporaso et al., 2011)","plainCitation":"(Caporaso et al., 2011)","noteIndex":0},"citationItems":[{"id":1113,"uris":["http://zotero.org/users/8873894/items/J7BXX9RI"],"itemData":{"id":1113,"type":"article-journal","abstract":"Background: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I"},{"family":"Knight","given":"Rob"}],"issued":{"date-parts":[["2011"]]}}}],"schema":"https://github.com/citation-style-language/schema/raw/master/csl-citation.json"} </w:instrText>
      </w:r>
      <w:r w:rsidRPr="00DA42F5">
        <w:fldChar w:fldCharType="separate"/>
      </w:r>
      <w:r w:rsidRPr="00DA42F5">
        <w:t>(Caporaso et al., 2011)</w:t>
      </w:r>
      <w:r w:rsidRPr="00DA42F5">
        <w:fldChar w:fldCharType="end"/>
      </w:r>
      <w:r w:rsidRPr="00DA42F5">
        <w:t xml:space="preserve">. Studies in older adults (over 65 years of age) found a persistent individual gut microbiota over periods of three to six months at high taxonomic levels, but with certain taxa showing variability at the OTU level </w:t>
      </w:r>
      <w:r w:rsidRPr="00DA42F5">
        <w:fldChar w:fldCharType="begin"/>
      </w:r>
      <w:r w:rsidRPr="00DA42F5">
        <w:instrText xml:space="preserve"> ADDIN ZOTERO_ITEM CSL_CITATION {"citationID":"iVd1bcxW","properties":{"formattedCitation":"(Claesson et al., 2011; Fu et al., 2019)","plainCitation":"(Claesson et al., 2011; Fu et al., 2019)","noteIndex":0},"citationItems":[{"id":1567,"uris":["http://zotero.org/users/8873894/items/5CR64PC5"],"itemData":{"id":1567,"type":"article-journal","abstract":"Alterations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W."}],"issued":{"date-parts":[["2011",3,15]]}}},{"id":1586,"uris":["http://zotero.org/users/8873894/items/4MHV6IR7"],"itemData":{"id":1586,"type":"article-journal","abstract":"BACKGROUND: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J."}],"issued":{"date-parts":[["2019",1]]}}}],"schema":"https://github.com/citation-style-language/schema/raw/master/csl-citation.json"} </w:instrText>
      </w:r>
      <w:r w:rsidRPr="00DA42F5">
        <w:fldChar w:fldCharType="separate"/>
      </w:r>
      <w:r w:rsidRPr="00DA42F5">
        <w:t>(Claesson et al., 2011; Fu et al., 2019)</w:t>
      </w:r>
      <w:r w:rsidRPr="00DA42F5">
        <w:fldChar w:fldCharType="end"/>
      </w:r>
      <w:r w:rsidRPr="00DA42F5">
        <w:t xml:space="preserve">. Other studies have found </w:t>
      </w:r>
      <w:r w:rsidRPr="00DA42F5">
        <w:lastRenderedPageBreak/>
        <w:t xml:space="preserve">longitudinally persistent intestinal microbiota at the phylum or family level over periods ranging from a few months to several years or even decades </w:t>
      </w:r>
      <w:r w:rsidRPr="00DA42F5">
        <w:fldChar w:fldCharType="begin"/>
      </w:r>
      <w:r w:rsidRPr="00DA42F5">
        <w:instrText xml:space="preserve"> ADDIN ZOTERO_ITEM CSL_CITATION {"citationID":"RBI6YCqZ","properties":{"formattedCitation":"(Faith et al., 2013; Jayasinghe et al., 2017)","plainCitation":"(Faith et al., 2013; Jayasinghe et al., 2017)","noteIndex":0},"citationItems":[{"id":1112,"uris":["http://zotero.org/users/8873894/items/C29JXBJV"],"itemData":{"id":1112,"type":"article-journal","abstract":"A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I."}],"issued":{"date-parts":[["2013",7,5]]}}},{"id":1059,"uris":["http://zotero.org/users/8873894/items/HWV479CZ"],"itemData":{"id":1059,"type":"article-journal","abstract":"There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M."}],"issued":{"date-parts":[["2017",12,1]]}}}],"schema":"https://github.com/citation-style-language/schema/raw/master/csl-citation.json"} </w:instrText>
      </w:r>
      <w:r w:rsidRPr="00DA42F5">
        <w:fldChar w:fldCharType="separate"/>
      </w:r>
      <w:r w:rsidRPr="00DA42F5">
        <w:t>(Faith et al., 2013; Jayasinghe et al., 2017)</w:t>
      </w:r>
      <w:r w:rsidRPr="00DA42F5">
        <w:fldChar w:fldCharType="end"/>
      </w:r>
      <w:r w:rsidRPr="00DA42F5">
        <w:t xml:space="preserve">. </w:t>
      </w:r>
    </w:p>
    <w:p w14:paraId="123CEF4D" w14:textId="47F60A78" w:rsidR="00DA42F5" w:rsidRPr="00DA42F5" w:rsidRDefault="00DA42F5" w:rsidP="00DA42F5">
      <w:r w:rsidRPr="00DA42F5">
        <w:t xml:space="preserve">However, the apparent stability at higher taxonomic levels changes when using shotgun metagenomic sequencing, which offers greater taxonomic resolution. Longitudinal studies using metagenomic sequencing have compared vertical transmission and early assembly of gut microbiota in the first year of life </w:t>
      </w:r>
      <w:r w:rsidRPr="00DA42F5">
        <w:fldChar w:fldCharType="begin"/>
      </w:r>
      <w:r w:rsidRPr="00DA42F5">
        <w:instrText xml:space="preserve"> ADDIN ZOTERO_ITEM CSL_CITATION {"citationID":"vawl4Srv","properties":{"formattedCitation":"(Asnicar et al., 2017; Yassour et al., 2018)","plainCitation":"(Asnicar et al., 2017; Yassour et al., 2018)","noteIndex":0},"citationItems":[{"id":1900,"uris":["http://zotero.org/users/8873894/items/CFNX3LF2"],"itemData":{"id":1900,"type":"article-journal","abstract":"The gut microbiome becomes shaped in the first days of life and continues to increase its diversity during the first months. Links between the configuration of the infant gut microbiome and infant health are being shown, but a comprehensive strain-level assessment of microbes vertically transmitted from mother to infant is still missing. We collected fecal and breast milk samples from multiple mother-infant pairs during the first year of life and applied shotgun metagenomic sequencing followed by computational strain-level profiling. We observed that several specific strains, including those of Bifidobacterium bifidum, Coprococcus comes, and Ruminococcus bromii, were present in samples from the same mother-infant pair, while being clearly distinct from those carried by other pairs, which is indicative of vertical transmission. We further applied metatranscriptomics to study the in vivo gene expression of vertically transmitted microbes and found that transmitted strains of Bacteroides and Bifidobacterium species were transcriptionally active in the guts of both adult and infant. By combining longitudinal microbiome sampling and newly developed computational tools for strain-level microbiome analysis, we demonstrated that it is possible to track the vertical transmission of microbial strains from mother to infants and to characterize their transcriptional activity. Our work provides the foundation for larger-scale surveys to identify the routes of vertical microbial transmission and its influence on postinfancy microbiome development.\nIMPORTANCE Early infant exposure is important in the acquisition and ultimate development of a healthy infant microbiome. There is increasing support for the idea that the maternal microbial reservoir is a key route of microbial transmission, and yet much is inferred from the observation of shared species in mother and infant. The presence of common species, per se, does not necessarily equate to vertical transmission, as species exhibit considerable strain heterogeneity. It is therefore imperative to assess whether shared microbes belong to the same genetic variant (i.e., strain) to support the hypothesis of vertical transmission. Here we demonstrate the potential of shotgun metagenomics and strain-level profiling to identify vertical transmission events. Combining these data with metatranscriptomics, we show that it is possible not only to identify and track the fate of microbes in the early infant microbiome but also to investigate the actively transcribing members of the community. These approaches will ultimately provide important insights into the acquisition, development, and community dynamics of the infant microbiome.","container-title":"mSystems","DOI":"10.1128/mSystems.00164-16","issue":"1","page":"e00164-16","publisher":"American Society for Microbiology","source":"journals.asm.org (Atypon)","title":"Studying Vertical Microbiome Transmission from Mothers to Infants by Strain-Level Metagenomic Profiling","volume":"2","author":[{"family":"Asnicar","given":"Francesco"},{"family":"Manara","given":"Serena"},{"family":"Zolfo","given":"Moreno"},{"family":"Truong","given":"Duy Tin"},{"family":"Scholz","given":"Matthias"},{"family":"Armanini","given":"Federica"},{"family":"Ferretti","given":"Pamela"},{"family":"Gorfer","given":"Valentina"},{"family":"Pedrotti","given":"Anna"},{"family":"Tett","given":"Adrian"},{"family":"Segata","given":"Nicola"}],"issued":{"date-parts":[["2017",1,17]]}}},{"id":1911,"uris":["http://zotero.org/users/8873894/items/AJLUELGH"],"itemData":{"id":1911,"type":"article-journal","abstract":"Bacterial community acquisition in the infant gut impacts immune education and disease susceptibility. We compared bacterial strains across and within families in a prospective birth cohort of 44 infants and their mothers, sampled longitudinally in the first months of each child’s life. We identified mother-to-child bacterial transmission events and describe the incidence of family-specific antibiotic resistance genes. We observed two inheritance patterns across multiple species, where often the mother’s dominant strain is transmitted to the child, but occasionally her secondary strains colonize the infant gut. In families where the secondary strain of B. uniformis was inherited, a starch utilization gene cluster that was absent in the mother’s dominant strain was identified in the child, suggesting the selective advantage of a mother’s secondary strain in the infant gut. Our findings reveal mother-to-child bacterial transmission events at high resolution and give insights into early colonization of the infant gut.","container-title":"Cell Host &amp; Microbe","DOI":"10.1016/j.chom.2018.06.007","ISSN":"1931-3128","issue":"1","journalAbbreviation":"Cell Host &amp; Microbe","language":"en","page":"146-154.e4","source":"ScienceDirect","title":"Strain-Level Analysis of Mother-to-Child Bacterial Transmission during the First Few Months of Life","volume":"24","author":[{"family":"Yassour","given":"Moran"},{"family":"Jason","given":"Eeva"},{"family":"Hogstrom","given":"Larson J."},{"family":"Arthur","given":"Timothy D."},{"family":"Tripathi","given":"Surya"},{"family":"Siljander","given":"Heli"},{"family":"Selvenius","given":"Jenni"},{"family":"Oikarinen","given":"Sami"},{"family":"Hyöty","given":"Heikki"},{"family":"Virtanen","given":"Suvi M."},{"family":"Ilonen","given":"Jorma"},{"family":"Ferretti","given":"Pamela"},{"family":"Pasolli","given":"Edoardo"},{"family":"Tett","given":"Adrian"},{"family":"Asnicar","given":"Francesco"},{"family":"Segata","given":"Nicola"},{"family":"Vlamakis","given":"Hera"},{"family":"Lander","given":"Eric S."},{"family":"Huttenhower","given":"Curtis"},{"family":"Knip","given":"Mikael"},{"family":"Xavier","given":"Ramnik J."}],"issued":{"date-parts":[["2018",7,11]]}}}],"schema":"https://github.com/citation-style-language/schema/raw/master/csl-citation.json"} </w:instrText>
      </w:r>
      <w:r w:rsidRPr="00DA42F5">
        <w:fldChar w:fldCharType="separate"/>
      </w:r>
      <w:r w:rsidRPr="00DA42F5">
        <w:t>(Asnicar et al., 2017; Yassour et al., 2018)</w:t>
      </w:r>
      <w:r w:rsidRPr="00DA42F5">
        <w:fldChar w:fldCharType="end"/>
      </w:r>
      <w:r w:rsidRPr="00DA42F5">
        <w:t xml:space="preserve">, as well as strain and species persistence in healthy adults </w:t>
      </w:r>
      <w:r w:rsidRPr="00DA42F5">
        <w:fldChar w:fldCharType="begin"/>
      </w:r>
      <w:r w:rsidR="00D9297E">
        <w:instrText xml:space="preserve"> ADDIN ZOTERO_ITEM CSL_CITATION {"citationID":"Z4vaYv65","properties":{"formattedCitation":"(Abu-Ali et al., 2018; Chen et al., 2021; Dapa et al., 2023; Jokela et al., 2023; Olsson et al., 2022; Wolff et al., 2023; Zhou et al., 2024)","plainCitation":"(Abu-Ali et al., 2018; Chen et al., 2021; Dapa et al., 2023; Jokela et al., 2023; Olsson et al., 2022; Wolff et al., 2023; Zhou et al., 2024)","noteIndex":0},"citationItems":[{"id":1958,"uris":["http://zotero.org/users/8873894/items/VF9RJEHA"],"itemData":{"id":1958,"type":"article-journal","abstract":"The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T."},{"family":"Huttenhower","given":"Curtis"}],"issued":{"date-parts":[["2018",3]]}}},{"id":1046,"uris":["http://zotero.org/users/8873894/items/DU5DVK53"],"itemData":{"id":1046,"type":"article-journal","abstract":"By following up the gut microbiome, 51 human phenotypes and plasma levels of 1,183 metabolites in 338 individuals after 4 years, we characterize microbial stability and variation in relation to host physiology. Using these individual-specific and temporally stable microbial profiles, including bacterial SNPs and structural variations, we develop a microbial fingerprinting method that shows up to 85% accuracy in classifying metagenomic samples taken 4 years apart. Application of our fingerprinting method to the independent HMP cohort results in 95% accuracy for samples taken 1 year apart. We further observe temporal changes in the abundance of multiple bacterial species, metabolic pathways, and structural variation, as well as strain replacement. We report 190 longitudinal microbial associations with host phenotypes and 519 associations with plasma metabolites. These associations are enriched for cardiometabolic traits, vitamin B, and uremic toxins. Finally, mediation analysis suggests that the gut microbiome may influence cardiometabolic health through its metabolites.","container-title":"Cell","DOI":"10.1016/j.cell.2021.03.024","ISSN":"0092-8674","issue":"9","journalAbbreviation":"Cell","language":"en","page":"2302-2315.e12","source":"ScienceDirect","title":"The long-term genetic stability and individual specificity of the human gut microbiome","volume":"184","author":[{"family":"Chen","given":"Lianmin"},{"family":"Wang","given":"Daoming"},{"family":"Garmaeva","given":"Sanzhima"},{"family":"Kurilshikov","given":"Alexander"},{"family":"Vich Vila","given":"Arnau"},{"family":"Gacesa","given":"Ranko"},{"family":"Sinha","given":"Trishla"},{"family":"Segal","given":"Eran"},{"family":"Weersma","given":"Rinse K."},{"family":"Wijmenga","given":"Cisca"},{"family":"Zhernakova","given":"Alexandra"},{"family":"Fu","given":"Jingyuan"}],"issued":{"date-parts":[["2021",4,29]]}}},{"id":2319,"uris":["http://zotero.org/users/8873894/items/XHZSJ9H7"],"itemData":{"id":2319,"type":"article-journal","abstract":"Gut bacteria inhabit a complex environment that is shaped by interactions with their host and the other members of the community. While these ecological interactions have evolved over millions of years, mounting evidence suggests that gut commensals can evolve on much shorter timescales as well, by acquiring new mutations within individual hosts. In this review, we highlight recent progress in understanding the causes and consequences of short-term evolution in the mammalian gut, from experimental evolution in murine hosts to longitudinal tracking of human cohorts. We also discuss new opportunities for future progress by expanding the repertoire of focal species, hosts, and surrounding communities, and by combining deep-sequencing technologies with quantitative frameworks from population genetics.","container-title":"Current Opinion in Microbiology","DOI":"10.1016/j.mib.2022.102258","ISSN":"1369-5274","journalAbbreviation":"Current Opinion in Microbiology","language":"en","page":"102258","source":"ScienceDirect","title":"Within-host evolution of the gut microbiome","volume":"71","author":[{"family":"Dapa","given":"Tanja"},{"family":"Wong","given":"Daniel PGH"},{"family":"Vasquez","given":"Kimberly S"},{"family":"Xavier","given":"Karina B"},{"family":"Huang","given":"Kerwyn Casey"},{"family":"Good","given":"Benjamin H"}],"issued":{"date-parts":[["2023",2,1]]}}},{"id":2295,"uris":["http://zotero.org/users/8873894/items/V62M4SM2"],"itemData":{"id":2295,"type":"article-journal","abstract":"Background Although the infant gut microbiota has been extensively studied, comprehensive assessment on the microbiota determinants including technical variables has not been performed in large infant cohorts.","container-title":"eBioMedicine","DOI":"10.1016/j.ebiom.2023.104695","ISSN":"23523964","journalAbbreviation":"eBioMedicine","language":"en","page":"104695","source":"DOI.org (Crossref)","title":"Sources of gut microbiota variation in a large longitudinal Finnish infant cohort","volume":"94","author":[{"family":"Jokela","given":"Roosa"},{"family":"Ponsero","given":"Alise J."},{"family":"Dikareva","given":"Evgenia"},{"family":"Wei","given":"Xiaodong"},{"family":"Kolho","given":"Kaija-Leena"},{"family":"Korpela","given":"Katri"},{"family":"De Vos","given":"Willem M."},{"family":"Salonen","given":"Anne"}],"issued":{"date-parts":[["2023",8]]}}},{"id":1035,"uris":["http://zotero.org/users/8873894/items/5KAPHFKS"],"itemData":{"id":1035,"type":"article-journal","abstract":"Temporal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id":3214,"uris":["http://zotero.org/users/8873894/items/DQ6P67B4"],"itemData":{"id":3214,"type":"article-journal","abstract":"To understand the dynamic interplay between the human microbiome and host during health and disease, we analyzed the microbial composition, temporal dynamics, and associations with host multi-omics, immune, and clinical markers of microbiomes from four body sites in 86 participants over 6 years. We found that microbiome stability and individuality are body-site specific and heavily influenced by the host. The stool and oral microbiome are more stable than the skin and nasal microbiomes, possibly due to their interaction with the host and environment. We identify individual-specific and commonly shared bacterial taxa, with individualized taxa showing greater stability. Interestingly, microbiome dynamics correlate across body sites, suggesting systemic dynamics influenced by host-microbial-environment interactions. Notably, insulin-resistant individuals show altered microbial stability and associations among microbiome, molecular markers, and clinical features, suggesting their disrupted interaction in metabolic disease. Our study offers comprehensive views of multi-site microbial dynamics and their relationship with host health and disease.","container-title":"Cell Host &amp; Microbe","DOI":"10.1016/j.chom.2024.02.012","ISSN":"1931-3128","issue":"4","journalAbbreviation":"Cell Host &amp; Microbe","page":"506-526.e9","source":"ScienceDirect","title":"Longitudinal profiling of the microbiome at four body sites reveals core stability and individualized dynamics during health and disease","volume":"32","author":[{"family":"Zhou","given":"Xin"},{"family":"Shen","given":"Xiaotao"},{"family":"Johnson","given":"Jethro S."},{"family":"Spakowicz","given":"Daniel J."},{"family":"Agnello","given":"Melissa"},{"family":"Zhou","given":"Wenyu"},{"family":"Avina","given":"Monica"},{"family":"Honkala","given":"Alexander"},{"family":"Chleilat","given":"Faye"},{"family":"Chen","given":"Shirley Jingyi"},{"family":"Cha","given":"Kexin"},{"family":"Leopold","given":"Shana"},{"family":"Zhu","given":"Chenchen"},{"family":"Chen","given":"Lei"},{"family":"Lyu","given":"Lin"},{"family":"Hornburg","given":"Daniel"},{"family":"Wu","given":"Si"},{"family":"Zhang","given":"Xinyue"},{"family":"Jiang","given":"Chao"},{"family":"Jiang","given":"Liuyiqi"},{"family":"Jiang","given":"Lihua"},{"family":"Jian","given":"Ruiqi"},{"family":"Brooks","given":"Andrew W."},{"family":"Wang","given":"Meng"},{"family":"Contrepois","given":"Kévin"},{"family":"Gao","given":"Peng"},{"family":"Rose","given":"Sophia Miryam Schüssler-Fiorenza"},{"family":"Tran","given":"Thi Dong Binh"},{"family":"Nguyen","given":"Hoan"},{"family":"Celli","given":"Alessandra"},{"family":"Hong","given":"Bo-Young"},{"family":"Bautista","given":"Eddy J."},{"family":"Dorsett","given":"Yair"},{"family":"Kavathas","given":"Paula B."},{"family":"Zhou","given":"Yanjiao"},{"family":"Sodergren","given":"Erica"},{"family":"Weinstock","given":"George M."},{"family":"Snyder","given":"Michael P."}],"issued":{"date-parts":[["2024",4,10]]}}}],"schema":"https://github.com/citation-style-language/schema/raw/master/csl-citation.json"} </w:instrText>
      </w:r>
      <w:r w:rsidRPr="00DA42F5">
        <w:fldChar w:fldCharType="separate"/>
      </w:r>
      <w:r w:rsidR="00D9297E" w:rsidRPr="00D9297E">
        <w:rPr>
          <w:rFonts w:cs="Times New Roman"/>
        </w:rPr>
        <w:t>(Abu-Ali et al., 2018; Chen et al., 2021; Dapa et al., 2023; Jokela et al., 2023; Olsson et al., 2022; Wolff et al., 2023; Zhou et al., 2024)</w:t>
      </w:r>
      <w:r w:rsidRPr="00DA42F5">
        <w:fldChar w:fldCharType="end"/>
      </w:r>
      <w:r w:rsidRPr="00DA42F5">
        <w:t xml:space="preserve">, and microbiota dynamics in older individuals </w:t>
      </w:r>
      <w:r w:rsidRPr="00DA42F5">
        <w:fldChar w:fldCharType="begin"/>
      </w:r>
      <w:r w:rsidRPr="00DA42F5">
        <w:instrText xml:space="preserve"> ADDIN ZOTERO_ITEM CSL_CITATION {"citationID":"2NxkNHhk","properties":{"formattedCitation":"(Mehta et al., 2018)","plainCitation":"(Mehta et al., 2018)","noteIndex":0},"citationItems":[{"id":1064,"uris":["http://zotero.org/users/8873894/items/F6E4BV38"],"itemData":{"id":1064,"type":"article-journal","abstract":"Characterizing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A42F5">
        <w:fldChar w:fldCharType="separate"/>
      </w:r>
      <w:r w:rsidRPr="00DA42F5">
        <w:t>(Mehta et al., 2018)</w:t>
      </w:r>
      <w:r w:rsidRPr="00DA42F5">
        <w:fldChar w:fldCharType="end"/>
      </w:r>
      <w:r w:rsidRPr="00DA42F5">
        <w:t xml:space="preserve">. Studies using shotgun metagenomic sequencing have also compared healthy individuals with patients with chronic inflammatory bowel disease </w:t>
      </w:r>
      <w:r w:rsidRPr="00DA42F5">
        <w:fldChar w:fldCharType="begin"/>
      </w:r>
      <w:r w:rsidRPr="00DA42F5">
        <w:instrText xml:space="preserve"> ADDIN ZOTERO_ITEM CSL_CITATION {"citationID":"8jFnVbEv","properties":{"formattedCitation":"(Lloyd-Price et al., 2019)","plainCitation":"(Lloyd-Price et al., 2019)","noteIndex":0},"citationItems":[{"id":1121,"uris":["http://zotero.org/users/8873894/items/KAP4HGV3"],"itemData":{"id":1121,"type":"article-journal","abstract":"Inflammatory bowel diseases, which include Crohn’s disease and ulcerative colitis, affect several million individuals worldwide. Crohn’s disease and ulcerative colitis are complex diseases that are heterogeneous at the clinical, immunological, molecular, genetic, and microbial levels. Individual contributing factors have been the focus of extensive research. As part of the Integrative Human Microbiome Project (HMP2 or iHMP), we followed 132 subjects for one year each to generate integrated longitudinal molecular profiles of host and microbial activity during disease (up to 24 time points each; in total 2,965 stool, biopsy, and blood specimens). Here we present the results, which provide a comprehensive view of functional dysbiosis in the gut microbiome during inflammatory bowel disease activity. We demonstrate a characteristic increase in facultative anaerobes at the expense of obligate anaerobes, as well as molecular disruptions in microbial transcription (for example, among clostridia), metabolite pools (acylcarnitines, bile acids, and short-chain fatty acids), and levels of antibodies in host serum. Periods of disease activity were also marked by increases in temporal variability, with characteristic taxonomic, functional, and biochemical shifts. Finally, integrative analysis identified microbial, biochemical, and host factors central to this dysregulation. The study’s infrastructure resources, results, and data, which are available through the Inflammatory Bowel Disease Multi’omics Database (http://ibdmdb.org), provide the most comprehensive description to date of host and microbial activities in inflammatory bowel diseases.","container-title":"Nature","DOI":"10.1038/s41586-019-1237-9","ISSN":"1476-4687","issue":"7758","language":"en","license":"2019 The Author(s)","note":"number: 7758","page":"655-662","publisher":"Nature Publishing Group","source":"www.nature.com","title":"Multi-omics of the gut microbial ecosystem in inflammatory bowel diseases","volume":"569","author":[{"family":"Lloyd-Price","given":"Jason"},{"family":"Arze","given":"Cesar"},{"family":"Ananthakrishnan","given":"Ashwin N."},{"family":"Schirmer","given":"Melanie"},{"family":"Avila-Pacheco","given":"Julian"},{"family":"Poon","given":"Tiffany W."},{"family":"Andrews","given":"Elizabeth"},{"family":"Ajami","given":"Nadim J."},{"family":"Bonham","given":"Kevin S."},{"family":"Brislawn","given":"Colin J."},{"family":"Casero","given":"David"},{"family":"Courtney","given":"Holly"},{"family":"Gonzalez","given":"Antonio"},{"family":"Graeber","given":"Thomas G."},{"family":"Hall","given":"A. Brantley"},{"family":"Lake","given":"Kathleen"},{"family":"Landers","given":"Carol J."},{"family":"Mallick","given":"Himel"},{"family":"Plichta","given":"Damian R."},{"family":"Prasad","given":"Mahadev"},{"family":"Rahnavard","given":"Gholamali"},{"family":"Sauk","given":"Jenny"},{"family":"Shungin","given":"Dmitry"},{"family":"Vázquez-Baeza","given":"Yoshiki"},{"family":"White","given":"Richard A."},{"family":"Braun","given":"Jonathan"},{"family":"Denson","given":"Lee A."},{"family":"Jansson","given":"Janet K."},{"family":"Knight","given":"Rob"},{"family":"Kugathasan","given":"Subra"},{"family":"McGovern","given":"Dermot P. B."},{"family":"Petrosino","given":"Joseph F."},{"family":"Stappenbeck","given":"Thaddeus S."},{"family":"Winter","given":"Harland S."},{"family":"Clish","given":"Clary B."},{"family":"Franzosa","given":"Eric A."},{"family":"Vlamakis","given":"Hera"},{"family":"Xavier","given":"Ramnik J."},{"family":"Huttenhower","given":"Curtis"}],"issued":{"date-parts":[["2019",5]]}}}],"schema":"https://github.com/citation-style-language/schema/raw/master/csl-citation.json"} </w:instrText>
      </w:r>
      <w:r w:rsidRPr="00DA42F5">
        <w:fldChar w:fldCharType="separate"/>
      </w:r>
      <w:r w:rsidRPr="00DA42F5">
        <w:t>(Lloyd-Price et al., 2019)</w:t>
      </w:r>
      <w:r w:rsidRPr="00DA42F5">
        <w:fldChar w:fldCharType="end"/>
      </w:r>
      <w:r w:rsidRPr="00DA42F5">
        <w:t xml:space="preserve">, patients with irritable bowel syndrome </w:t>
      </w:r>
      <w:r w:rsidRPr="00DA42F5">
        <w:fldChar w:fldCharType="begin"/>
      </w:r>
      <w:r w:rsidRPr="00DA42F5">
        <w:instrText xml:space="preserve"> ADDIN ZOTERO_ITEM CSL_CITATION {"citationID":"tqyslHHz","properties":{"formattedCitation":"(Mars et al., 2020)","plainCitation":"(Mars et al., 2020)","noteIndex":0},"citationItems":[{"id":1045,"uris":["http://zotero.org/users/8873894/items/5M4DLKTQ"],"itemData":{"id":1045,"type":"article-journal","abstract":"The gut microbiome has been implicated in multiple human chronic gastrointestinal (GI) disorders. Determining its mechanistic role in disease has been difficult due to apparent disconnects between animal and human studies and lack of an integrated multi-omics view of disease-specific physiological changes. We integrated longitudinal multi-omics data from the gut microbiome, metabolome, host epigenome, and transcriptome in the context of irritable bowel syndrome (IBS) host physiology. We identified IBS subtype-specific and symptom-related variation in microbial composition and function. A subset of identified changes in microbial metabolites correspond to host physiological mechanisms that are relevant to IBS. By integrating multiple data layers, we identified purine metabolism as a novel host-microbial metabolic pathway in IBS with translational potential. Our study highlights the importance of longitudinal sampling and integrating complementary multi-omics data to identify functional mechanisms that can serve as therapeutic targets in a comprehensive treatment strategy for chronic GI diseases., Integrated and longitudinal multiomic analyses of patients with irritable bowel syndrome reveals a role for the gut microbiota in modulating purine metabolism and influencing host gastrointestinal function.,","container-title":"Cell","DOI":"10.1016/j.cell.2020.08.007","ISSN":"0092-8674","issue":"6","journalAbbreviation":"Cell","page":"1460-1473.e17","PMID":"32916129","PMCID":"PMC8109273","source":"PubMed Central","title":"Longitudinal Multi-omics Reveals Subset-Specific Mechanisms Underlying Irritable Bowel Syndrome","volume":"182","author":[{"family":"Mars","given":"Ruben A.T."},{"family":"Yang","given":"Yi"},{"family":"Ward","given":"Tonya"},{"family":"Houtti","given":"Mo"},{"family":"Priya","given":"Sambhawa"},{"family":"Lekatz","given":"Heather R."},{"family":"Tang","given":"Xiaojia"},{"family":"Sun","given":"Zhifu"},{"family":"Kalari","given":"Krishna R."},{"family":"Korem","given":"Tal"},{"family":"Bhattarai","given":"Yogesh"},{"family":"Zheng","given":"Tenghao"},{"family":"Bar","given":"Noam"},{"family":"Frost","given":"Gary"},{"family":"Johnson","given":"Abigail J."},{"family":"Treuren","given":"Will","non-dropping-particle":"van"},{"family":"Han","given":"Shuo"},{"family":"Ordog","given":"Tamas"},{"family":"Grover","given":"Madhusudan"},{"family":"Sonnenburg","given":"Justin"},{"family":"D’Amato","given":"Mauro"},{"family":"Camilleri","given":"Michael"},{"family":"Elinav","given":"Eran"},{"family":"Segal","given":"Eran"},{"family":"Blekhman","given":"Ran"},{"family":"Farrugia","given":"Gianrico"},{"family":"Swann","given":"Jonathan R."},{"family":"Knights","given":"Dan"},{"family":"Kashyap","given":"Purna C."}],"issued":{"date-parts":[["2020",9,17]]}}}],"schema":"https://github.com/citation-style-language/schema/raw/master/csl-citation.json"} </w:instrText>
      </w:r>
      <w:r w:rsidRPr="00DA42F5">
        <w:fldChar w:fldCharType="separate"/>
      </w:r>
      <w:r w:rsidRPr="00DA42F5">
        <w:t>(Mars et al., 2020)</w:t>
      </w:r>
      <w:r w:rsidRPr="00DA42F5">
        <w:fldChar w:fldCharType="end"/>
      </w:r>
      <w:r w:rsidRPr="00DA42F5">
        <w:t xml:space="preserve">, and patients with haematological diseases </w:t>
      </w:r>
      <w:r w:rsidRPr="00DA42F5">
        <w:fldChar w:fldCharType="begin"/>
      </w:r>
      <w:r w:rsidRPr="00DA42F5">
        <w:instrText xml:space="preserve"> ADDIN ZOTERO_ITEM CSL_CITATION {"citationID":"vPjL4Oog","properties":{"formattedCitation":"(Willmann et al., 2019)","plainCitation":"(Willmann et al., 2019)","noteIndex":0},"citationItems":[{"id":351,"uris":["http://zotero.org/users/8873894/items/AQV4MRN2"],"itemData":{"id":351,"type":"article-journal","abstract":"BACKGROUND: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A42F5">
        <w:fldChar w:fldCharType="separate"/>
      </w:r>
      <w:r w:rsidRPr="00DA42F5">
        <w:t>(Willmann et al., 2019)</w:t>
      </w:r>
      <w:r w:rsidRPr="00DA42F5">
        <w:fldChar w:fldCharType="end"/>
      </w:r>
      <w:r w:rsidRPr="00DA42F5">
        <w:t xml:space="preserve">. A few studies have focused exclusively on women, comparing healthy women with those who have frequent urinary tract infections </w:t>
      </w:r>
      <w:r w:rsidRPr="00DA42F5">
        <w:fldChar w:fldCharType="begin"/>
      </w:r>
      <w:r w:rsidRPr="00DA42F5">
        <w:instrText xml:space="preserve"> ADDIN ZOTERO_ITEM CSL_CITATION {"citationID":"1xpNV8Xr","properties":{"formattedCitation":"(Hua et al., n.d.)","plainCitation":"(Hua et al., n.d.)","dontUpdate":true,"noteIndex":0},"citationItems":[{"id":47,"uris":["http://zotero.org/users/8873894/items/38JWFL3C"],"itemData":{"id":47,"type":"article-journal","abstract":"Introduction. Evidence has linked exogenous and endogenous sex hormones with the human microbiome. Hypothesis/Gap statement. The longitudinal effects of oral contraceptives (OC) on the human gut microbiome have not previously been studied. Aim. We sought to examine the longitudinal impact of OC use on the taxonomic composition and metabolic functions of the gut microbiota and endogenous sex steroid hormones after initiation of OC use. Methodology. We recruited ten healthy women who provided blood and stool samples prior to OC use, 1 month and 6 months after starting OC. We measured serum levels of sex hormones, including estradiol, progesterone, sex hormone-binding globulin (SHBG), and total testosterone. Shotgun metagenomic sequencing was performed on DNA extracted from faecal samples. Species and metabolic pathway abundances were determined using MetaPhlAn2 and HUMAnN2. Multivariate association with linear models was used to identify microbial species and metabolic pathways associated with OC use and endogenous levels of sex hormones. Results. The percentage variance of the microbial community explained by individual factors ranged from 9.9 % for age to 2.7 % for time since initiation of OC use. We observed no changes in the diversity or composition of the gut microbiome following OC initiation. However, the relative abundance of the biosynthesis pathways of peptidoglycan, amino acids (lysine, threonine, methionine, and tryptophan), and the NAD salvage pathway increased after OC initiation. In addition, serum levels of estradiol and SHBG were positively associated with Eubacterium ramulus, a flavonoid-degrading bacterium. Similarly, microbes involving biosynthesis of l-lysine, l-threonine, and l-methionine were significantly associated with lower estradiol, SHBG, and higher levels of total testosterone. Conclusion. Our study provides the first piece of evidence supporting the association between exogenous and endogenous sex hormones and gut microbiome composition and function.,","container-title":"Journal of Medical Microbiology","DOI":"10.1099/jmm.0.001512","ISSN":"1473-5644,","issue":"4","page":"001512","publisher":"Microbiology Society,","source":"Microbiology Society Journals","title":"Longitudinal analysis of the impact of oral contraceptive use on the gut microbiome","volume":"71","author":[{"family":"Hua","given":"Xinwei"},{"family":"Cao","given":"Yueming"},{"family":"Morgan","given":"David M."},{"family":"Miller","given":"Kaia"},{"family":"Chin","given":"Samantha M."},{"family":"Bellavance","given":"Danielle"},{"family":"Khalili","given":"HamedYR 2022"}]}}],"schema":"https://github.com/citation-style-language/schema/raw/master/csl-citation.json"} </w:instrText>
      </w:r>
      <w:r w:rsidRPr="00DA42F5">
        <w:fldChar w:fldCharType="separate"/>
      </w:r>
      <w:r w:rsidRPr="00DA42F5">
        <w:t>(Hua et al., 2022)</w:t>
      </w:r>
      <w:r w:rsidRPr="00DA42F5">
        <w:fldChar w:fldCharType="end"/>
      </w:r>
      <w:r w:rsidRPr="00DA42F5">
        <w:t xml:space="preserve"> and women taking oral contraceptives </w:t>
      </w:r>
      <w:r w:rsidRPr="00DA42F5">
        <w:fldChar w:fldCharType="begin"/>
      </w:r>
      <w:r w:rsidRPr="00DA42F5">
        <w:instrText xml:space="preserve"> ADDIN ZOTERO_ITEM CSL_CITATION {"citationID":"oxgSztRT","properties":{"formattedCitation":"(Worby et al., 2022)","plainCitation":"(Worby et al., 2022)","noteIndex":0},"citationItems":[{"id":48,"uris":["http://zotero.org/users/8873894/items/C3RACSWB"],"itemData":{"id":48,"type":"article-journal","abstract":"Recurrent urinary tract infections (rUTIs) are a major health burden worldwide, with history of infection being a significant risk factor. While the gut is a known reservoir for uropathogenic bacteria, the role of the microbiota in rUTI remains unclear. We conducted a year-long study of women with (n = 15) and without (n = 16) history of rUTI, from whom we collected urine, blood and monthly faecal samples for metagenomic and transcriptomic interrogation. During the study 24 UTIs were reported, with additional samples collected during and after infection. The gut microbiome of individuals with a history of rUTI was significantly depleted in microbial richness and butyrate-producing bacteria compared with controls, reminiscent of other inflammatory conditions. However, Escherichia coli gut and bladder populations were comparable between cohorts in both relative abundance and phylogroup. Transcriptional analysis of peripheral blood mononuclear cells revealed expression profiles indicative of differential systemic immunity between cohorts. Altogether, these results suggest that rUTI susceptibility is in part mediated through the gut–bladder axis, comprising gut dysbiosis and differential immune response to bacterial bladder colonization, manifesting in symptoms.","container-title":"Nature Microbiology","DOI":"10.1038/s41564-022-01107-x","ISSN":"2058-5276","issue":"5","journalAbbreviation":"Nat Microbiol","language":"en","license":"2022 The Author(s), under exclusive licence to Springer Nature Limited","note":"number: 5","page":"630-639","publisher":"Nature Publishing Group","source":"www.nature.com","title":"Longitudinal multi-omics analyses link gut microbiome dysbiosis with recurrent urinary tract infections in women","volume":"7","author":[{"family":"Worby","given":"Colin J."},{"family":"Schreiber","given":"Henry L."},{"family":"Straub","given":"Timothy J."},{"family":"Dijk","given":"Lucas R.","non-dropping-particle":"van"},{"family":"Bronson","given":"Ryan A."},{"family":"Olson","given":"Benjamin S."},{"family":"Pinkner","given":"Jerome S."},{"family":"Obernuefemann","given":"Chloe L. P."},{"family":"Muñoz","given":"Vanessa L."},{"family":"Paharik","given":"Alexandra E."},{"family":"Azimzadeh","given":"Philippe N."},{"family":"Walker","given":"Bruce J."},{"family":"Desjardins","given":"Christopher A."},{"family":"Chou","given":"Wen-Chi"},{"family":"Bergeron","given":"Karla"},{"family":"Chapman","given":"Sinéad B."},{"family":"Klim","given":"Aleksandra"},{"family":"Manson","given":"Abigail L."},{"family":"Hannan","given":"Thomas J."},{"family":"Hooton","given":"Thomas M."},{"family":"Kau","given":"Andrew L."},{"family":"Lai","given":"H. Henry"},{"family":"Dodson","given":"Karen W."},{"family":"Hultgren","given":"Scott J."},{"family":"Earl","given":"Ashlee M."}],"issued":{"date-parts":[["2022",5]]}}}],"schema":"https://github.com/citation-style-language/schema/raw/master/csl-citation.json"} </w:instrText>
      </w:r>
      <w:r w:rsidRPr="00DA42F5">
        <w:fldChar w:fldCharType="separate"/>
      </w:r>
      <w:r w:rsidRPr="00DA42F5">
        <w:t>(Worby et al., 2022)</w:t>
      </w:r>
      <w:r w:rsidRPr="00DA42F5">
        <w:fldChar w:fldCharType="end"/>
      </w:r>
      <w:r w:rsidRPr="00DA42F5">
        <w:t xml:space="preserve">. Cohorts in these studies ranged from 5 to more than 300 participants, followed for at least six months to a year, with sampling every few weeks to every few months. Metagenomic studies confirm that some species and strains can persist over long periods within individuals, whereas others show frequent replacement or large abundance shifts. Stable colonizers include many of the </w:t>
      </w:r>
      <w:r w:rsidRPr="00DA42F5">
        <w:rPr>
          <w:i/>
          <w:iCs/>
        </w:rPr>
        <w:t>Bacteroides</w:t>
      </w:r>
      <w:r w:rsidRPr="00DA42F5">
        <w:t xml:space="preserve"> species, while representatives of the </w:t>
      </w:r>
      <w:r w:rsidRPr="00DA42F5">
        <w:rPr>
          <w:i/>
          <w:iCs/>
        </w:rPr>
        <w:t>Bacillota</w:t>
      </w:r>
      <w:r w:rsidRPr="00DA42F5">
        <w:t xml:space="preserve"> phylum are among the more variable members of the gut community </w:t>
      </w:r>
      <w:r w:rsidRPr="00DA42F5">
        <w:fldChar w:fldCharType="begin"/>
      </w:r>
      <w:r w:rsidRPr="00DA42F5">
        <w:instrText xml:space="preserve"> ADDIN ZOTERO_ITEM CSL_CITATION {"citationID":"mbUBY8NF","properties":{"formattedCitation":"(Abu-Ali et al., 2018; Heidrich et al., 2025; Mehta et al., 2018)","plainCitation":"(Abu-Ali et al., 2018; Heidrich et al., 2025; Mehta et al., 2018)","noteIndex":0},"citationItems":[{"id":1958,"uris":["http://zotero.org/users/8873894/items/VF9RJEHA"],"itemData":{"id":1958,"type":"article-journal","abstract":"The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T."},{"family":"Huttenhower","given":"Curtis"}],"issued":{"date-parts":[["2018",3]]}}},{"id":3463,"uris":["http://zotero.org/users/8873894/items/U5A8LQ4G"],"itemData":{"id":3463,"type":"article-journal","abstract":"As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id":1064,"uris":["http://zotero.org/users/8873894/items/F6E4BV38"],"itemData":{"id":1064,"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A42F5">
        <w:fldChar w:fldCharType="separate"/>
      </w:r>
      <w:r w:rsidRPr="00DA42F5">
        <w:t>(Abu-Ali et al., 2018; Heidrich et al., 2025; Mehta et al., 2018)</w:t>
      </w:r>
      <w:r w:rsidRPr="00DA42F5">
        <w:fldChar w:fldCharType="end"/>
      </w:r>
      <w:r w:rsidRPr="00DA42F5">
        <w:t xml:space="preserve">. Longitudinal studies show that changes in species or strain persistence are shaped by the same host and environmental factors identified in cross-sectional studies, including diet, physical activity, medications and antibiotics, disease status, environment and host genetics </w:t>
      </w:r>
      <w:r w:rsidRPr="00DA42F5">
        <w:fldChar w:fldCharType="begin"/>
      </w:r>
      <w:r w:rsidRPr="00DA42F5">
        <w:instrText xml:space="preserve"> ADDIN ZOTERO_ITEM CSL_CITATION {"citationID":"3ooT3Cba","properties":{"formattedCitation":"(Thursby &amp; Juge, 2017)","plainCitation":"(Thursby &amp; Juge, 2017)","noteIndex":0},"citationItems":[{"id":121,"uris":["http://zotero.org/users/8873894/items/C4E3VNLM"],"itemData":{"id":121,"type":"article-journal","abstract":"The human gastrointestinal (GI) tract harbours a complex and dynamic population of microorganisms, the gut microbiota, which exert a marked influence on the host during homeostasis and disease. Multiple factors contribute to the establishment of the human gut microbiota during infancy. Diet is considered as one of the main drivers in shaping the gut microbiota across the life time. Intestinal bacteria play a crucial role in maintaining immune and metabolic homeostasis and protecting against pathogens. Altered gut bacterial composition (dysbiosis) has been associated with the pathogenesis of many inflammatory diseases and infections. The interpretation of these studies relies on a better understanding of inter-individual variations, heterogeneity of bacterial communities along and across the GI tract, functional redundancy and the need to distinguish cause from effect in states of dysbiosis. This review summarises our current understanding of the development and composition of the human GI microbiota, and its impact on gut integrity and host health, underlying the need for mechanistic studies focusing on host–microbe interactions.","container-title":"Biochemical Journal","DOI":"10.1042/BCJ20160510","ISSN":"0264-6021","issue":"11","journalAbbreviation":"Biochem J","page":"1823-1836","PMID":"28512250","PMCID":"PMC5433529","source":"PubMed Central","title":"Introduction to the human gut microbiota","volume":"474","author":[{"family":"Thursby","given":"Elizabeth"},{"family":"Juge","given":"Nathalie"}],"issued":{"date-parts":[["2017",6,1]]}}}],"schema":"https://github.com/citation-style-language/schema/raw/master/csl-citation.json"} </w:instrText>
      </w:r>
      <w:r w:rsidRPr="00DA42F5">
        <w:fldChar w:fldCharType="separate"/>
      </w:r>
      <w:r w:rsidRPr="00DA42F5">
        <w:t>(Thursby &amp; Juge, 2017)</w:t>
      </w:r>
      <w:r w:rsidRPr="00DA42F5">
        <w:fldChar w:fldCharType="end"/>
      </w:r>
      <w:r w:rsidRPr="00DA42F5">
        <w:t xml:space="preserve">. </w:t>
      </w:r>
    </w:p>
    <w:p w14:paraId="46B52A13" w14:textId="77777777" w:rsidR="00DA42F5" w:rsidRPr="00DA42F5" w:rsidRDefault="00DA42F5" w:rsidP="00DA42F5">
      <w:r w:rsidRPr="00DA42F5">
        <w:t xml:space="preserve">Longitudinal studies of cultured bacteria have provided insight into changes at the level of individual strains, using molecular approaches to assess changes over time. Two longitudinal studies investigated the stability of the intestinal microbiota at the level of individual bacterial species. In one study, PCR genotyping was used to compare the presence of different strains of </w:t>
      </w:r>
      <w:r w:rsidRPr="00DA42F5">
        <w:rPr>
          <w:i/>
          <w:iCs/>
        </w:rPr>
        <w:t>Escherichia coli</w:t>
      </w:r>
      <w:r w:rsidRPr="00DA42F5">
        <w:t xml:space="preserve"> over time, revealing that some strains were consistently present while others varied </w:t>
      </w:r>
      <w:r w:rsidRPr="00DA42F5">
        <w:fldChar w:fldCharType="begin"/>
      </w:r>
      <w:r w:rsidRPr="00DA42F5">
        <w:instrText xml:space="preserve"> ADDIN ZOTERO_ITEM CSL_CITATION {"citationID":"payKEeOo","properties":{"formattedCitation":"(Martinson et al., 2019)","plainCitation":"(Martinson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T."}],"issued":{"date-parts":[["2019",9]]}}}],"schema":"https://github.com/citation-style-language/schema/raw/master/csl-citation.json"} </w:instrText>
      </w:r>
      <w:r w:rsidRPr="00DA42F5">
        <w:fldChar w:fldCharType="separate"/>
      </w:r>
      <w:r w:rsidRPr="00DA42F5">
        <w:t>(Martinson et al., 2019)</w:t>
      </w:r>
      <w:r w:rsidRPr="00DA42F5">
        <w:fldChar w:fldCharType="end"/>
      </w:r>
      <w:r w:rsidRPr="00DA42F5">
        <w:t xml:space="preserve">. In another study, the genomes of isolated strains of </w:t>
      </w:r>
      <w:r w:rsidRPr="00DA42F5">
        <w:rPr>
          <w:i/>
          <w:iCs/>
        </w:rPr>
        <w:t xml:space="preserve">Bacteroides </w:t>
      </w:r>
      <w:proofErr w:type="spellStart"/>
      <w:r w:rsidRPr="00DA42F5">
        <w:rPr>
          <w:i/>
          <w:iCs/>
        </w:rPr>
        <w:t>vulgatus</w:t>
      </w:r>
      <w:proofErr w:type="spellEnd"/>
      <w:r w:rsidRPr="00DA42F5">
        <w:t xml:space="preserve"> and </w:t>
      </w:r>
      <w:r w:rsidRPr="00DA42F5">
        <w:rPr>
          <w:i/>
          <w:iCs/>
        </w:rPr>
        <w:t>Bacteroides ovatus</w:t>
      </w:r>
      <w:r w:rsidRPr="00DA42F5">
        <w:t xml:space="preserve"> were analysed, showing that a single colonization event occurred, while the spore-forming bacterium </w:t>
      </w:r>
      <w:proofErr w:type="spellStart"/>
      <w:r w:rsidRPr="00DA42F5">
        <w:rPr>
          <w:i/>
          <w:iCs/>
        </w:rPr>
        <w:t>Turicibacter</w:t>
      </w:r>
      <w:proofErr w:type="spellEnd"/>
      <w:r w:rsidRPr="00DA42F5">
        <w:rPr>
          <w:i/>
          <w:iCs/>
        </w:rPr>
        <w:t xml:space="preserve"> sanguinis</w:t>
      </w:r>
      <w:r w:rsidRPr="00DA42F5">
        <w:t xml:space="preserve"> replaced previous strains with each colonization attempt </w:t>
      </w:r>
      <w:r w:rsidRPr="00DA42F5">
        <w:fldChar w:fldCharType="begin"/>
      </w:r>
      <w:r w:rsidRPr="00DA42F5">
        <w:instrText xml:space="preserve"> ADDIN ZOTERO_ITEM CSL_CITATION {"citationID":"muko0Zk6","properties":{"formattedCitation":"(Poyet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A42F5">
        <w:fldChar w:fldCharType="separate"/>
      </w:r>
      <w:r w:rsidRPr="00DA42F5">
        <w:t>(Poyet et al., 2019)</w:t>
      </w:r>
      <w:r w:rsidRPr="00DA42F5">
        <w:fldChar w:fldCharType="end"/>
      </w:r>
      <w:r w:rsidRPr="00DA42F5">
        <w:t xml:space="preserve">. </w:t>
      </w:r>
    </w:p>
    <w:p w14:paraId="2F1BF139" w14:textId="77777777" w:rsidR="00DA42F5" w:rsidRPr="00DA42F5" w:rsidRDefault="00DA42F5" w:rsidP="00DA42F5"/>
    <w:p w14:paraId="5E01D4C6" w14:textId="77777777" w:rsidR="00DA42F5" w:rsidRPr="00DA42F5" w:rsidRDefault="00DA42F5" w:rsidP="00DA42F5">
      <w:pPr>
        <w:pStyle w:val="Heading3"/>
      </w:pPr>
      <w:bookmarkStart w:id="13" w:name="_Toc219124856"/>
      <w:bookmarkStart w:id="14" w:name="_Toc220591355"/>
      <w:r w:rsidRPr="00DA42F5">
        <w:t>Stability of microbial communities</w:t>
      </w:r>
      <w:bookmarkEnd w:id="13"/>
      <w:bookmarkEnd w:id="14"/>
      <w:r w:rsidRPr="00DA42F5">
        <w:t xml:space="preserve"> </w:t>
      </w:r>
    </w:p>
    <w:p w14:paraId="074C8B32" w14:textId="77777777" w:rsidR="00DA42F5" w:rsidRPr="00DA42F5" w:rsidRDefault="00DA42F5" w:rsidP="00DA42F5">
      <w:r w:rsidRPr="00DA42F5">
        <w:t xml:space="preserve">Most longitudinal studies aim to quantify an aspect of stability in the human gut community. Stability is an ambiguous term with many overlapping definitions </w:t>
      </w:r>
      <w:r w:rsidRPr="00DA42F5">
        <w:fldChar w:fldCharType="begin"/>
      </w:r>
      <w:r w:rsidRPr="00DA42F5">
        <w:instrText xml:space="preserve"> ADDIN ZOTERO_ITEM CSL_CITATION {"citationID":"WdAqCY7E","properties":{"formattedCitation":"(Grimm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A42F5">
        <w:fldChar w:fldCharType="separate"/>
      </w:r>
      <w:r w:rsidRPr="00DA42F5">
        <w:t>(Grimm &amp; Wissel, 1996)</w:t>
      </w:r>
      <w:r w:rsidRPr="00DA42F5">
        <w:fldChar w:fldCharType="end"/>
      </w:r>
      <w:r w:rsidRPr="00DA42F5">
        <w:t xml:space="preserve">. Here we focus on two key properties at the level of strains, species or OTUs depending on the method </w:t>
      </w:r>
      <w:r w:rsidRPr="00DA42F5">
        <w:lastRenderedPageBreak/>
        <w:t xml:space="preserve">used: resilience and resistance, both of which can be explored using a definable value of persistence </w:t>
      </w:r>
      <w:r w:rsidRPr="00DA42F5">
        <w:fldChar w:fldCharType="begin"/>
      </w:r>
      <w:r w:rsidRPr="00DA42F5">
        <w:instrText xml:space="preserve"> ADDIN ZOTERO_ITEM CSL_CITATION {"citationID":"xOwjLtYR","properties":{"formattedCitation":"(Shade et al., 2012)","plainCitation":"(Shade et al., 2012)","noteIndex":0},"citationItems":[{"id":3472,"uris":["http://zotero.org/users/8873894/items/9ZVMFDGQ"],"itemData":{"id":3472,"type":"article-journal","abstract":"Microbial communities are at the heart of all ecosystems, and yet microbial community behavior in disturbed environments remains difficult to measure and predict. Understanding the drivers of microbial community stability, including resistance (insensitivity to disturbance) and resilience (the rate of recovery after disturbance) is important for predicting community response to disturbance. Here, we provide an overview of the concepts of stability that are relevant for microbial communities. First, we highlight insights from ecology that are useful for defining and measuring stability. To determine whether general disturbance responses exist for microbial communities, we next examine representative studies from the literature that investigated community responses to press (long-term) and pulse (short-term) disturbances in a variety of habitats. Then we discuss the biological features of individual microorganisms, of microbial populations, and of microbial communities that may govern overall community stability. We conclude with thoughts about the unique insights that systems perspectives - informed by meta-omics data- may provide about microbial community stability.","container-title":"Frontiers in Microbiology","DOI":"10.3389/fmicb.2012.00417","ISSN":"1664-302X","journalAbbreviation":"Front. Microbiol.","language":"English","publisher":"Frontiers","source":"Frontiers","title":"Fundamentals of Microbial Community Resistance and Resilience","URL":"https://www.frontiersin.org/journals/microbiology/articles/10.3389/fmicb.2012.00417/full","volume":"3","author":[{"family":"Shade","given":"Ashley"},{"family":"Peter","given":"Hannes"},{"family":"Allison","given":"Steven D."},{"family":"Baho","given":"Didier"},{"family":"Berga","given":"Mercé"},{"family":"Buergmann","given":"Helmut"},{"family":"Huber","given":"David H."},{"family":"Langenheder","given":"Silke"},{"family":"Lennon","given":"Jay T."},{"family":"Martiny","given":"Jennifer BH"},{"family":"Matulich","given":"Kristin L."},{"family":"Schmidt","given":"Thomas M."},{"family":"Handelsman","given":"Jo"}],"accessed":{"date-parts":[["2025",12,17]]},"issued":{"date-parts":[["2012",12,19]]}}}],"schema":"https://github.com/citation-style-language/schema/raw/master/csl-citation.json"} </w:instrText>
      </w:r>
      <w:r w:rsidRPr="00DA42F5">
        <w:fldChar w:fldCharType="separate"/>
      </w:r>
      <w:r w:rsidRPr="00DA42F5">
        <w:t>(Shade et al., 2012)</w:t>
      </w:r>
      <w:r w:rsidRPr="00DA42F5">
        <w:fldChar w:fldCharType="end"/>
      </w:r>
      <w:r w:rsidRPr="00DA42F5">
        <w:t xml:space="preserve">. </w:t>
      </w:r>
    </w:p>
    <w:p w14:paraId="1E84B9C9" w14:textId="77777777" w:rsidR="00DA42F5" w:rsidRPr="00DA42F5" w:rsidRDefault="00DA42F5" w:rsidP="00DA42F5">
      <w:r w:rsidRPr="00DA42F5">
        <w:t xml:space="preserve">Resistance of a community is defined as insensitivity to the introduction of a new variable into the community, while resilience is defined as the rate of recovery after disturbance. Persistence, in turn, is a useful longitudinal metric that captures whether taxa remain detectable over time and thus integrates information about both resistance (limited initial change) and resilience (recovery after change) when inferred from longitudinal sequencing data of an environment </w:t>
      </w:r>
      <w:r w:rsidRPr="00DA42F5">
        <w:fldChar w:fldCharType="begin"/>
      </w:r>
      <w:r w:rsidRPr="00DA42F5">
        <w:instrText xml:space="preserve"> ADDIN ZOTERO_ITEM CSL_CITATION {"citationID":"omp8ikIX","properties":{"formattedCitation":"(Lozupone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A42F5">
        <w:fldChar w:fldCharType="separate"/>
      </w:r>
      <w:r w:rsidRPr="00DA42F5">
        <w:t>(Lozupone et al., 2012)</w:t>
      </w:r>
      <w:r w:rsidRPr="00DA42F5">
        <w:fldChar w:fldCharType="end"/>
      </w:r>
      <w:r w:rsidRPr="00DA42F5">
        <w:t xml:space="preserve">. Disturbance can act either directly on the community or indirectly via changes in the host environment, in both cases, some community members may die out, enter dormancy, or change in relative abundance. Ecologists classify disturbances as short-term, long-term, or continuous events </w:t>
      </w:r>
      <w:r w:rsidRPr="00DA42F5">
        <w:fldChar w:fldCharType="begin"/>
      </w:r>
      <w:r w:rsidRPr="00DA42F5">
        <w:instrText xml:space="preserve"> ADDIN ZOTERO_ITEM CSL_CITATION {"citationID":"3CgqWvhd","properties":{"formattedCitation":"(Grimm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A42F5">
        <w:fldChar w:fldCharType="separate"/>
      </w:r>
      <w:r w:rsidRPr="00DA42F5">
        <w:t>(Grimm &amp; Wissel, 1996)</w:t>
      </w:r>
      <w:r w:rsidRPr="00DA42F5">
        <w:fldChar w:fldCharType="end"/>
      </w:r>
      <w:r w:rsidRPr="00DA42F5">
        <w:t xml:space="preserve">. Microbes have a short generation time, so disturbances can occur on the scale of minutes to days or can persist for years, these include changes in diet, disease, physical activity, moving, one-time overconsumption of alcohol, or traveling. A stable state of gut microbiota of all humans is still unknown due to variations in geographical regions, diet and genetics which influence the gut community </w:t>
      </w:r>
      <w:r w:rsidRPr="00DA42F5">
        <w:fldChar w:fldCharType="begin"/>
      </w:r>
      <w:r w:rsidRPr="00DA42F5">
        <w:instrText xml:space="preserve"> ADDIN ZOTERO_ITEM CSL_CITATION {"citationID":"yUjJV10d","properties":{"formattedCitation":"(Lozupone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A42F5">
        <w:fldChar w:fldCharType="separate"/>
      </w:r>
      <w:r w:rsidRPr="00DA42F5">
        <w:t>(Lozupone et al., 2012)</w:t>
      </w:r>
      <w:r w:rsidRPr="00DA42F5">
        <w:fldChar w:fldCharType="end"/>
      </w:r>
      <w:r w:rsidRPr="00DA42F5">
        <w:t>. By repeatedly sampling individuals over time, we can follow factors that modulate the persistence of species or even strains and the dynamics of functions, providing essential context for interpreting microbiota dynamics when sampling is coupled with extensive metadata collection.</w:t>
      </w:r>
    </w:p>
    <w:p w14:paraId="64D80578" w14:textId="77777777" w:rsidR="00DA42F5" w:rsidRPr="00DA42F5" w:rsidRDefault="00DA42F5" w:rsidP="00DA42F5"/>
    <w:p w14:paraId="4E56C84D" w14:textId="77777777" w:rsidR="00DA42F5" w:rsidRPr="00DA42F5" w:rsidRDefault="00DA42F5" w:rsidP="00DA42F5">
      <w:pPr>
        <w:pStyle w:val="Heading2"/>
      </w:pPr>
      <w:bookmarkStart w:id="15" w:name="_Toc219124857"/>
      <w:bookmarkStart w:id="16" w:name="_Toc220591356"/>
      <w:r w:rsidRPr="00DA42F5">
        <w:t>SPOROBIOTA OF THE HUMAN GUT</w:t>
      </w:r>
      <w:bookmarkEnd w:id="15"/>
      <w:bookmarkEnd w:id="16"/>
      <w:r w:rsidRPr="00DA42F5">
        <w:t xml:space="preserve"> </w:t>
      </w:r>
    </w:p>
    <w:p w14:paraId="724F078A" w14:textId="77777777" w:rsidR="00DA42F5" w:rsidRPr="00DA42F5" w:rsidRDefault="00DA42F5" w:rsidP="00DA42F5">
      <w:r w:rsidRPr="00DA42F5">
        <w:t xml:space="preserve">Sporobiota is defined as all spore-forming bacteria in a given environment </w:t>
      </w:r>
      <w:r w:rsidRPr="00DA42F5">
        <w:fldChar w:fldCharType="begin"/>
      </w:r>
      <w:r w:rsidRPr="00DA42F5">
        <w:instrText xml:space="preserve"> ADDIN ZOTERO_ITEM CSL_CITATION {"citationID":"ruaKfKDo","properties":{"formattedCitation":"(Tetz &amp; Tetz, 2017)","plainCitation":"(Tetz &amp; Tetz, 2017)","noteIndex":0},"citationItems":[{"id":1087,"uris":["http://zotero.org/users/8873894/items/G5RWXQYI"],"itemData":{"id":1087,"type":"article-journal","abstract":"Unrelated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Pr="00DA42F5">
        <w:fldChar w:fldCharType="separate"/>
      </w:r>
      <w:r w:rsidRPr="00DA42F5">
        <w:t>(Tetz &amp; Tetz, 2017)</w:t>
      </w:r>
      <w:r w:rsidRPr="00DA42F5">
        <w:fldChar w:fldCharType="end"/>
      </w:r>
      <w:r w:rsidRPr="00DA42F5">
        <w:t xml:space="preserve">. Evolutionary analyses indicate that sporulation originated once in the phylum </w:t>
      </w:r>
      <w:r w:rsidRPr="00DA42F5">
        <w:rPr>
          <w:i/>
          <w:iCs/>
        </w:rPr>
        <w:t>Bacillota</w:t>
      </w:r>
      <w:r w:rsidRPr="00DA42F5">
        <w:t xml:space="preserve"> approximately 2.5 billion years ago (de Hoon et al., 2010). Spore formation and physiology </w:t>
      </w:r>
      <w:proofErr w:type="gramStart"/>
      <w:r w:rsidRPr="00DA42F5">
        <w:t>has</w:t>
      </w:r>
      <w:proofErr w:type="gramEnd"/>
      <w:r w:rsidRPr="00DA42F5">
        <w:t xml:space="preserve"> since diverged to great genetic diversity in many different species (Thomas, 2012). In the human gut, spore</w:t>
      </w:r>
      <w:r w:rsidRPr="00DA42F5">
        <w:noBreakHyphen/>
        <w:t xml:space="preserve">formers are phylogenetically diverse but predominantly belong classes </w:t>
      </w:r>
      <w:r w:rsidRPr="00DA42F5">
        <w:rPr>
          <w:i/>
          <w:iCs/>
        </w:rPr>
        <w:t xml:space="preserve">Clostridia </w:t>
      </w:r>
      <w:r w:rsidRPr="00DA42F5">
        <w:t xml:space="preserve">and </w:t>
      </w:r>
      <w:r w:rsidRPr="00DA42F5">
        <w:rPr>
          <w:i/>
          <w:iCs/>
        </w:rPr>
        <w:t xml:space="preserve">Bacilli </w:t>
      </w:r>
      <w:r w:rsidRPr="00DA42F5">
        <w:t xml:space="preserve">including genera such as </w:t>
      </w:r>
      <w:proofErr w:type="spellStart"/>
      <w:r w:rsidRPr="00DA42F5">
        <w:rPr>
          <w:i/>
          <w:iCs/>
        </w:rPr>
        <w:t>Ruminococcus</w:t>
      </w:r>
      <w:proofErr w:type="spellEnd"/>
      <w:r w:rsidRPr="00DA42F5">
        <w:t xml:space="preserve">, </w:t>
      </w:r>
      <w:proofErr w:type="spellStart"/>
      <w:r w:rsidRPr="00DA42F5">
        <w:rPr>
          <w:i/>
          <w:iCs/>
        </w:rPr>
        <w:t>Blautia</w:t>
      </w:r>
      <w:proofErr w:type="spellEnd"/>
      <w:r w:rsidRPr="00DA42F5">
        <w:t xml:space="preserve">, </w:t>
      </w:r>
      <w:proofErr w:type="spellStart"/>
      <w:r w:rsidRPr="00DA42F5">
        <w:rPr>
          <w:i/>
          <w:iCs/>
        </w:rPr>
        <w:t>Coprococcus</w:t>
      </w:r>
      <w:proofErr w:type="spellEnd"/>
      <w:r w:rsidRPr="00DA42F5">
        <w:t xml:space="preserve">, </w:t>
      </w:r>
      <w:r w:rsidRPr="00DA42F5">
        <w:rPr>
          <w:i/>
          <w:iCs/>
        </w:rPr>
        <w:t>Eubacterium</w:t>
      </w:r>
      <w:r w:rsidRPr="00DA42F5">
        <w:t xml:space="preserve"> and </w:t>
      </w:r>
      <w:proofErr w:type="spellStart"/>
      <w:r w:rsidRPr="00DA42F5">
        <w:rPr>
          <w:i/>
          <w:iCs/>
        </w:rPr>
        <w:t>Flavonifractor</w:t>
      </w:r>
      <w:proofErr w:type="spellEnd"/>
      <w:r w:rsidRPr="00DA42F5">
        <w:t xml:space="preserve"> </w:t>
      </w:r>
      <w:r w:rsidRPr="00DA42F5">
        <w:fldChar w:fldCharType="begin"/>
      </w:r>
      <w:r w:rsidRPr="00DA42F5">
        <w:instrText xml:space="preserve"> ADDIN ZOTERO_ITEM CSL_CITATION {"citationID":"cBQcjrow","properties":{"formattedCitation":"(Egan et al., 2021; Koopman et al., 2022)","plainCitation":"(Egan et al., 2021; Koopman et al., 2022)","noteIndex":0},"citationItems":[{"id":1088,"uris":["http://zotero.org/users/8873894/items/SJCCTPEG"],"itemData":{"id":1088,"type":"article-journal","abstract":"The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DA42F5">
        <w:fldChar w:fldCharType="separate"/>
      </w:r>
      <w:r w:rsidRPr="00DA42F5">
        <w:t>(Egan et al., 2021; Koopman et al., 2022)</w:t>
      </w:r>
      <w:r w:rsidRPr="00DA42F5">
        <w:fldChar w:fldCharType="end"/>
      </w:r>
      <w:r w:rsidRPr="00DA42F5">
        <w:t xml:space="preserve">. Many spore-forming species act as commensals and are central to a healthy gut microbiome. Key examples include members of the </w:t>
      </w:r>
      <w:r w:rsidRPr="00DA42F5">
        <w:rPr>
          <w:i/>
          <w:iCs/>
        </w:rPr>
        <w:t>Clostridium</w:t>
      </w:r>
      <w:r w:rsidRPr="00DA42F5">
        <w:t xml:space="preserve"> clusters XI and </w:t>
      </w:r>
      <w:proofErr w:type="spellStart"/>
      <w:r w:rsidRPr="00DA42F5">
        <w:t>XIVa</w:t>
      </w:r>
      <w:proofErr w:type="spellEnd"/>
      <w:r w:rsidRPr="00DA42F5">
        <w:t xml:space="preserve"> (</w:t>
      </w:r>
      <w:r w:rsidRPr="00DA42F5">
        <w:rPr>
          <w:i/>
          <w:iCs/>
        </w:rPr>
        <w:t xml:space="preserve">Clostridium </w:t>
      </w:r>
      <w:proofErr w:type="spellStart"/>
      <w:r w:rsidRPr="00DA42F5">
        <w:rPr>
          <w:i/>
          <w:iCs/>
        </w:rPr>
        <w:t>leptum</w:t>
      </w:r>
      <w:proofErr w:type="spellEnd"/>
      <w:r w:rsidRPr="00DA42F5">
        <w:t xml:space="preserve">, </w:t>
      </w:r>
      <w:r w:rsidRPr="00DA42F5">
        <w:rPr>
          <w:i/>
          <w:iCs/>
        </w:rPr>
        <w:t xml:space="preserve">Clostridium </w:t>
      </w:r>
      <w:proofErr w:type="spellStart"/>
      <w:r w:rsidRPr="00DA42F5">
        <w:rPr>
          <w:i/>
          <w:iCs/>
        </w:rPr>
        <w:t>scindens</w:t>
      </w:r>
      <w:proofErr w:type="spellEnd"/>
      <w:r w:rsidRPr="00DA42F5">
        <w:t xml:space="preserve">, </w:t>
      </w:r>
      <w:r w:rsidRPr="00DA42F5">
        <w:rPr>
          <w:i/>
          <w:iCs/>
        </w:rPr>
        <w:t xml:space="preserve">Clostridium </w:t>
      </w:r>
      <w:proofErr w:type="spellStart"/>
      <w:r w:rsidRPr="00DA42F5">
        <w:rPr>
          <w:i/>
          <w:iCs/>
        </w:rPr>
        <w:t>innocuum</w:t>
      </w:r>
      <w:proofErr w:type="spellEnd"/>
      <w:r w:rsidRPr="00DA42F5">
        <w:t xml:space="preserve">), as well as </w:t>
      </w:r>
      <w:proofErr w:type="spellStart"/>
      <w:r w:rsidRPr="00DA42F5">
        <w:rPr>
          <w:i/>
          <w:iCs/>
        </w:rPr>
        <w:t>Flavonifractor</w:t>
      </w:r>
      <w:proofErr w:type="spellEnd"/>
      <w:r w:rsidRPr="00DA42F5">
        <w:rPr>
          <w:i/>
          <w:iCs/>
        </w:rPr>
        <w:t xml:space="preserve"> </w:t>
      </w:r>
      <w:proofErr w:type="spellStart"/>
      <w:r w:rsidRPr="00DA42F5">
        <w:rPr>
          <w:i/>
          <w:iCs/>
        </w:rPr>
        <w:t>plautii</w:t>
      </w:r>
      <w:proofErr w:type="spellEnd"/>
      <w:r w:rsidRPr="00DA42F5">
        <w:t> and </w:t>
      </w:r>
      <w:proofErr w:type="spellStart"/>
      <w:r w:rsidRPr="00DA42F5">
        <w:rPr>
          <w:i/>
          <w:iCs/>
        </w:rPr>
        <w:t>Ruminococcus</w:t>
      </w:r>
      <w:proofErr w:type="spellEnd"/>
      <w:r w:rsidRPr="00DA42F5">
        <w:rPr>
          <w:i/>
          <w:iCs/>
        </w:rPr>
        <w:t xml:space="preserve"> </w:t>
      </w:r>
      <w:proofErr w:type="spellStart"/>
      <w:r w:rsidRPr="00DA42F5">
        <w:rPr>
          <w:i/>
          <w:iCs/>
        </w:rPr>
        <w:t>bromii</w:t>
      </w:r>
      <w:proofErr w:type="spellEnd"/>
      <w:r w:rsidRPr="00DA42F5">
        <w:t xml:space="preserve"> from the </w:t>
      </w:r>
      <w:proofErr w:type="spellStart"/>
      <w:r w:rsidRPr="00DA42F5">
        <w:rPr>
          <w:i/>
          <w:iCs/>
        </w:rPr>
        <w:t>Ruminococcaceae</w:t>
      </w:r>
      <w:proofErr w:type="spellEnd"/>
      <w:r w:rsidRPr="00DA42F5">
        <w:t xml:space="preserve"> family. Other prevalent species, such as </w:t>
      </w:r>
      <w:r w:rsidRPr="00DA42F5">
        <w:rPr>
          <w:i/>
          <w:iCs/>
        </w:rPr>
        <w:t xml:space="preserve">Eubacterium </w:t>
      </w:r>
      <w:proofErr w:type="spellStart"/>
      <w:r w:rsidRPr="00DA42F5">
        <w:rPr>
          <w:i/>
          <w:iCs/>
        </w:rPr>
        <w:t>rectale</w:t>
      </w:r>
      <w:proofErr w:type="spellEnd"/>
      <w:r w:rsidRPr="00DA42F5">
        <w:t xml:space="preserve"> and </w:t>
      </w:r>
      <w:r w:rsidRPr="00DA42F5">
        <w:rPr>
          <w:i/>
          <w:iCs/>
        </w:rPr>
        <w:t>Eubacterium elegans</w:t>
      </w:r>
      <w:r w:rsidRPr="00DA42F5">
        <w:t xml:space="preserve">, also possess the genetic capability for sporulation </w:t>
      </w:r>
      <w:r w:rsidRPr="00DA42F5">
        <w:fldChar w:fldCharType="begin"/>
      </w:r>
      <w:r w:rsidRPr="00DA42F5">
        <w:instrText xml:space="preserve"> ADDIN ZOTERO_ITEM CSL_CITATION {"citationID":"nspLNZI5","properties":{"formattedCitation":"(Egan et al., 2021)","plainCitation":"(Egan et al., 2021)","noteIndex":0},"citationItems":[{"id":1088,"uris":["http://zotero.org/users/8873894/items/SJCCTPEG"],"itemData":{"id":1088,"type":"article-journal","abstract":"The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A42F5">
        <w:fldChar w:fldCharType="separate"/>
      </w:r>
      <w:r w:rsidRPr="00DA42F5">
        <w:t>(Egan et al., 2021)</w:t>
      </w:r>
      <w:r w:rsidRPr="00DA42F5">
        <w:fldChar w:fldCharType="end"/>
      </w:r>
      <w:r w:rsidRPr="00DA42F5">
        <w:t xml:space="preserve">. </w:t>
      </w:r>
    </w:p>
    <w:p w14:paraId="5CE1239B" w14:textId="77777777" w:rsidR="00DA42F5" w:rsidRPr="00DA42F5" w:rsidRDefault="00DA42F5" w:rsidP="00DA42F5">
      <w:r w:rsidRPr="00DA42F5">
        <w:t xml:space="preserve">The abundance of spore-forming bacteria is lower in infants than adults </w:t>
      </w:r>
      <w:r w:rsidRPr="00DA42F5">
        <w:fldChar w:fldCharType="begin"/>
      </w:r>
      <w:r w:rsidRPr="00DA42F5">
        <w:instrText xml:space="preserve"> ADDIN ZOTERO_ITEM CSL_CITATION {"citationID":"s0JotdMa","properties":{"formattedCitation":"(Korpela et al., 2018; Nayfach et al., 2016)","plainCitation":"(Korpela et al., 2018; Nayfach et al., 2016)","noteIndex":0},"citationItems":[{"id":1595,"uris":["http://zotero.org/users/8873894/items/B2CNGHMC"],"itemData":{"id":1595,"type":"article-journal","abstract":"Vertical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Res","page":"561-568","PMID":"29496731","PMCID":"PMC5880245","source":"PubMed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rsidRPr="00DA42F5">
        <w:fldChar w:fldCharType="separate"/>
      </w:r>
      <w:r w:rsidRPr="00DA42F5">
        <w:t>(Korpela et al., 2018; Nayfach et al., 2016)</w:t>
      </w:r>
      <w:r w:rsidRPr="00DA42F5">
        <w:fldChar w:fldCharType="end"/>
      </w:r>
      <w:r w:rsidRPr="00DA42F5">
        <w:t xml:space="preserve">, but despite this, they are the initial producers of butyrate, which was shown to protect the gut from intestinal diseases such as inflammatory bowel disease and colon cancer </w:t>
      </w:r>
      <w:r w:rsidRPr="00DA42F5">
        <w:fldChar w:fldCharType="begin"/>
      </w:r>
      <w:r w:rsidRPr="00DA42F5">
        <w:instrText xml:space="preserve"> ADDIN ZOTERO_ITEM CSL_CITATION {"citationID":"gTJg8dEt","properties":{"formattedCitation":"(Appert et al., 2020; Hodgkinson et al., 2023)","plainCitation":"(Appert et al., 2020; Hodgkinson et al., 2023)","noteIndex":0},"citationItems":[{"id":1596,"uris":["http://zotero.org/users/8873894/items/WWYT9LM8"],"itemData":{"id":1596,"type":"article-journal","abstract":"The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Microbiol","language":"eng","page":"3909-3921","PMID":"32686173","source":"PubMed","title":"Initial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schema":"https://github.com/citation-style-language/schema/raw/master/csl-citation.json"} </w:instrText>
      </w:r>
      <w:r w:rsidRPr="00DA42F5">
        <w:fldChar w:fldCharType="separate"/>
      </w:r>
      <w:r w:rsidRPr="00DA42F5">
        <w:t>(Appert et al., 2020; Hodgkinson et al., 2023)</w:t>
      </w:r>
      <w:r w:rsidRPr="00DA42F5">
        <w:fldChar w:fldCharType="end"/>
      </w:r>
      <w:r w:rsidRPr="00DA42F5">
        <w:t>. Specifically, short chain fatty acids (</w:t>
      </w:r>
      <w:proofErr w:type="spellStart"/>
      <w:r w:rsidRPr="00DA42F5">
        <w:t>SCFAs</w:t>
      </w:r>
      <w:proofErr w:type="spellEnd"/>
      <w:r w:rsidRPr="00DA42F5">
        <w:t xml:space="preserve">) generated by spore forming bacteria that break down dietary fibres, are linked to improved gut </w:t>
      </w:r>
      <w:r w:rsidRPr="00DA42F5">
        <w:lastRenderedPageBreak/>
        <w:t xml:space="preserve">homeostasis, suppressed inflammatory responses, and epithelial barrier functioning (reviewed in Koopman et al., 2022). A high proportion of gut bacteria, at least 50 to 60%  possess the genetic capability for sporulation,  representing around 30% of all bacterial abundance in the adult human gut capable of survival in conditions that are unfavourable for growth </w:t>
      </w:r>
      <w:r w:rsidRPr="00DA42F5">
        <w:fldChar w:fldCharType="begin"/>
      </w:r>
      <w:r w:rsidRPr="00DA42F5">
        <w:instrText xml:space="preserve"> ADDIN ZOTERO_ITEM CSL_CITATION {"citationID":"ik6cmWMM","properties":{"formattedCitation":"(Browne et al., 2016b)","plainCitation":"(Browne et al., 2016b)","noteIndex":0},"citationItems":[{"id":376,"uris":["http://zotero.org/users/8873894/items/YDIPWJ3L"],"itemData":{"id":376,"type":"article-journal","abstract":"A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A42F5">
        <w:fldChar w:fldCharType="separate"/>
      </w:r>
      <w:r w:rsidRPr="00DA42F5">
        <w:rPr>
          <w:rFonts w:cs="Times New Roman"/>
        </w:rPr>
        <w:t>(Browne et al., 2016b)</w:t>
      </w:r>
      <w:r w:rsidRPr="00DA42F5">
        <w:fldChar w:fldCharType="end"/>
      </w:r>
      <w:r w:rsidRPr="00DA42F5">
        <w:t xml:space="preserve">. The ability of spore-forming bacteria in the human gut to endure unfavourable conditions, such as oxygen, antibiotic treatment, inflammation, and other diseases, allows them to persist and potentially recolonize the gut following disruptions but also facilitates transmission between individuals </w:t>
      </w:r>
      <w:r w:rsidRPr="00DA42F5">
        <w:fldChar w:fldCharType="begin"/>
      </w:r>
      <w:r w:rsidRPr="00DA42F5">
        <w:instrText xml:space="preserve"> ADDIN ZOTERO_ITEM CSL_CITATION {"citationID":"leLj8T4B","properties":{"formattedCitation":"(Swick et al., 2016)","plainCitation":"(Swick et al., 2016)","noteIndex":0},"citationItems":[{"id":2051,"uris":["http://zotero.org/users/8873894/items/8U7JDRN7"],"itemData":{"id":2051,"type":"article-journal","container-title":"Microbiology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M."},{"family":"Driks","given":"Adam"}],"issued":{"date-parts":[["2016",8]]}}}],"schema":"https://github.com/citation-style-language/schema/raw/master/csl-citation.json"} </w:instrText>
      </w:r>
      <w:r w:rsidRPr="00DA42F5">
        <w:fldChar w:fldCharType="separate"/>
      </w:r>
      <w:r w:rsidRPr="00DA42F5">
        <w:t>(Swick et al., 2016)</w:t>
      </w:r>
      <w:r w:rsidRPr="00DA42F5">
        <w:fldChar w:fldCharType="end"/>
      </w:r>
      <w:r w:rsidRPr="00DA42F5">
        <w:t xml:space="preserve">. Other mechanisms hypothesized to increase transmission between human hosts include aero-toleration, and viable, but not-culturable state, where an increased survival ability is achieved through decreased metabolic activity and strengthened cell walls </w:t>
      </w:r>
      <w:r w:rsidRPr="00DA42F5">
        <w:fldChar w:fldCharType="begin"/>
      </w:r>
      <w:r w:rsidRPr="00DA42F5">
        <w:instrText xml:space="preserve"> ADDIN ZOTERO_ITEM CSL_CITATION {"citationID":"CvrO8tBN","properties":{"formattedCitation":"(Browne et al., 2017)","plainCitation":"(Browne et al., 2017)","noteIndex":0},"citationItems":[{"id":2982,"uris":["http://zotero.org/users/8873894/items/4W6Y6Z8H"],"itemData":{"id":2982,"type":"article-journal","container-title":"Nature Reviews Microbiology","DOI":"10.1038/nrmicro.2017.50","ISSN":"1740-1526, 1740-1534","issue":"9","journalAbbreviation":"Nat Rev Microbiol","language":"en","page":"531-543","source":"DOI.org (Crossref)","title":"Transmission of the gut microbiota: spreading of health","title-short":"Transmission of the gut microbiota","volume":"15","author":[{"family":"Browne","given":"Hilary P."},{"family":"Neville","given":"B. Anne"},{"family":"Forster","given":"Samuel C."},{"family":"Lawley","given":"Trevor D."}],"issued":{"date-parts":[["2017",9]]}}}],"schema":"https://github.com/citation-style-language/schema/raw/master/csl-citation.json"} </w:instrText>
      </w:r>
      <w:r w:rsidRPr="00DA42F5">
        <w:fldChar w:fldCharType="separate"/>
      </w:r>
      <w:r w:rsidRPr="00DA42F5">
        <w:t>(Browne et al., 2017)</w:t>
      </w:r>
      <w:r w:rsidRPr="00DA42F5">
        <w:fldChar w:fldCharType="end"/>
      </w:r>
      <w:r w:rsidRPr="00DA42F5">
        <w:t xml:space="preserve">. The likelihood of transmission increases with bacteria’s utilization of different life-history strategies (e.g. dormancy) and their prevalence, however high strain abundance within a host is not typically driven by transmission, but rather the bacterium’s ability to adapt and grow within a host </w:t>
      </w:r>
      <w:r w:rsidRPr="00DA42F5">
        <w:fldChar w:fldCharType="begin"/>
      </w:r>
      <w:r w:rsidRPr="00DA42F5">
        <w:instrText xml:space="preserve"> ADDIN ZOTERO_ITEM CSL_CITATION {"citationID":"IU5bP44E","properties":{"formattedCitation":"(Valles-Colomer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A42F5">
        <w:fldChar w:fldCharType="separate"/>
      </w:r>
      <w:r w:rsidRPr="00DA42F5">
        <w:t>(Valles-Colomer et al., 2023)</w:t>
      </w:r>
      <w:r w:rsidRPr="00DA42F5">
        <w:fldChar w:fldCharType="end"/>
      </w:r>
      <w:r w:rsidRPr="00DA42F5">
        <w:t xml:space="preserve">. </w:t>
      </w:r>
    </w:p>
    <w:p w14:paraId="441FCF7E" w14:textId="77777777" w:rsidR="00DA42F5" w:rsidRPr="00DA42F5" w:rsidRDefault="00DA42F5" w:rsidP="00DA42F5"/>
    <w:p w14:paraId="1367FAFB" w14:textId="77777777" w:rsidR="00DA42F5" w:rsidRPr="00DA42F5" w:rsidRDefault="00DA42F5" w:rsidP="00DA42F5">
      <w:pPr>
        <w:pStyle w:val="Heading3"/>
      </w:pPr>
      <w:bookmarkStart w:id="17" w:name="_Toc219124858"/>
      <w:bookmarkStart w:id="18" w:name="_Toc220591357"/>
      <w:r w:rsidRPr="00DA42F5">
        <w:t>Culture-dependant and -independent analysis of sporobiota</w:t>
      </w:r>
      <w:bookmarkEnd w:id="17"/>
      <w:bookmarkEnd w:id="18"/>
      <w:r w:rsidRPr="00DA42F5">
        <w:t xml:space="preserve"> </w:t>
      </w:r>
    </w:p>
    <w:p w14:paraId="1714195F" w14:textId="77777777" w:rsidR="00DA42F5" w:rsidRPr="00DA42F5" w:rsidRDefault="00DA42F5" w:rsidP="00DA42F5">
      <w:r w:rsidRPr="00DA42F5">
        <w:t xml:space="preserve">Until recently most research has focused on the pathogenic endospores related to food safety and intestinal infections </w:t>
      </w:r>
      <w:r w:rsidRPr="00DA42F5">
        <w:fldChar w:fldCharType="begin"/>
      </w:r>
      <w:r w:rsidRPr="00DA42F5">
        <w:instrText xml:space="preserve"> ADDIN ZOTERO_ITEM CSL_CITATION {"citationID":"zr9CxxsE","properties":{"formattedCitation":"(Brown, 2000)","plainCitation":"(Brown, 2000)","dontUpdate":true,"noteIndex":0},"citationItems":[{"id":2993,"uris":["http://zotero.org/users/8873894/items/D6H26382"],"itemData":{"id":2993,"type":"article-journal","abstract":"Bacterial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rsidRPr="00DA42F5">
        <w:fldChar w:fldCharType="separate"/>
      </w:r>
      <w:r w:rsidRPr="00DA42F5">
        <w:t>(reviewed in Brown, 2000)</w:t>
      </w:r>
      <w:r w:rsidRPr="00DA42F5">
        <w:fldChar w:fldCharType="end"/>
      </w:r>
      <w:r w:rsidRPr="00DA42F5">
        <w:t xml:space="preserve">, but these species constitute a miniscule fraction of the microbiota and far less is known about the ecological dynamics of commensal, spore-forming bacteria that are highly abundant within healthy individuals. This is in-part due to the difficulty of isolating spores, which have proven to be one of the most resistant cell structures to live on Earth and space (Leggett at al., 2012, Horneck et al., 1994). Due to diverse evolutionary history bacterial spores can withstand many different environmental pressures such as heat, desiccation, radiation, oxidation or exposure to chemicals. Endospore producing bacteria have different mechanisms for defence from high temperature or prolonged emersion in high concentration of ethanol (Beaman et al., 1988; Thomas, 2012; Salvage et al., 2014; Tetz and Tetz, 2017). </w:t>
      </w:r>
    </w:p>
    <w:p w14:paraId="791E0F1A" w14:textId="77777777" w:rsidR="00DA42F5" w:rsidRPr="00DA42F5" w:rsidRDefault="00DA42F5" w:rsidP="00DA42F5">
      <w:r w:rsidRPr="00DA42F5">
        <w:t>Spores’ resistance to ethanol is enabled with detoxification trough external layers of spore coat (Henriques and Moran, 2007), reduced permeability and mobility of inner membrane (Cowan et al., 2004), and the protection of core content through a restriction of the macromolecule mobility in the coat. Outer spore coat layer is composed of more than 70 different proteins (</w:t>
      </w:r>
      <w:proofErr w:type="spellStart"/>
      <w:r w:rsidRPr="00DA42F5">
        <w:t>Driks</w:t>
      </w:r>
      <w:proofErr w:type="spellEnd"/>
      <w:r w:rsidRPr="00DA42F5">
        <w:t xml:space="preserve"> and Eichenberger, 2016) which are impermeable to alcohol that would denaturalize proteins and disable the cell metabolism and by disruption of membranes lead cell lysis. </w:t>
      </w:r>
      <w:proofErr w:type="gramStart"/>
      <w:r w:rsidRPr="00DA42F5">
        <w:t>Spores</w:t>
      </w:r>
      <w:proofErr w:type="gramEnd"/>
      <w:r w:rsidRPr="00DA42F5">
        <w:t xml:space="preserve"> resistant to heat shock (wet heat) have low core water content with high concentration of </w:t>
      </w:r>
      <w:proofErr w:type="spellStart"/>
      <w:r w:rsidRPr="00DA42F5">
        <w:t>dipicolinic</w:t>
      </w:r>
      <w:proofErr w:type="spellEnd"/>
      <w:r w:rsidRPr="00DA42F5">
        <w:t xml:space="preserve"> acid (DPA), </w:t>
      </w:r>
      <w:proofErr w:type="spellStart"/>
      <w:r w:rsidRPr="00DA42F5">
        <w:t>Ca</w:t>
      </w:r>
      <w:r w:rsidRPr="00DA42F5">
        <w:rPr>
          <w:vertAlign w:val="superscript"/>
        </w:rPr>
        <w:t>2</w:t>
      </w:r>
      <w:proofErr w:type="spellEnd"/>
      <w:r w:rsidRPr="00DA42F5">
        <w:rPr>
          <w:vertAlign w:val="superscript"/>
        </w:rPr>
        <w:t>+</w:t>
      </w:r>
      <w:r w:rsidRPr="00DA42F5">
        <w:t xml:space="preserve"> ions and α/β-type small acid-soluble spore proteins (</w:t>
      </w:r>
      <w:proofErr w:type="spellStart"/>
      <w:r w:rsidRPr="00DA42F5">
        <w:t>SASP</w:t>
      </w:r>
      <w:proofErr w:type="spellEnd"/>
      <w:r w:rsidRPr="00DA42F5">
        <w:t>) which protect DNA from damage (</w:t>
      </w:r>
      <w:proofErr w:type="spellStart"/>
      <w:r w:rsidRPr="00DA42F5">
        <w:t>Jamroskovic</w:t>
      </w:r>
      <w:proofErr w:type="spellEnd"/>
      <w:r w:rsidRPr="00DA42F5">
        <w:t xml:space="preserve">, 2016). </w:t>
      </w:r>
      <w:proofErr w:type="spellStart"/>
      <w:r w:rsidRPr="00DA42F5">
        <w:t>SASPs</w:t>
      </w:r>
      <w:proofErr w:type="spellEnd"/>
      <w:r w:rsidRPr="00DA42F5">
        <w:t xml:space="preserve"> also enable DNA repair in spore outgrowth (</w:t>
      </w:r>
      <w:proofErr w:type="spellStart"/>
      <w:r w:rsidRPr="00DA42F5">
        <w:t>Setlow</w:t>
      </w:r>
      <w:proofErr w:type="spellEnd"/>
      <w:r w:rsidRPr="00DA42F5">
        <w:t xml:space="preserve">, 2006). </w:t>
      </w:r>
      <w:proofErr w:type="spellStart"/>
      <w:r w:rsidRPr="00DA42F5">
        <w:t>SASPs</w:t>
      </w:r>
      <w:proofErr w:type="spellEnd"/>
      <w:r w:rsidRPr="00DA42F5">
        <w:t xml:space="preserve"> and DPA present up to 20% of spore core dry weight (Sunde et al., 2009). It has been observed that heat resistance develops late in the sporulation process, after calcium is incorporated and the cortex is formed or after DPA is synthesized (</w:t>
      </w:r>
      <w:proofErr w:type="spellStart"/>
      <w:r w:rsidRPr="00DA42F5">
        <w:t>Bonsen</w:t>
      </w:r>
      <w:proofErr w:type="spellEnd"/>
      <w:r w:rsidRPr="00DA42F5">
        <w:t>, 1969).</w:t>
      </w:r>
    </w:p>
    <w:p w14:paraId="11363E20" w14:textId="77777777" w:rsidR="00DA42F5" w:rsidRPr="00DA42F5" w:rsidRDefault="00DA42F5" w:rsidP="00DA42F5">
      <w:r w:rsidRPr="00DA42F5">
        <w:lastRenderedPageBreak/>
        <w:t xml:space="preserve">Exposure to high temperatures or to ethanol are two main procedures used for selective enrichment of spores in both cultivation-dependant and independent approaches. This can either be heat shock at 80 °C or 60 °C for 60 min and ethanol shock with 70% (v/v) ethanol for at least 4 h at room temperature to kill vegetative cells, while leaving spores intact </w:t>
      </w:r>
      <w:r w:rsidRPr="00DA42F5">
        <w:fldChar w:fldCharType="begin"/>
      </w:r>
      <w:r w:rsidRPr="00DA42F5">
        <w:instrText xml:space="preserve"> ADDIN ZOTERO_ITEM CSL_CITATION {"citationID":"NXJBvk5M","properties":{"formattedCitation":"(Browne et al., 2016b; Fakhry et al., 2008; Setlow et al., 2017)","plainCitation":"(Browne et al., 2016b; Fakhry et al., 2008; Setlow et al., 2017)","noteIndex":0},"citationItems":[{"id":376,"uris":["http://zotero.org/users/8873894/items/YDIPWJ3L"],"itemData":{"id":376,"type":"article-journal","abstract":"A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D."}],"issued":{"date-parts":[["2016"]]}}},{"id":3476,"uris":["http://zotero.org/users/8873894/items/TIX5FA5X"],"itemData":{"id":3476,"type":"article-journal","abstract":"AIMS: To isolate and characterize spore-former bacteria able to colonize the human gastrointestinal tract (GIT).\nMETHODS AND RESULTS: A total of 25 spore-formers was isolated from faeces and ileal biopsies of healthy human volunteers and identified at the species level. Physiological analysis was performed to evaluate the ability of the various isolates to form biofilms, to swarm, to produce surfactants and molecules that have antimicrobial activity against selected pathogens. To assess the potential probiotic activity of the isolates, we tested the resistance of cells and spores to simulated gastric conditions, the ability to grow and sporulate in anaerobic conditions and the presence of toxin-encoding genes in their genome.\nCONCLUSIONS: Spore-formers belonging to various bacterial species have been isolated from the gut of healthy human volunteers. These strains appear to be well adapted to the intestinal environment and we propose them as potential probiotic strains for human use and as oral vaccine vehicles.\nSIGNIFICANCE AND IMPACT OF THE STUDY: To our knowledge this is the first detailed characterization of spore-forming Bacilli from the human GIT. Our data suggest that the isolated species do not transit, but rather colonize this specific habitat and propose them as probiotic strains for human use.","container-title":"Journal of Applied Microbiology","DOI":"10.1111/j.1365-2672.2008.03934.x","ISSN":"1365-2672","issue":"6","journalAbbreviation":"J Appl Microbiol","language":"eng","page":"2178-2186","PMID":"19120663","source":"PubMed","title":"Characterization of spore forming Bacilli isolated from the human gastrointestinal tract","volume":"105","author":[{"family":"Fakhry","given":"S."},{"family":"Sorrentini","given":"I."},{"family":"Ricca","given":"E."},{"family":"De Felice","given":"M."},{"family":"Baccigalupi","given":"L."}],"issued":{"date-parts":[["2008",12]]}}},{"id":3478,"uris":["http://zotero.org/users/8873894/items/TARIRLF9"],"itemData":{"id":3478,"type":"article-journal","abstract":"Dormant Bacillales and Clostridiales spores begin to grow when small molecules (germinants) trigger germination, potentially leading to food spoilage or disease. Germination-specific proteins sense germinants, transport small molecules, and hydrolyze specific bonds in cortex peptidoglycan and specific proteins. Major events in germination include (a) germinant sensing; (b) commitment to germinate; (c) release of spores' depot of dipicolinic acid (DPA); (d) hydrolysis of spores' peptidoglycan cortex; and (e) spore core swelling and water uptake, cell wall peptidoglycan remodeling, and restoration of core protein and inner spore membrane lipid mobility. Germination is similar between Bacillales and Clostridiales, but some species differ in how germinants are sensed and how cortex hydrolysis and DPA release are triggered. Despite detailed knowledge of the proteins and signal transduction pathways involved in germination, precisely what some germination proteins do and how they do it remain unclear.","container-title":"Annual Review of Microbiology","DOI":"10.1146/annurev-micro-090816-093558","ISSN":"1545-3251","journalAbbreviation":"Annu Rev Microbiol","language":"eng","page":"459-477","PMID":"28697670","source":"PubMed","title":"Germination of Spores of the Orders Bacillales and Clostridiales","volume":"71","author":[{"family":"Setlow","given":"Peter"},{"family":"Wang","given":"Shiwei"},{"family":"Li","given":"Yong-Qing"}],"issued":{"date-parts":[["2017",9,8]]}}}],"schema":"https://github.com/citation-style-language/schema/raw/master/csl-citation.json"} </w:instrText>
      </w:r>
      <w:r w:rsidRPr="00DA42F5">
        <w:fldChar w:fldCharType="separate"/>
      </w:r>
      <w:r w:rsidRPr="00DA42F5">
        <w:rPr>
          <w:rFonts w:cs="Times New Roman"/>
        </w:rPr>
        <w:t>(Browne et al., 2016b; Fakhry et al., 2008; Setlow et al., 2017)</w:t>
      </w:r>
      <w:r w:rsidRPr="00DA42F5">
        <w:fldChar w:fldCharType="end"/>
      </w:r>
      <w:r w:rsidRPr="00DA42F5">
        <w:t xml:space="preserve">. These methods are followed by either culturing with added germinant, such as bile acids and amino acids, or DNA isolation and sequencing </w:t>
      </w:r>
      <w:r w:rsidRPr="00DA42F5">
        <w:fldChar w:fldCharType="begin"/>
      </w:r>
      <w:r w:rsidRPr="00DA42F5">
        <w:instrText xml:space="preserve"> ADDIN ZOTERO_ITEM CSL_CITATION {"citationID":"O4S7g659","properties":{"formattedCitation":"(Avershina et al., 2020; Browne et al., 2016b; Kearney et al., 2018; Koransky et al., 1978; Onizuka et al., 2021; Tanaka et al., 2020)","plainCitation":"(Avershina et al., 2020; Browne et al., 2016b; Kearney et al., 2018; Koransky et al., 1978; Onizuka et al., 2021; Tanaka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J."}],"issued":{"date-parts":[["2018",10]]}}},{"id":331,"uris":["http://zotero.org/users/8873894/items/XJN9RDPU"],"itemData":{"id":331,"type":"article-journal","abstract":"When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Microbiology","DOI":"10.1128/aem.35.4.762-765.1978","ISSN":"0099-2240, 1098-5336","issue":"4","journalAbbreviation":"Appl Environ Microbiol","language":"en","page":"762-765","source":"DOI.org (Crossref)","title":"Use of ethanol for selective isolation of sporeforming microorganisms","volume":"35","author":[{"family":"Koransky","given":"J R"},{"family":"Allen","given":"S D"},{"family":"Dowell","given":"V R"}],"issued":{"date-parts":[["1978",4]]}}},{"id":312,"uris":["http://zotero.org/users/8873894/items/EGKNDGK6"],"itemData":{"id":312,"type":"article-journal","abstract":"Spores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A42F5">
        <w:fldChar w:fldCharType="separate"/>
      </w:r>
      <w:r w:rsidRPr="00DA42F5">
        <w:rPr>
          <w:rFonts w:cs="Times New Roman"/>
        </w:rPr>
        <w:t>(Avershina et al., 2020; Browne et al., 2016b; Kearney et al., 2018; Koransky et al., 1978; Onizuka et al., 2021; Tanaka et al., 2020)</w:t>
      </w:r>
      <w:r w:rsidRPr="00DA42F5">
        <w:fldChar w:fldCharType="end"/>
      </w:r>
      <w:r w:rsidRPr="00DA42F5">
        <w:t xml:space="preserve">. An advance in the isolation of ethanol resistant spore-forming bacteria was achieved with addition of bile acids to boost germination in the culture process </w:t>
      </w:r>
      <w:r w:rsidRPr="00DA42F5">
        <w:fldChar w:fldCharType="begin"/>
      </w:r>
      <w:r w:rsidRPr="00DA42F5">
        <w:instrText xml:space="preserve"> ADDIN ZOTERO_ITEM CSL_CITATION {"citationID":"RjU3bDsr","properties":{"formattedCitation":"(Browne et al., 2016b; Onizuka et al., 2021; Tanaka et al., 2020)","plainCitation":"(Browne et al., 2016b; Onizuka et al., 2021; Tanaka et al., 2020)","noteIndex":0},"citationItems":[{"id":376,"uris":["http://zotero.org/users/8873894/items/YDIPWJ3L"],"itemData":{"id":376,"type":"article-journal","abstract":"A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A42F5">
        <w:fldChar w:fldCharType="separate"/>
      </w:r>
      <w:r w:rsidRPr="00DA42F5">
        <w:rPr>
          <w:rFonts w:cs="Times New Roman"/>
        </w:rPr>
        <w:t>(Browne et al., 2016b; Onizuka et al., 2021; Tanaka et al., 2020)</w:t>
      </w:r>
      <w:r w:rsidRPr="00DA42F5">
        <w:fldChar w:fldCharType="end"/>
      </w:r>
      <w:r w:rsidRPr="00DA42F5">
        <w:t xml:space="preserve">. This procedure enabled isolation of new species from families which were previously been though as non-spore-forming such as </w:t>
      </w:r>
      <w:proofErr w:type="spellStart"/>
      <w:r w:rsidRPr="00DA42F5">
        <w:rPr>
          <w:i/>
          <w:iCs/>
        </w:rPr>
        <w:t>Ruminococcus</w:t>
      </w:r>
      <w:proofErr w:type="spellEnd"/>
      <w:r w:rsidRPr="00DA42F5">
        <w:rPr>
          <w:i/>
          <w:iCs/>
        </w:rPr>
        <w:t xml:space="preserve">, </w:t>
      </w:r>
      <w:proofErr w:type="spellStart"/>
      <w:r w:rsidRPr="00DA42F5">
        <w:rPr>
          <w:i/>
          <w:iCs/>
        </w:rPr>
        <w:t>Blautia</w:t>
      </w:r>
      <w:proofErr w:type="spellEnd"/>
      <w:r w:rsidRPr="00DA42F5">
        <w:rPr>
          <w:i/>
          <w:iCs/>
        </w:rPr>
        <w:t xml:space="preserve">, </w:t>
      </w:r>
      <w:proofErr w:type="spellStart"/>
      <w:r w:rsidRPr="00DA42F5">
        <w:rPr>
          <w:i/>
          <w:iCs/>
        </w:rPr>
        <w:t>Coprococcus</w:t>
      </w:r>
      <w:proofErr w:type="spellEnd"/>
      <w:r w:rsidRPr="00DA42F5">
        <w:rPr>
          <w:i/>
          <w:iCs/>
        </w:rPr>
        <w:t xml:space="preserve">, </w:t>
      </w:r>
      <w:proofErr w:type="spellStart"/>
      <w:r w:rsidRPr="00DA42F5">
        <w:rPr>
          <w:i/>
          <w:iCs/>
        </w:rPr>
        <w:t>Lachnospiraceae</w:t>
      </w:r>
      <w:proofErr w:type="spellEnd"/>
      <w:r w:rsidRPr="00DA42F5">
        <w:rPr>
          <w:i/>
          <w:iCs/>
        </w:rPr>
        <w:t xml:space="preserve"> </w:t>
      </w:r>
      <w:r w:rsidRPr="00DA42F5">
        <w:t xml:space="preserve">and </w:t>
      </w:r>
      <w:proofErr w:type="spellStart"/>
      <w:r w:rsidRPr="00DA42F5">
        <w:rPr>
          <w:i/>
          <w:iCs/>
        </w:rPr>
        <w:t>Oscillospiraceae</w:t>
      </w:r>
      <w:proofErr w:type="spellEnd"/>
      <w:r w:rsidRPr="00DA42F5">
        <w:t>. These studies have vastly expanded our knowledge and shifted the view of spores from primarily soil-dwellers to prominent occupants of the human gut.</w:t>
      </w:r>
    </w:p>
    <w:p w14:paraId="68FA17D5" w14:textId="77777777" w:rsidR="00DA42F5" w:rsidRPr="00DA42F5" w:rsidRDefault="00DA42F5" w:rsidP="00DA42F5">
      <w:r w:rsidRPr="00DA42F5">
        <w:t xml:space="preserve">More recently, culture-independent studies used either lysozyme treatment or ethanol shock to selectively remove vegetative cells and profile the whole spore-forming community. In a cohort of healthy adults, lysozyme resistant operational taxonomic units (OTUs) were more frequently shared between individuals than other non-spore-forming taxa </w:t>
      </w:r>
      <w:r w:rsidRPr="00DA42F5">
        <w:fldChar w:fldCharType="begin"/>
      </w:r>
      <w:r w:rsidRPr="00DA42F5">
        <w:instrText xml:space="preserve"> ADDIN ZOTERO_ITEM CSL_CITATION {"citationID":"6hk28bW0","properties":{"formattedCitation":"(Kearney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A42F5">
        <w:fldChar w:fldCharType="separate"/>
      </w:r>
      <w:r w:rsidRPr="00DA42F5">
        <w:t>(Kearney et al., 2018)</w:t>
      </w:r>
      <w:r w:rsidRPr="00DA42F5">
        <w:fldChar w:fldCharType="end"/>
      </w:r>
      <w:r w:rsidRPr="00DA42F5">
        <w:t xml:space="preserve">. While a comparison of infant-mother pairs showed that the majority of OTUs determined as spore-forming are acquired from environment rather than mother-to-child transmission </w:t>
      </w:r>
      <w:r w:rsidRPr="00DA42F5">
        <w:fldChar w:fldCharType="begin"/>
      </w:r>
      <w:r w:rsidRPr="00DA42F5">
        <w:instrText xml:space="preserve"> ADDIN ZOTERO_ITEM CSL_CITATION {"citationID":"CX2aF87G","properties":{"formattedCitation":"(Avershina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DA42F5">
        <w:fldChar w:fldCharType="separate"/>
      </w:r>
      <w:r w:rsidRPr="00DA42F5">
        <w:t>(Avershina et al., 2020)</w:t>
      </w:r>
      <w:r w:rsidRPr="00DA42F5">
        <w:fldChar w:fldCharType="end"/>
      </w:r>
      <w:r w:rsidRPr="00DA42F5">
        <w:t xml:space="preserve">. Transmission ability of spore-forming bacteria was further confirmed by comparison of metagenomic-assembled genomes from multiple human gut studies, where species with sporulation genes showed greater prevalence across the population but decreased in relative abundance within an individual </w:t>
      </w:r>
      <w:r w:rsidRPr="00DA42F5">
        <w:fldChar w:fldCharType="begin"/>
      </w:r>
      <w:r w:rsidRPr="00DA42F5">
        <w:instrText xml:space="preserve"> ADDIN ZOTERO_ITEM CSL_CITATION {"citationID":"ae5A75Lz","properties":{"formattedCitation":"(Browne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A42F5">
        <w:fldChar w:fldCharType="separate"/>
      </w:r>
      <w:r w:rsidRPr="00DA42F5">
        <w:t>(Browne et al., 2021)</w:t>
      </w:r>
      <w:r w:rsidRPr="00DA42F5">
        <w:fldChar w:fldCharType="end"/>
      </w:r>
      <w:r w:rsidRPr="00DA42F5">
        <w:t xml:space="preserve">. The only longitudinal study on sporobiota to date, shows evidence from a 24-day time series of </w:t>
      </w:r>
      <w:proofErr w:type="spellStart"/>
      <w:r w:rsidRPr="00DA42F5">
        <w:t>16S</w:t>
      </w:r>
      <w:proofErr w:type="spellEnd"/>
      <w:r w:rsidRPr="00DA42F5">
        <w:t xml:space="preserve"> rRNA amplicon sequences from a single individual, which showed  stronger correlation between OTUs in the lysozyme resistant fraction compared to other gut taxa </w:t>
      </w:r>
      <w:r w:rsidRPr="00DA42F5">
        <w:fldChar w:fldCharType="begin"/>
      </w:r>
      <w:r w:rsidRPr="00DA42F5">
        <w:instrText xml:space="preserve"> ADDIN ZOTERO_ITEM CSL_CITATION {"citationID":"XiX6P6Q3","properties":{"formattedCitation":"(Kearney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A42F5">
        <w:fldChar w:fldCharType="separate"/>
      </w:r>
      <w:r w:rsidRPr="00DA42F5">
        <w:t>(Kearney et al., 2018)</w:t>
      </w:r>
      <w:r w:rsidRPr="00DA42F5">
        <w:fldChar w:fldCharType="end"/>
      </w:r>
      <w:r w:rsidRPr="00DA42F5">
        <w:t xml:space="preserve">. These patterns support the “seed bank” hypothesis stating that spore-forming bacteria establish a persistent community of dormant cells in the human gut </w:t>
      </w:r>
      <w:r w:rsidRPr="00DA42F5">
        <w:fldChar w:fldCharType="begin"/>
      </w:r>
      <w:r w:rsidRPr="00DA42F5">
        <w:instrText xml:space="preserve"> ADDIN ZOTERO_ITEM CSL_CITATION {"citationID":"KT4TjCTH","properties":{"formattedCitation":"(Lennon &amp; Jones, 2011)","plainCitation":"(Lennon &amp; Jones, 2011)","noteIndex":0},"citationItems":[{"id":2880,"uris":["http://zotero.org/users/8873894/items/NNH74YH5"],"itemData":{"id":2880,"type":"article-journal","abstract":"Dormancy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rsidRPr="00DA42F5">
        <w:fldChar w:fldCharType="separate"/>
      </w:r>
      <w:r w:rsidRPr="00DA42F5">
        <w:t>(Lennon &amp; Jones, 2011)</w:t>
      </w:r>
      <w:r w:rsidRPr="00DA42F5">
        <w:fldChar w:fldCharType="end"/>
      </w:r>
      <w:r w:rsidRPr="00DA42F5">
        <w:t xml:space="preserve">. </w:t>
      </w:r>
    </w:p>
    <w:p w14:paraId="5D7127C9" w14:textId="77777777" w:rsidR="00DA42F5" w:rsidRPr="00DA42F5" w:rsidRDefault="00DA42F5" w:rsidP="00DA42F5"/>
    <w:p w14:paraId="591028F4" w14:textId="77777777" w:rsidR="00DA42F5" w:rsidRPr="00DA42F5" w:rsidRDefault="00DA42F5" w:rsidP="00DA42F5">
      <w:pPr>
        <w:pStyle w:val="Heading2"/>
      </w:pPr>
      <w:bookmarkStart w:id="19" w:name="_Toc219124859"/>
      <w:bookmarkStart w:id="20" w:name="_Toc220591358"/>
      <w:r w:rsidRPr="00DA42F5">
        <w:t>CULTIVATION OF BACTERIA FROM THE HUMAN GUT</w:t>
      </w:r>
      <w:bookmarkEnd w:id="19"/>
      <w:bookmarkEnd w:id="20"/>
      <w:r w:rsidRPr="00DA42F5">
        <w:t xml:space="preserve"> </w:t>
      </w:r>
    </w:p>
    <w:p w14:paraId="5BFFF7CC" w14:textId="77777777" w:rsidR="00DA42F5" w:rsidRPr="00DA42F5" w:rsidRDefault="00DA42F5" w:rsidP="00DA42F5">
      <w:r w:rsidRPr="00DA42F5">
        <w:t xml:space="preserve">Cultivating bacteria from the human gut microbiome is challenging, as many exhibit stringent growth requirements, including extreme oxygen sensitivity, dependence on complex substrates (often produced by the host or other community members), narrow pH and redox conditions, and unidentified cofactors or growth factors </w:t>
      </w:r>
      <w:r w:rsidRPr="00DA42F5">
        <w:fldChar w:fldCharType="begin"/>
      </w:r>
      <w:r w:rsidRPr="00DA42F5">
        <w:instrText xml:space="preserve"> ADDIN ZOTERO_ITEM CSL_CITATION {"citationID":"8GD7KM63","properties":{"formattedCitation":"(Tidjani Alou et al., 2020)","plainCitation":"(Tidjani Alou et al., 2020)","noteIndex":0},"citationItems":[{"id":3481,"uris":["http://zotero.org/users/8873894/items/7MT4WBB4"],"itemData":{"id":3481,"type":"article-journal","abstract":"SUMMARYThe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A42F5">
        <w:fldChar w:fldCharType="separate"/>
      </w:r>
      <w:r w:rsidRPr="00DA42F5">
        <w:t>(Tidjani Alou et al., 2020)</w:t>
      </w:r>
      <w:r w:rsidRPr="00DA42F5">
        <w:fldChar w:fldCharType="end"/>
      </w:r>
      <w:r w:rsidRPr="00DA42F5">
        <w:t xml:space="preserve">. Compounding these issues, slow-growing specialists are frequently outcompeted by fast-growing generalists under standard laboratory conditions (REF). Historically, culture-independent methods like </w:t>
      </w:r>
      <w:proofErr w:type="spellStart"/>
      <w:r w:rsidRPr="00DA42F5">
        <w:t>16S</w:t>
      </w:r>
      <w:proofErr w:type="spellEnd"/>
      <w:r w:rsidRPr="00DA42F5">
        <w:t xml:space="preserve"> rRNA amplicon and shotgun metagenomics have dominated microbiome research, estimating over 70% of </w:t>
      </w:r>
      <w:r w:rsidRPr="00DA42F5">
        <w:lastRenderedPageBreak/>
        <w:t xml:space="preserve">predicted species lacking cultured representatives (REF). However, cultivation retains critical importance for functional validation, as metagenomic inferences alone cannot reliably predict phenotypes such as growth characteristics, metabolic outputs, antibiotic resistance, host interactions, or syntrophic behaviours </w:t>
      </w:r>
      <w:r w:rsidRPr="00DA42F5">
        <w:fldChar w:fldCharType="begin"/>
      </w:r>
      <w:r w:rsidRPr="00DA42F5">
        <w:instrText xml:space="preserve"> ADDIN ZOTERO_ITEM CSL_CITATION {"citationID":"nqGDQrJz","properties":{"formattedCitation":"(Abellan-Schneyder et al., 2021; Lagier et al., 2018)","plainCitation":"(Abellan-Schneyder et al., 2021; Lagier et al., 2018)","noteIndex":0},"citationItems":[{"id":2150,"uris":["http://zotero.org/users/8873894/items/ESNV4FEY"],"itemData":{"id":2150,"type":"article-journal","abstract":"In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studies.\n          , \n            ABSTRACT\n            \n              Short-amplicon 16S rRNA gene sequencing is currently the method of choice for studies investigating microbiomes. However, comparative studies on differences in procedures are scarce. We sequenced human stool samples and mock communities with increasing complexity using a variety of commonly used protocols. Short amplicons targeting different variable regions (V-regions) or ranges thereof  (V1-V2, V1-V3, V3-V4, V4, V4-V5, V6-V8, and V7-V9) were investigated for differences in the composition outcome due to primer choices. Next, the influence of clustering (operational taxonomic units [OTUs], zero-radius OTUs [zOTUs], and amplicon sequence variants [ASVs]), different databases (GreenGenes, the Ribosomal Database Project, Silva, the genomic-based 16S rRNA Database, and The All-Species Living Tree), and bioinformatic settings on taxonomic assignment were also investigated. We present a systematic comparison across all typically used V-regions using well-established primers. While it is known that the primer choice has a significant influence on the resulting microbial composition, we show that microbial profiles generated using different primer pairs need independent validation of performance. Further, comparing data sets across V-regions using different databases might be misleading due to differences in nomenclature (e.g.,\n              Enterorhabdus\n              versus\n              Adlercreutzia\n              ) and varying precisions in classification down to genus level. Overall, specific but important taxa are not picked up by certain primer pairs (e.g.,\n              Bacteroidetes\n              is missed using primers 515F-944R) or due to the database used (e.g.,\n              Acetatifactor\n              in GreenGenes and the genomic-based 16S rRNA Database). We found that appropriate truncation of amplicons is essential and different truncated-length combinations should be tested for each study. Finally, specific mock communities of sufficient and adequate complexity are highly recommended.\n            \n            \n              IMPORTANCE\n              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 Conclusions drawn by comparing one data set to another (e.g., between publications) appear to be problematic and require independent cross-validation using matching V-regions and uniform data processing. Therefore, we highlight the importance of a thought-out study design including sufficiently complex mock standards and appropriate V-region choice for the sample of interest. The use of processing pipelines and parameters must be tested beforehand.","container-title":"mSphere","DOI":"10.1128/mSphere.01202-20","ISSN":"2379-5042","issue":"1","journalAbbreviation":"mSphere","language":"en","page":"e01202-20","source":"DOI.org (Crossref)","title":"Primer, Pipelines, Parameters: Issues in 16S rRNA Gene Sequencing","title-short":"Primer, Pipelines, Parameters","volume":"6","author":[{"family":"Abellan-Schneyder","given":"Isabel"},{"family":"Matchado","given":"Monica S."},{"family":"Reitmeier","given":"Sandra"},{"family":"Sommer","given":"Alina"},{"family":"Sewald","given":"Zeno"},{"family":"Baumbach","given":"Jan"},{"family":"List","given":"Markus"},{"family":"Neuhaus","given":"Klaus"}],"editor":[{"family":"Tringe","given":"Susannah Green"}],"issued":{"date-parts":[["2021",2,24]]}}},{"id":329,"uris":["http://zotero.org/users/8873894/items/ADFRVAB3"],"itemData":{"id":329,"type":"article-journal","abstract":"The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A42F5">
        <w:fldChar w:fldCharType="separate"/>
      </w:r>
      <w:r w:rsidRPr="00DA42F5">
        <w:t>(Abellan-Schneyder et al., 2021; Lagier et al., 2018)</w:t>
      </w:r>
      <w:r w:rsidRPr="00DA42F5">
        <w:fldChar w:fldCharType="end"/>
      </w:r>
      <w:r w:rsidRPr="00DA42F5">
        <w:t xml:space="preserve">. Shotgun metagenomics excels at species-level profiling but struggles with strain resolution, particularly for low-abundance taxa. It requires high coverage ( &gt; </w:t>
      </w:r>
      <w:proofErr w:type="spellStart"/>
      <w:r w:rsidRPr="00DA42F5">
        <w:t>20x</w:t>
      </w:r>
      <w:proofErr w:type="spellEnd"/>
      <w:r w:rsidRPr="00DA42F5">
        <w:t>) and dominant strains to reconstruct metagenome-assembled genomes (</w:t>
      </w:r>
      <w:proofErr w:type="spellStart"/>
      <w:r w:rsidRPr="00DA42F5">
        <w:t>MAGs</w:t>
      </w:r>
      <w:proofErr w:type="spellEnd"/>
      <w:r w:rsidRPr="00DA42F5">
        <w:t xml:space="preserve">), yet non-dominant subpopulations often evade detection due to allelic variation or chimeric assemblies </w:t>
      </w:r>
      <w:r w:rsidRPr="00DA42F5">
        <w:fldChar w:fldCharType="begin"/>
      </w:r>
      <w:r w:rsidRPr="00DA42F5">
        <w:instrText xml:space="preserve"> ADDIN ZOTERO_ITEM CSL_CITATION {"citationID":"qiqmoBTZ","properties":{"formattedCitation":"(Garud et al., 2019; Garud &amp; Pollard, 2020; Nayfach et al., 2016; Poyet et al., 2019; Valles-Colomer et al., 2023)","plainCitation":"(Garud et al., 2019; Garud &amp; Pollard, 2020; Nayfach et al., 2016; Poyet et al., 2019; Valles-Colomer et al., 2023)","noteIndex":0},"citationItems":[{"id":1101,"uris":["http://zotero.org/users/8873894/items/NZ4G596M"],"itemData":{"id":1101,"type":"article-journal","abstract":"Gut microbiota are shaped by a combination of ecological and evolutionary forces. While the ecological dynamics have been extensively studied, much less is known about how species of gut bacteria evolve over time. Here, we introduce a model-based framework for quantifying evolutionary dynamics within and across hosts using a panel of metagenomic samples. We use this approach to study evolution in approximately 40 prevalent species in the human gut. Although the patterns of between-host diversity are consistent with quasi-sexual evolution and purifying selection on long timescales, we identify new genealogical signatures that challenge standard population genetic models of these processes. Within hosts, we find that genetic differences that accumulate over 6-month timescales are only rarely attributable to replacement by distantly related strains. Instead, the resident strains more commonly acquire a smaller number of putative evolutionary changes, in which nucleotide variants or gene gains or losses rapidly sweep to high frequency. By comparing these mutations with the typical between-host differences, we find evidence that some sweeps may be seeded by recombination, in addition to new mutations. However, comparisons of adult twins suggest that replacement eventually overwhelms evolution over multi-decade timescales, hinting at fundamental limits to the extent of local adaptation. Together, our results suggest that gut bacteria can evolve on human-relevant timescales, and they highlight the connections between these short-term evolutionary dynamics and longer-term evolution across hosts.","container-title":"PLOS Biology","DOI":"10.1371/journal.pbio.3000102","ISSN":"1545-7885","issue":"1","journalAbbreviation":"PLOS Biology","language":"en","page":"e3000102","publisher":"Public Library of Science","source":"PLoS Journals","title":"Evolutionary dynamics of bacteria in the gut microbiome within and across hosts","volume":"17","author":[{"family":"Garud","given":"Nandita R."},{"family":"Good","given":"Benjamin H."},{"family":"Hallatschek","given":"Oskar"},{"family":"Pollard","given":"Katherine S."}],"issued":{"date-parts":[["2019",1,23]]}}},{"id":3183,"uris":["http://zotero.org/users/8873894/items/8HJ4HKTS"],"itemData":{"id":3183,"type":"article-journal","container-title":"Trends in Genetics","DOI":"10.1016/j.tig.2019.10.010","ISSN":"0168-9525","issue":"1","journalAbbreviation":"Trends in Genetics","language":"English","page":"53-67","PMID":"31780057","publisher":"Elsevier","source":"www.cell.com","title":"Population Genetics in the Human Microbiome","volume":"36","author":[{"family":"Garud","given":"Nandita R."},{"family":"Pollard","given":"Katherine S."}],"issued":{"date-parts":[["2020",1,1]]}}},{"id":372,"uris":["http://zotero.org/users/8873894/items/C8X2T89J"],"itemData":{"id":372,"type":"article-journal","abstract":"We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A42F5">
        <w:fldChar w:fldCharType="separate"/>
      </w:r>
      <w:r w:rsidRPr="00DA42F5">
        <w:t>(Garud et al., 2019; Garud &amp; Pollard, 2020; Nayfach et al., 2016; Poyet et al., 2019; Valles-Colomer et al., 2023)</w:t>
      </w:r>
      <w:r w:rsidRPr="00DA42F5">
        <w:fldChar w:fldCharType="end"/>
      </w:r>
      <w:r w:rsidRPr="00DA42F5">
        <w:t xml:space="preserve">. </w:t>
      </w:r>
    </w:p>
    <w:p w14:paraId="05D2412D" w14:textId="77777777" w:rsidR="00DA42F5" w:rsidRPr="00DA42F5" w:rsidRDefault="00DA42F5" w:rsidP="00DA42F5">
      <w:r w:rsidRPr="00DA42F5">
        <w:t>Culturomics addresses these hurdles through high-throughput, targeted strategies such as tailoring media (e.g. mucin, bile acids, specific fibres), using antioxidants, extending incubation times, employing pre</w:t>
      </w:r>
      <w:r w:rsidRPr="00DA42F5">
        <w:noBreakHyphen/>
        <w:t>enrichment or elimination steps and increasingly using metagenome</w:t>
      </w:r>
      <w:r w:rsidRPr="00DA42F5">
        <w:noBreakHyphen/>
        <w:t xml:space="preserve">guided media design to target difficult genera a large fraction of “uncultured” diversity </w:t>
      </w:r>
      <w:r w:rsidRPr="00DA42F5">
        <w:fldChar w:fldCharType="begin"/>
      </w:r>
      <w:r w:rsidRPr="00DA42F5">
        <w:instrText xml:space="preserve"> ADDIN ZOTERO_ITEM CSL_CITATION {"citationID":"gcqLIwvK","properties":{"formattedCitation":"(Afouda et al., 2020; Browne et al., 2016b; Huang et al., 2023; Onizuka et al., 2021; Song et al., 2024; Tanaka et al., 2020; Tidjani Alou et al., 2020)","plainCitation":"(Afouda et al., 2020; Browne et al., 2016b; Huang et al., 2023; Onizuka et al., 2021; Song et al., 2024; Tanaka et al., 2020; Tidjani Alou et al., 2020)","noteIndex":0},"citationItems":[{"id":342,"uris":["http://zotero.org/users/8873894/items/7N3HWKTZ"],"itemData":{"id":342,"type":"article-journal","abstract":"Abstract\n            \n              Recent studies have used ethanol stool disinfection as a mean of promoting valuable species’ cultivation in bacteriotherapy trials for\n              Clostridium difficile\n              infections (CDI) treatment with a particular focus on sporulating bacteria. Moreover, the culturomic approach has considerably enriched the repertoire of cultivable organisms in the human gut in recent years. This study aimed to apply this culturomic approach on fecal donor samples treated with ethanol disinfection to evidence potential beneficial microbes that could be used in bacteriotherapy trials for the treatment of CDI. Thereby, a total of 254 bacterial species were identified, 9 of which were novel. Of these, 242 have never been included in clinical trials for the treatment of CDIs, representing potential new candidates for bacteriotherapy trials. While non-sporulating species were nevertheless more affected by the ethanol pretreatment than sporulating species, the ethanol disinfection technique did not specifically select bacteria able to sporulate, as suggested by previous studies. Furthermore, some bacteria previously considered as potential candidates for bacteriotherapy have been lost after ethanol treatment. This study, while enriching the bacterial repertoire of the human intestine, would nevertheless require determining the exact contribution of each of species composing the bacterial consortia intended to be administered for CDI treatment.","container-title":"Scientific Reports","DOI":"10.1038/s41598-020-62068-x","ISSN":"2045-2322","issue":"1","journalAbbreviation":"Sci Rep","language":"en","page":"5190","source":"DOI.org (Crossref)","title":"Alcohol pretreatment of stools effect on culturomics","volume":"10","author":[{"family":"Afouda","given":"Pamela"},{"family":"Hocquart","given":"Marie"},{"family":"Pham","given":"Thi-Phuong-Thao"},{"family":"Kuete","given":"Edmond"},{"family":"Ngom","given":"Issa Isaac"},{"family":"Dione","given":"Niokhor"},{"family":"Valles","given":"Camille"},{"family":"Bellali","given":"Sara"},{"family":"Lagier","given":"Jean-Christophe"},{"family":"Dubourg","given":"Grégory"},{"family":"Raoult","given":"Didier"}],"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D."}],"issued":{"date-parts":[["2016"]]}}},{"id":3483,"uris":["http://zotero.org/users/8873894/items/PSY4YL9I"],"itemData":{"id":3483,"type":"article-journal","abstract":"Pure bacterial cultures remain essential for detailed experimental and mechanistic studies in microbiome research, and traditional methods to isolate individual bacteria from complex microbial ecosystems are labor-intensive, difficult-to-scale and lack phenotype–genotype integration. Here we describe an open-source high-throughput robotic strain isolation platform for the rapid generation of isolates on demand. We develop a machine learning approach that leverages colony morphology and genomic data to maximize the diversity of microbes isolated and enable targeted picking of specific genera. Application of this platform on fecal samples from 20 humans yields personalized gut microbiome biobanks totaling 26,997 isolates that represented &gt;80% of all abundant taxa. Spatial analysis on &gt;100,000 visually captured colonies reveals cogrowth patterns between Ruminococcaceae, Bacteroidaceae, Coriobacteriaceae and Bifidobacteriaceae families that suggest important microbial interactions. Comparative analysis of 1,197 high-quality genomes from these biobanks shows interesting intra- and interpersonal strain evolution, selection and horizontal gene transfer. This culturomics framework should empower new research efforts to systematize the collection and quantitative analysis of imaging-based phenotypes with high-resolution genomics data for many emerging microbiome studies.","container-title":"Nature Biotechnology","DOI":"10.1038/s41587-023-01674-2","ISSN":"1546-1696","issue":"10","journalAbbreviation":"Nat Biotechnol","language":"en","license":"2023 The Author(s)","page":"1424-1433","publisher":"Nature Publishing Group","source":"www.nature.com","title":"High-throughput microbial culturomics using automation and machine learning","volume":"41","author":[{"family":"Huang","given":"Yiming"},{"family":"Sheth","given":"Ravi U."},{"family":"Zhao","given":"Shijie"},{"family":"Cohen","given":"Lucas A."},{"family":"Dabaghi","given":"Kendall"},{"family":"Moody","given":"Thomas"},{"family":"Sun","given":"Yiwei"},{"family":"Ricaurte","given":"Deirdre"},{"family":"Richardson","given":"Miles"},{"family":"Velez-Cortes","given":"Florencia"},{"family":"Blazejewski","given":"Tomasz"},{"family":"Kaufman","given":"Andrew"},{"family":"Ronda","given":"Carlotta"},{"family":"Wang","given":"Harris H."}],"issued":{"date-parts":[["2023",10]]}}},{"id":312,"uris":["http://zotero.org/users/8873894/items/EGKNDGK6"],"itemData":{"id":312,"type":"article-journal","abstract":"Spores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3487,"uris":["http://zotero.org/users/8873894/items/CAE7JYXW"],"itemData":{"id":3487,"type":"article-journal","abstract":"Hye Seon Song, Yeon Bee Kim, Joon Yong Kim, Seong Woon Roh, and Tae Woong Whon. J. Microbiol. Biotechnol. 2024;34:757-64. https://doi.org/10.4014/jmb.2311.11024","DOI":"10.4014/jmb.2311.11024","issue":"4","language":"en","page":"757-764","publisher":"Korean Society for Microbiology and Biotechnology","source":"www.jmb.or.kr","title":"Advances in Culturomics Research on the Human Gut Microbiome: Optimizing Medium Composition and Culture Techniques for Enhanced Microbial Discovery","title-short":"Advances in Culturomics Research on the Human Gut Microbiome","volume":"34","author":[{"family":"Song","given":"Hye Seon"},{"family":"Kim","given":"Yeon Bee"},{"family":"Kim","given":"Joon Yong"},{"family":"Roh","given":"Seong Woon"},{"family":"Whon","given":"Tae Woong"}],"issued":{"date-parts":[["2024",4,28]]}}},{"id":386,"uris":["http://zotero.org/users/8873894/items/T9JX6STI"],"itemData":{"id":386,"type":"article-journal","abstract":"Structurally-diversified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A42F5">
        <w:fldChar w:fldCharType="separate"/>
      </w:r>
      <w:r w:rsidRPr="00DA42F5">
        <w:rPr>
          <w:rFonts w:cs="Times New Roman"/>
        </w:rPr>
        <w:t>(Afouda et al., 2020; Browne et al., 2016b; Huang et al., 2023; Onizuka et al., 2021; Song et al., 2024; Tanaka et al., 2020; Tidjani Alou et al., 2020)</w:t>
      </w:r>
      <w:r w:rsidRPr="00DA42F5">
        <w:fldChar w:fldCharType="end"/>
      </w:r>
      <w:r w:rsidRPr="00DA42F5">
        <w:t xml:space="preserve">. Once isolates are obtained, whole genome sequencing enables precise characterization of high-quality reference genomes which facilitate accurate binning of metagenomic reads, gene function validation through knockouts or expression studies, and development of live biotherapeutics, probiotics, and synthetic consortia. Cultured strains are vital for testing antibiotic susceptibility, as metagenomic predictions overlook phenotypic resistance mechanisms, and for elucidating interspecies interactions like cross-feeding </w:t>
      </w:r>
      <w:r w:rsidRPr="00DA42F5">
        <w:fldChar w:fldCharType="begin"/>
      </w:r>
      <w:r w:rsidRPr="00DA42F5">
        <w:instrText xml:space="preserve"> ADDIN ZOTERO_ITEM CSL_CITATION {"citationID":"UAFsuUkJ","properties":{"formattedCitation":"(Lagier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A42F5">
        <w:fldChar w:fldCharType="separate"/>
      </w:r>
      <w:r w:rsidRPr="00DA42F5">
        <w:t>(Lagier et al., 2018)</w:t>
      </w:r>
      <w:r w:rsidRPr="00DA42F5">
        <w:fldChar w:fldCharType="end"/>
      </w:r>
      <w:r w:rsidRPr="00DA42F5">
        <w:t xml:space="preserve">. </w:t>
      </w:r>
    </w:p>
    <w:p w14:paraId="6E1B1CAF" w14:textId="77777777" w:rsidR="00DA42F5" w:rsidRPr="00DA42F5" w:rsidRDefault="00DA42F5" w:rsidP="00DA42F5">
      <w:r w:rsidRPr="00DA42F5">
        <w:t xml:space="preserve">Tu </w:t>
      </w:r>
      <w:proofErr w:type="spellStart"/>
      <w:r w:rsidRPr="00DA42F5">
        <w:t>sva</w:t>
      </w:r>
      <w:proofErr w:type="spellEnd"/>
      <w:r w:rsidRPr="00DA42F5">
        <w:t xml:space="preserve"> se </w:t>
      </w:r>
      <w:proofErr w:type="spellStart"/>
      <w:r w:rsidRPr="00DA42F5">
        <w:t>pogovarjali</w:t>
      </w:r>
      <w:proofErr w:type="spellEnd"/>
      <w:r w:rsidRPr="00DA42F5">
        <w:t xml:space="preserve"> o </w:t>
      </w:r>
      <w:proofErr w:type="spellStart"/>
      <w:r w:rsidRPr="00DA42F5">
        <w:t>tabeli</w:t>
      </w:r>
      <w:proofErr w:type="spellEnd"/>
      <w:r w:rsidRPr="00DA42F5">
        <w:t xml:space="preserve"> </w:t>
      </w:r>
      <w:proofErr w:type="spellStart"/>
      <w:r w:rsidRPr="00DA42F5">
        <w:t>najbolj</w:t>
      </w:r>
      <w:proofErr w:type="spellEnd"/>
      <w:r w:rsidRPr="00DA42F5">
        <w:t xml:space="preserve"> </w:t>
      </w:r>
      <w:proofErr w:type="spellStart"/>
      <w:r w:rsidRPr="00DA42F5">
        <w:t>pogostih</w:t>
      </w:r>
      <w:proofErr w:type="spellEnd"/>
      <w:r w:rsidRPr="00DA42F5">
        <w:t xml:space="preserve"> </w:t>
      </w:r>
      <w:proofErr w:type="spellStart"/>
      <w:r w:rsidRPr="00DA42F5">
        <w:t>bakterijskih</w:t>
      </w:r>
      <w:proofErr w:type="spellEnd"/>
      <w:r w:rsidRPr="00DA42F5">
        <w:t xml:space="preserve"> </w:t>
      </w:r>
      <w:proofErr w:type="spellStart"/>
      <w:r w:rsidRPr="00DA42F5">
        <w:t>vrst</w:t>
      </w:r>
      <w:proofErr w:type="spellEnd"/>
      <w:r w:rsidRPr="00DA42F5">
        <w:t xml:space="preserve"> v </w:t>
      </w:r>
      <w:proofErr w:type="spellStart"/>
      <w:r w:rsidRPr="00DA42F5">
        <w:t>črevesni</w:t>
      </w:r>
      <w:proofErr w:type="spellEnd"/>
      <w:r w:rsidRPr="00DA42F5">
        <w:t xml:space="preserve"> </w:t>
      </w:r>
      <w:proofErr w:type="spellStart"/>
      <w:r w:rsidRPr="00DA42F5">
        <w:t>mikrobioti</w:t>
      </w:r>
      <w:proofErr w:type="spellEnd"/>
      <w:r w:rsidRPr="00DA42F5">
        <w:t xml:space="preserve"> (po </w:t>
      </w:r>
      <w:proofErr w:type="spellStart"/>
      <w:r w:rsidRPr="00DA42F5">
        <w:t>relativni</w:t>
      </w:r>
      <w:proofErr w:type="spellEnd"/>
      <w:r w:rsidRPr="00DA42F5">
        <w:t xml:space="preserve"> </w:t>
      </w:r>
      <w:proofErr w:type="spellStart"/>
      <w:r w:rsidRPr="00DA42F5">
        <w:t>zastopanosti</w:t>
      </w:r>
      <w:proofErr w:type="spellEnd"/>
      <w:r w:rsidRPr="00DA42F5">
        <w:t xml:space="preserve"> v </w:t>
      </w:r>
      <w:proofErr w:type="spellStart"/>
      <w:r w:rsidRPr="00DA42F5">
        <w:t>Evropski</w:t>
      </w:r>
      <w:proofErr w:type="spellEnd"/>
      <w:r w:rsidRPr="00DA42F5">
        <w:t xml:space="preserve"> </w:t>
      </w:r>
      <w:proofErr w:type="spellStart"/>
      <w:r w:rsidRPr="00DA42F5">
        <w:t>populaciji</w:t>
      </w:r>
      <w:proofErr w:type="spellEnd"/>
      <w:r w:rsidRPr="00DA42F5">
        <w:t xml:space="preserve">? v </w:t>
      </w:r>
      <w:proofErr w:type="spellStart"/>
      <w:r w:rsidRPr="00DA42F5">
        <w:t>moji</w:t>
      </w:r>
      <w:proofErr w:type="spellEnd"/>
      <w:r w:rsidRPr="00DA42F5">
        <w:t xml:space="preserve"> </w:t>
      </w:r>
      <w:proofErr w:type="spellStart"/>
      <w:r w:rsidRPr="00DA42F5">
        <w:t>popoulaciji</w:t>
      </w:r>
      <w:proofErr w:type="spellEnd"/>
      <w:r w:rsidRPr="00DA42F5">
        <w:t xml:space="preserve">?). </w:t>
      </w:r>
      <w:proofErr w:type="spellStart"/>
      <w:r w:rsidRPr="00DA42F5">
        <w:t>Če</w:t>
      </w:r>
      <w:proofErr w:type="spellEnd"/>
      <w:r w:rsidRPr="00DA42F5">
        <w:t xml:space="preserve"> </w:t>
      </w:r>
      <w:proofErr w:type="spellStart"/>
      <w:r w:rsidRPr="00DA42F5">
        <w:t>grem</w:t>
      </w:r>
      <w:proofErr w:type="spellEnd"/>
      <w:r w:rsidRPr="00DA42F5">
        <w:t xml:space="preserve"> z shotgun </w:t>
      </w:r>
      <w:proofErr w:type="spellStart"/>
      <w:r w:rsidRPr="00DA42F5">
        <w:t>podatki</w:t>
      </w:r>
      <w:proofErr w:type="spellEnd"/>
      <w:r w:rsidRPr="00DA42F5">
        <w:t xml:space="preserve">, je </w:t>
      </w:r>
      <w:proofErr w:type="spellStart"/>
      <w:r w:rsidRPr="00DA42F5">
        <w:t>veliko</w:t>
      </w:r>
      <w:proofErr w:type="spellEnd"/>
      <w:r w:rsidRPr="00DA42F5">
        <w:t xml:space="preserve"> </w:t>
      </w:r>
      <w:proofErr w:type="spellStart"/>
      <w:r w:rsidRPr="00DA42F5">
        <w:t>vrst</w:t>
      </w:r>
      <w:proofErr w:type="spellEnd"/>
      <w:r w:rsidRPr="00DA42F5">
        <w:t xml:space="preserve">, ki </w:t>
      </w:r>
      <w:proofErr w:type="spellStart"/>
      <w:r w:rsidRPr="00DA42F5">
        <w:t>niti</w:t>
      </w:r>
      <w:proofErr w:type="spellEnd"/>
      <w:r w:rsidRPr="00DA42F5">
        <w:t xml:space="preserve"> </w:t>
      </w:r>
      <w:proofErr w:type="spellStart"/>
      <w:r w:rsidRPr="00DA42F5">
        <w:t>nimajo</w:t>
      </w:r>
      <w:proofErr w:type="spellEnd"/>
      <w:r w:rsidRPr="00DA42F5">
        <w:t xml:space="preserve"> </w:t>
      </w:r>
      <w:proofErr w:type="spellStart"/>
      <w:r w:rsidRPr="00DA42F5">
        <w:t>določenega</w:t>
      </w:r>
      <w:proofErr w:type="spellEnd"/>
      <w:r w:rsidRPr="00DA42F5">
        <w:t xml:space="preserve"> </w:t>
      </w:r>
      <w:proofErr w:type="spellStart"/>
      <w:r w:rsidRPr="00DA42F5">
        <w:t>imena</w:t>
      </w:r>
      <w:proofErr w:type="spellEnd"/>
      <w:r w:rsidRPr="00DA42F5">
        <w:t xml:space="preserve"> </w:t>
      </w:r>
      <w:proofErr w:type="spellStart"/>
      <w:r w:rsidRPr="00DA42F5">
        <w:t>ker</w:t>
      </w:r>
      <w:proofErr w:type="spellEnd"/>
      <w:r w:rsidRPr="00DA42F5">
        <w:t xml:space="preserve"> </w:t>
      </w:r>
      <w:proofErr w:type="spellStart"/>
      <w:r w:rsidRPr="00DA42F5">
        <w:t>še</w:t>
      </w:r>
      <w:proofErr w:type="spellEnd"/>
      <w:r w:rsidRPr="00DA42F5">
        <w:t xml:space="preserve"> </w:t>
      </w:r>
      <w:proofErr w:type="spellStart"/>
      <w:r w:rsidRPr="00DA42F5">
        <w:t>niso</w:t>
      </w:r>
      <w:proofErr w:type="spellEnd"/>
      <w:r w:rsidRPr="00DA42F5">
        <w:t xml:space="preserve"> bile </w:t>
      </w:r>
      <w:proofErr w:type="spellStart"/>
      <w:r w:rsidRPr="00DA42F5">
        <w:t>kultivirane</w:t>
      </w:r>
      <w:proofErr w:type="spellEnd"/>
      <w:r w:rsidRPr="00DA42F5">
        <w:t xml:space="preserve"> (</w:t>
      </w:r>
      <w:proofErr w:type="spellStart"/>
      <w:r w:rsidRPr="00DA42F5">
        <w:t>CAGxzy</w:t>
      </w:r>
      <w:proofErr w:type="spellEnd"/>
      <w:proofErr w:type="gramStart"/>
      <w:r w:rsidRPr="00DA42F5">
        <w:t xml:space="preserve"> ..</w:t>
      </w:r>
      <w:proofErr w:type="gramEnd"/>
      <w:r w:rsidRPr="00DA42F5">
        <w:t xml:space="preserve">), </w:t>
      </w:r>
      <w:proofErr w:type="spellStart"/>
      <w:r w:rsidRPr="00DA42F5">
        <w:t>njihovi</w:t>
      </w:r>
      <w:proofErr w:type="spellEnd"/>
      <w:r w:rsidRPr="00DA42F5">
        <w:t xml:space="preserve"> </w:t>
      </w:r>
      <w:proofErr w:type="spellStart"/>
      <w:r w:rsidRPr="00DA42F5">
        <w:t>pomembnosti</w:t>
      </w:r>
      <w:proofErr w:type="spellEnd"/>
      <w:r w:rsidRPr="00DA42F5">
        <w:t xml:space="preserve"> (</w:t>
      </w:r>
      <w:proofErr w:type="spellStart"/>
      <w:r w:rsidRPr="00DA42F5">
        <w:t>fukcionalna</w:t>
      </w:r>
      <w:proofErr w:type="spellEnd"/>
      <w:r w:rsidRPr="00DA42F5">
        <w:t xml:space="preserve"> </w:t>
      </w:r>
      <w:proofErr w:type="spellStart"/>
      <w:r w:rsidRPr="00DA42F5">
        <w:t>pomembnost</w:t>
      </w:r>
      <w:proofErr w:type="spellEnd"/>
      <w:r w:rsidRPr="00DA42F5">
        <w:t xml:space="preserve"> </w:t>
      </w:r>
      <w:proofErr w:type="spellStart"/>
      <w:r w:rsidRPr="00DA42F5">
        <w:t>ali</w:t>
      </w:r>
      <w:proofErr w:type="spellEnd"/>
      <w:r w:rsidRPr="00DA42F5">
        <w:t xml:space="preserve"> </w:t>
      </w:r>
      <w:proofErr w:type="spellStart"/>
      <w:r w:rsidRPr="00DA42F5">
        <w:t>zgolj</w:t>
      </w:r>
      <w:proofErr w:type="spellEnd"/>
      <w:r w:rsidRPr="00DA42F5">
        <w:t xml:space="preserve"> </w:t>
      </w:r>
      <w:proofErr w:type="spellStart"/>
      <w:r w:rsidRPr="00DA42F5">
        <w:t>zanimiv</w:t>
      </w:r>
      <w:proofErr w:type="spellEnd"/>
      <w:r w:rsidRPr="00DA42F5">
        <w:t xml:space="preserve"> </w:t>
      </w:r>
      <w:proofErr w:type="spellStart"/>
      <w:r w:rsidRPr="00DA42F5">
        <w:t>podatek</w:t>
      </w:r>
      <w:proofErr w:type="spellEnd"/>
      <w:r w:rsidRPr="00DA42F5">
        <w:t xml:space="preserve"> </w:t>
      </w:r>
      <w:proofErr w:type="spellStart"/>
      <w:r w:rsidRPr="00DA42F5">
        <w:t>iz</w:t>
      </w:r>
      <w:proofErr w:type="spellEnd"/>
      <w:r w:rsidRPr="00DA42F5">
        <w:t xml:space="preserve"> </w:t>
      </w:r>
      <w:proofErr w:type="spellStart"/>
      <w:r w:rsidRPr="00DA42F5">
        <w:t>članka</w:t>
      </w:r>
      <w:proofErr w:type="spellEnd"/>
      <w:r w:rsidRPr="00DA42F5">
        <w:t xml:space="preserve"> ko je ta </w:t>
      </w:r>
      <w:proofErr w:type="spellStart"/>
      <w:r w:rsidRPr="00DA42F5">
        <w:t>vrsta</w:t>
      </w:r>
      <w:proofErr w:type="spellEnd"/>
      <w:r w:rsidRPr="00DA42F5">
        <w:t xml:space="preserve"> </w:t>
      </w:r>
      <w:proofErr w:type="spellStart"/>
      <w:r w:rsidRPr="00DA42F5">
        <w:t>bila</w:t>
      </w:r>
      <w:proofErr w:type="spellEnd"/>
      <w:r w:rsidRPr="00DA42F5">
        <w:t xml:space="preserve"> </w:t>
      </w:r>
      <w:proofErr w:type="spellStart"/>
      <w:r w:rsidRPr="00DA42F5">
        <w:t>opisana</w:t>
      </w:r>
      <w:proofErr w:type="spellEnd"/>
      <w:r w:rsidRPr="00DA42F5">
        <w:t xml:space="preserve">?, </w:t>
      </w:r>
      <w:proofErr w:type="spellStart"/>
      <w:r w:rsidRPr="00DA42F5">
        <w:t>spet</w:t>
      </w:r>
      <w:proofErr w:type="spellEnd"/>
      <w:r w:rsidRPr="00DA42F5">
        <w:t xml:space="preserve"> problem </w:t>
      </w:r>
      <w:proofErr w:type="spellStart"/>
      <w:r w:rsidRPr="00DA42F5">
        <w:t>veliko</w:t>
      </w:r>
      <w:proofErr w:type="spellEnd"/>
      <w:r w:rsidRPr="00DA42F5">
        <w:t xml:space="preserve"> the ‘</w:t>
      </w:r>
      <w:proofErr w:type="spellStart"/>
      <w:r w:rsidRPr="00DA42F5">
        <w:t>vrst</w:t>
      </w:r>
      <w:proofErr w:type="spellEnd"/>
      <w:r w:rsidRPr="00DA42F5">
        <w:t xml:space="preserve">’ je </w:t>
      </w:r>
      <w:proofErr w:type="spellStart"/>
      <w:r w:rsidRPr="00DA42F5">
        <w:t>zaenkrat</w:t>
      </w:r>
      <w:proofErr w:type="spellEnd"/>
      <w:r w:rsidRPr="00DA42F5">
        <w:t xml:space="preserve"> </w:t>
      </w:r>
      <w:proofErr w:type="spellStart"/>
      <w:r w:rsidRPr="00DA42F5">
        <w:t>na</w:t>
      </w:r>
      <w:proofErr w:type="spellEnd"/>
      <w:r w:rsidRPr="00DA42F5">
        <w:t xml:space="preserve"> </w:t>
      </w:r>
      <w:proofErr w:type="spellStart"/>
      <w:r w:rsidRPr="00DA42F5">
        <w:t>nivoju</w:t>
      </w:r>
      <w:proofErr w:type="spellEnd"/>
      <w:r w:rsidRPr="00DA42F5">
        <w:t xml:space="preserve"> </w:t>
      </w:r>
      <w:proofErr w:type="spellStart"/>
      <w:r w:rsidRPr="00DA42F5">
        <w:t>MAGov</w:t>
      </w:r>
      <w:proofErr w:type="spellEnd"/>
      <w:r w:rsidRPr="00DA42F5">
        <w:t xml:space="preserve">) in </w:t>
      </w:r>
      <w:proofErr w:type="spellStart"/>
      <w:r w:rsidRPr="00DA42F5">
        <w:t>statusu</w:t>
      </w:r>
      <w:proofErr w:type="spellEnd"/>
      <w:r w:rsidRPr="00DA42F5">
        <w:t xml:space="preserve"> </w:t>
      </w:r>
      <w:proofErr w:type="spellStart"/>
      <w:r w:rsidRPr="00DA42F5">
        <w:t>kultivacije</w:t>
      </w:r>
      <w:proofErr w:type="spellEnd"/>
      <w:r w:rsidRPr="00DA42F5">
        <w:t>.</w:t>
      </w:r>
    </w:p>
    <w:p w14:paraId="21284E67" w14:textId="77777777" w:rsidR="00DA42F5" w:rsidRPr="00DA42F5" w:rsidRDefault="00DA42F5" w:rsidP="00DA42F5"/>
    <w:p w14:paraId="22547D64" w14:textId="77777777" w:rsidR="00DA42F5" w:rsidRPr="00DA42F5" w:rsidRDefault="00DA42F5" w:rsidP="00DA42F5">
      <w:pPr>
        <w:pStyle w:val="Heading2"/>
      </w:pPr>
      <w:bookmarkStart w:id="21" w:name="_Toc219124860"/>
      <w:bookmarkStart w:id="22" w:name="_Toc220591359"/>
      <w:r w:rsidRPr="00DA42F5">
        <w:t>HUMAN GUT RESISTOME</w:t>
      </w:r>
      <w:bookmarkEnd w:id="21"/>
      <w:bookmarkEnd w:id="22"/>
      <w:r w:rsidRPr="00DA42F5">
        <w:t xml:space="preserve"> </w:t>
      </w:r>
    </w:p>
    <w:p w14:paraId="1E5B331B" w14:textId="77777777" w:rsidR="00DA42F5" w:rsidRPr="00DA42F5" w:rsidRDefault="00DA42F5" w:rsidP="00DA42F5">
      <w:r w:rsidRPr="00DA42F5">
        <w:t xml:space="preserve">The human gut resistome comprises all genes in the intestinal microbiota that can confer resistance to antimicrobial agents, whether they reside in a pathogen, opportunistic pathobionts or commensal bacteria </w:t>
      </w:r>
      <w:r w:rsidRPr="00DA42F5">
        <w:fldChar w:fldCharType="begin"/>
      </w:r>
      <w:r w:rsidRPr="00DA42F5">
        <w:instrText xml:space="preserve"> ADDIN ZOTERO_ITEM CSL_CITATION {"citationID":"Nl0Oc75D","properties":{"formattedCitation":"(Wuethrich et al., 2021)","plainCitation":"(Wuethrich et al., 2021)","noteIndex":0},"citationItems":[{"id":2417,"uris":["http://zotero.org/users/8873894/items/JFXZYL67"],"itemData":{"id":2417,"type":"article-journal","container-title":"Gut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A42F5">
        <w:fldChar w:fldCharType="separate"/>
      </w:r>
      <w:r w:rsidRPr="00DA42F5">
        <w:t>(Wuethrich et al., 2021)</w:t>
      </w:r>
      <w:r w:rsidRPr="00DA42F5">
        <w:fldChar w:fldCharType="end"/>
      </w:r>
      <w:r w:rsidRPr="00DA42F5">
        <w:t xml:space="preserve">. So of the many bacterial species that carry antimicrobial resistance genes (ARGs) are vancomycin-resistant enterococci (VRE), methicillin-resistant staphylococci (MRSA), pseudomonas and </w:t>
      </w:r>
      <w:r w:rsidRPr="00DA42F5">
        <w:rPr>
          <w:i/>
          <w:iCs/>
        </w:rPr>
        <w:t>Acinetobacter</w:t>
      </w:r>
      <w:r w:rsidRPr="00DA42F5">
        <w:t xml:space="preserve"> resistant to carbapenems, and especially multiple-resistant enterobacteria including </w:t>
      </w:r>
      <w:r w:rsidRPr="00DA42F5">
        <w:rPr>
          <w:i/>
          <w:iCs/>
        </w:rPr>
        <w:t>E. coli</w:t>
      </w:r>
      <w:r w:rsidRPr="00DA42F5">
        <w:t xml:space="preserve"> and </w:t>
      </w:r>
      <w:r w:rsidRPr="00DA42F5">
        <w:rPr>
          <w:i/>
          <w:iCs/>
        </w:rPr>
        <w:t>Klebsiella</w:t>
      </w:r>
      <w:r w:rsidRPr="00DA42F5">
        <w:t xml:space="preserve"> spp. with extended-spectrum beta-lactamases or carbapenems, </w:t>
      </w:r>
      <w:r w:rsidRPr="00DA42F5">
        <w:rPr>
          <w:i/>
          <w:iCs/>
        </w:rPr>
        <w:t>Salmonella</w:t>
      </w:r>
      <w:r w:rsidRPr="00DA42F5">
        <w:t xml:space="preserve"> spp. and </w:t>
      </w:r>
      <w:r w:rsidRPr="00DA42F5">
        <w:rPr>
          <w:i/>
          <w:iCs/>
        </w:rPr>
        <w:t>Shigella</w:t>
      </w:r>
      <w:r w:rsidRPr="00DA42F5">
        <w:t xml:space="preserve"> spp. resistant to quinolones </w:t>
      </w:r>
      <w:r w:rsidRPr="00DA42F5">
        <w:fldChar w:fldCharType="begin"/>
      </w:r>
      <w:r w:rsidRPr="00DA42F5">
        <w:instrText xml:space="preserve"> ADDIN ZOTERO_ITEM CSL_CITATION {"citationID":"LC2FtPz0","properties":{"formattedCitation":"(Anthony et al., 2021)","plainCitation":"(Anthony et al., 2021)","noteIndex":0},"citationItems":[{"id":350,"uris":["http://zotero.org/users/8873894/items/EAM99M7I"],"itemData":{"id":350,"type":"article-journal","abstract":"This review will consider the gut as a reservoir for antimicrobial resistance, colonization resistance, and how disruption of the microbiome can lead to colonization by pathogenic organisms. There is a focus on the gut as a reservoir for β-lactam and plasmid-mediated quinolone resistance. Finally, the role of functional metagenomics and long-read sequencing technologies to detect and understand antimicrobial resistance genes within the gut microbiome is discussed, along with the potential for future microbiome-directed methods to detect and prevent infection.","container-title":"The Journal of Infectious Diseases","DOI":"10.1093/infdis/jiaa497","ISSN":"1537-6613","issue":"12 Suppl 2","journalAbbreviation":"J Infect Dis","language":"eng","page":"S209-S213","PMID":"33326581","PMCID":"PMC8206794","source":"PubMed","title":"The Gut Microbiome as a Reservoir for Antimicrobial Resistance","volume":"223","author":[{"family":"Anthony","given":"Winston E."},{"family":"Burnham","given":"Carey-Ann D."},{"family":"Dantas","given":"Gautam"},{"family":"Kwon","given":"Jennie H."}],"issued":{"date-parts":[["2021",6,16]]}}}],"schema":"https://github.com/citation-style-language/schema/raw/master/csl-citation.json"} </w:instrText>
      </w:r>
      <w:r w:rsidRPr="00DA42F5">
        <w:fldChar w:fldCharType="separate"/>
      </w:r>
      <w:r w:rsidRPr="00DA42F5">
        <w:t>(Anthony et al., 2021)</w:t>
      </w:r>
      <w:r w:rsidRPr="00DA42F5">
        <w:fldChar w:fldCharType="end"/>
      </w:r>
      <w:r w:rsidRPr="00DA42F5">
        <w:t xml:space="preserve">. </w:t>
      </w:r>
    </w:p>
    <w:p w14:paraId="2BC45B1E" w14:textId="0FC23F4A" w:rsidR="00DA42F5" w:rsidRPr="00DA42F5" w:rsidRDefault="00DA42F5" w:rsidP="00DA42F5">
      <w:r w:rsidRPr="00DA42F5">
        <w:t xml:space="preserve">ARGs in the gut resistome can be intrinsic, encoded in core genomes, or acquired through horizontal gene transfer via plasmids, transposons and integrative elements. They cover resistance </w:t>
      </w:r>
      <w:r w:rsidRPr="00DA42F5">
        <w:lastRenderedPageBreak/>
        <w:t xml:space="preserve">to all major antibiotic classes, through mechanisms such as reduced uptake and efflux, target modification, target protection or bypass, and antibiotic inactivation. Metagenomic surveys show that resistance to tetracyclines, bacitracin and glycopeptides (e.g. vancomycin) is particularly common in healthy individuals across multiple countries, with many ARGs traced to dominant commensal phyla such as </w:t>
      </w:r>
      <w:r w:rsidRPr="00DA42F5">
        <w:rPr>
          <w:i/>
          <w:iCs/>
        </w:rPr>
        <w:t>Bacillota</w:t>
      </w:r>
      <w:r w:rsidRPr="00DA42F5">
        <w:t xml:space="preserve"> and </w:t>
      </w:r>
      <w:r w:rsidRPr="00DA42F5">
        <w:rPr>
          <w:i/>
          <w:iCs/>
        </w:rPr>
        <w:t>Bacteroidetes</w:t>
      </w:r>
      <w:r w:rsidRPr="00DA42F5">
        <w:t xml:space="preserve"> </w:t>
      </w:r>
      <w:r w:rsidRPr="00DA42F5">
        <w:fldChar w:fldCharType="begin"/>
      </w:r>
      <w:r w:rsidRPr="00DA42F5">
        <w:instrText xml:space="preserve"> ADDIN ZOTERO_ITEM CSL_CITATION {"citationID":"VbW6GLSL","properties":{"formattedCitation":"(Lee et al., 2023)","plainCitation":"(Lee et al., 2023)","noteIndex":0},"citationItems":[{"id":3492,"uris":["http://zotero.org/users/8873894/items/GX8ISJXU"],"itemData":{"id":3492,"type":"article-journal","abstract":"The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A42F5">
        <w:fldChar w:fldCharType="separate"/>
      </w:r>
      <w:r w:rsidRPr="00DA42F5">
        <w:t>(Lee et al., 2023)</w:t>
      </w:r>
      <w:r w:rsidRPr="00DA42F5">
        <w:fldChar w:fldCharType="end"/>
      </w:r>
      <w:r w:rsidRPr="00DA42F5">
        <w:t>. Country</w:t>
      </w:r>
      <w:r w:rsidRPr="00DA42F5">
        <w:noBreakHyphen/>
        <w:t xml:space="preserve">specific analyses indicate that ARG abundance and diversity correlate with national antibiotic consumption patterns </w:t>
      </w:r>
      <w:r w:rsidRPr="00DA42F5">
        <w:fldChar w:fldCharType="begin"/>
      </w:r>
      <w:r w:rsidR="00D9297E">
        <w:instrText xml:space="preserve"> ADDIN ZOTERO_ITEM CSL_CITATION {"citationID":"hP5onPGQ","properties":{"formattedCitation":"(Xia et al., 2019)","plainCitation":"(Xia et al., 2019)","noteIndex":0},"citationItems":[{"id":"czuEiJWK/buyj4JdT","uris":["http://zotero.org/users/8873894/items/5W5HXCIU"],"itemData":{"id":3489,"type":"article-journal","abstract":"The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A42F5">
        <w:fldChar w:fldCharType="separate"/>
      </w:r>
      <w:r w:rsidRPr="00DA42F5">
        <w:t>(Xia et al., 2019)</w:t>
      </w:r>
      <w:r w:rsidRPr="00DA42F5">
        <w:fldChar w:fldCharType="end"/>
      </w:r>
      <w:r w:rsidRPr="00DA42F5">
        <w:t>. Antibiotic exposure strongly reshapes both the microbiota and the resistome. Short antibiotic courses typically reduce microbial diversity, create ecological bottlenecks and select for resistant and tolerant taxa, which get an opportunity to expand and elevate the gut ARG pool. Experimental and human longitudinal studies show that antibiotic treatment often increases the rate of horizontal gene transfer events and the abundance of mobile ARGs, sometimes with long</w:t>
      </w:r>
      <w:r w:rsidRPr="00DA42F5">
        <w:noBreakHyphen/>
        <w:t xml:space="preserve">lasting effects on resistome composition even after apparent taxonomic recovery </w:t>
      </w:r>
      <w:r w:rsidRPr="00DA42F5">
        <w:fldChar w:fldCharType="begin"/>
      </w:r>
      <w:r w:rsidRPr="00DA42F5">
        <w:instrText xml:space="preserve"> ADDIN ZOTERO_ITEM CSL_CITATION {"citationID":"XKutvDRy","properties":{"formattedCitation":"(Peng et al., 2025)","plainCitation":"(Peng et al., 2025)","noteIndex":0},"citationItems":[{"id":3521,"uris":["http://zotero.org/users/8873894/items/NKRRPMER"],"itemData":{"id":3521,"type":"article-journal","abstract":"Horizontal gene transfer (HGT) is a major driver of bacterial evolution, but its role in shaping the human gut microbiome over time remains poorly understood. Here, we present a longitudinal metagenomic analysis of 676 fecal samples from 338 individuals in the Lifelines-DEEP study collected ~4 years apart, using a newly developed workflow to detect recent HGT events from metagenome-assembled genomes. We identified 5,644 high-confidence HGT events occurring within the past ~10,000 years across 116 gut bacterial species. We find that species pairs with an HGT relationship were significantly more likely to maintain stable co-abundance relationships over the 4-year period, suggesting that gene exchange contributes to community stability. Notably, HGT and strain replacement act together to disseminate mobile genes in the population. Furthermore, our observation that an individual’s mobile gene pool remains highly personalized and stable over time indicates that host lifestyles drive specific gene transfer. For example, proton pump inhibitor usage is linked to increased transfer of multidrug transporter genes. Our findings demonstrate, at the individual gut microbiome level, that HGT is both an integral and stabilizing force in the human gut ecosystem and an important mechanism for disseminating adaptive functions, underscoring HGT potential for tracking host lifestyle.","container-title":"Nature Communications","DOI":"10.1038/s41467-025-66612-z","ISSN":"2041-1723","issue":"1","journalAbbreviation":"Nat Commun","language":"en","license":"2025 The Author(s)","page":"11543","publisher":"Nature Publishing Group","source":"www.nature.com","title":"Longitudinal gut microbiota tracking reveals the dynamics of horizontal gene transfer","volume":"16","author":[{"family":"Peng","given":"Haoran"},{"family":"Andreu-Sanchez","given":"Sergio"},{"family":"Ruiz-Moreno","given":"Angel J."},{"family":"Fernández-Pato","given":"Asier"},{"family":"Wu","given":"Jiafei"},{"family":"Gacesa","given":"Ranko"},{"family":"Zhernakova","given":"Alexandra"},{"family":"Wang","given":"Daoming"},{"family":"Fu","given":"Jingyuan"}],"issued":{"date-parts":[["2025",11,22]]}}}],"schema":"https://github.com/citation-style-language/schema/raw/master/csl-citation.json"} </w:instrText>
      </w:r>
      <w:r w:rsidRPr="00DA42F5">
        <w:fldChar w:fldCharType="separate"/>
      </w:r>
      <w:r w:rsidRPr="00DA42F5">
        <w:t>(Peng et al., 2025)</w:t>
      </w:r>
      <w:r w:rsidRPr="00DA42F5">
        <w:fldChar w:fldCharType="end"/>
      </w:r>
      <w:r w:rsidRPr="00DA42F5">
        <w:t>. Across the lifespan, the gut resistome generally expands with age and cumulative antibiotic exposure, with elderly individuals and patients with chronic, antibiotic</w:t>
      </w:r>
      <w:r w:rsidRPr="00DA42F5">
        <w:noBreakHyphen/>
        <w:t xml:space="preserve">treated diseases often harbouring higher loads and broader repertoires of ARGs </w:t>
      </w:r>
      <w:r w:rsidRPr="00DA42F5">
        <w:fldChar w:fldCharType="begin"/>
      </w:r>
      <w:r w:rsidRPr="00DA42F5">
        <w:instrText xml:space="preserve"> ADDIN ZOTERO_ITEM CSL_CITATION {"citationID":"FmcqPVHN","properties":{"formattedCitation":"(Ho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A42F5">
        <w:fldChar w:fldCharType="separate"/>
      </w:r>
      <w:r w:rsidRPr="00DA42F5">
        <w:t>(Ho et al., 2020)</w:t>
      </w:r>
      <w:r w:rsidRPr="00DA42F5">
        <w:fldChar w:fldCharType="end"/>
      </w:r>
      <w:r w:rsidRPr="00DA42F5">
        <w:t xml:space="preserve">. </w:t>
      </w:r>
    </w:p>
    <w:p w14:paraId="2AEE663D" w14:textId="22CD1FAD" w:rsidR="00DA42F5" w:rsidRPr="00DA42F5" w:rsidRDefault="00DA42F5" w:rsidP="00DA42F5">
      <w:r w:rsidRPr="00DA42F5">
        <w:t xml:space="preserve">Methodologically, most human gut resistome studies rely on shotgun metagenomics combined with bioinformatic pipelines that map reads or assembled contigs to curated ARG databases or machine learning algorithms that recognize ARG signatures on contigs </w:t>
      </w:r>
      <w:r w:rsidRPr="00DA42F5">
        <w:fldChar w:fldCharType="begin"/>
      </w:r>
      <w:r w:rsidRPr="00DA42F5">
        <w:instrText xml:space="preserve"> ADDIN ZOTERO_ITEM CSL_CITATION {"citationID":"CCdtgjVY","properties":{"formattedCitation":"(Ho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A42F5">
        <w:fldChar w:fldCharType="separate"/>
      </w:r>
      <w:r w:rsidRPr="00DA42F5">
        <w:t>(Ho et al., 2020)</w:t>
      </w:r>
      <w:r w:rsidRPr="00DA42F5">
        <w:fldChar w:fldCharType="end"/>
      </w:r>
      <w:r w:rsidRPr="00DA42F5">
        <w:t>. But reliable detection of low</w:t>
      </w:r>
      <w:r w:rsidRPr="00DA42F5">
        <w:noBreakHyphen/>
        <w:t xml:space="preserve">abundance ARGs requires relatively high sequencing depth and different tools and databases vary in sensitivity and precision </w:t>
      </w:r>
      <w:r w:rsidRPr="00DA42F5">
        <w:fldChar w:fldCharType="begin"/>
      </w:r>
      <w:r w:rsidRPr="00DA42F5">
        <w:instrText xml:space="preserve"> ADDIN ZOTERO_ITEM CSL_CITATION {"citationID":"v6TAFLWi","properties":{"formattedCitation":"(Aldea et al., 2025)","plainCitation":"(Aldea et al., 2025)","noteIndex":0},"citationItems":[{"id":3523,"uris":["http://zotero.org/users/8873894/items/S8BPY9ED"],"itemData":{"id":3523,"type":"article-journal","abstract":"Antibiotic resistance continues to erode the effectiveness of modern medicine, creating an urgent demand for rapid and reliable diagnostic solutions. Conventional diagnostic approaches, including culture-based susceptibility testing, remain the clinical reference standard but are constrained by lengthy turnaround times and limited sensitivity for early detection. In recent years, significant progress has been made with molecular and spectrometry-based methods, such as PCR and next-generation sequencing, MALDI-TOF MS, Raman and FTIR spectroscopy, alongside emerging CRISPR-based platforms. Complementary innovations in biosensors, microfluidics, and artificial intelligence further expand the diagnostic landscape, enabling faster, more sensitive, and increasingly portable assays. This review examines both established and emerging technologies for detecting antibiotic resistance, outlining their respective strengths, limitations, and potential roles across diverse settings. By synthesizing current advances and highlighting future opportunities, this review emphasizes complementarities among detection strategies and their potential integration into practical diagnostic frameworks, including in resource-limited settings.","container-title":"Frontiers in Microbiology","DOI":"10.3389/fmicb.2025.1673343","ISSN":"1664-302X","journalAbbreviation":"Front. Microbiol.","language":"English","publisher":"Frontiers","source":"Frontiers","title":"Detecting antibiotic resistance: classical, molecular, advanced bioengineering, and AI-enhanced approaches","title-short":"Detecting antibiotic resistance","URL":"https://www.frontiersin.org/journals/microbiology/articles/10.3389/fmicb.2025.1673343/full","volume":"16","author":[{"family":"Aldea","given":"Alexandru Constantin"},{"family":"Diguṭă","given":"Filofteia Camelia"},{"family":"Presacan","given":"Oriana"},{"family":"Voaideṣ","given":"Cătălina"},{"family":"Toma","given":"Radu Cristian"},{"family":"Matei","given":"Florentina"}],"accessed":{"date-parts":[["2026",1,7]]},"issued":{"date-parts":[["2025",10,3]]}}}],"schema":"https://github.com/citation-style-language/schema/raw/master/csl-citation.json"} </w:instrText>
      </w:r>
      <w:r w:rsidRPr="00DA42F5">
        <w:fldChar w:fldCharType="separate"/>
      </w:r>
      <w:r w:rsidRPr="00DA42F5">
        <w:t>(Aldea et al., 2025)</w:t>
      </w:r>
      <w:r w:rsidRPr="00DA42F5">
        <w:fldChar w:fldCharType="end"/>
      </w:r>
      <w:r w:rsidRPr="00DA42F5">
        <w:t>.  Longitudinal metagenomic studies, though still fewer than cross</w:t>
      </w:r>
      <w:r w:rsidRPr="00DA42F5">
        <w:noBreakHyphen/>
        <w:t>sectional ones, reveal that individual resistome are dynamic yet person</w:t>
      </w:r>
      <w:r w:rsidRPr="00DA42F5">
        <w:noBreakHyphen/>
        <w:t xml:space="preserve">specific, with ARG loads and compositions fluctuating over time but often tracking clinical events, antibiotic courses and microbiota shifts </w:t>
      </w:r>
      <w:r w:rsidRPr="00DA42F5">
        <w:fldChar w:fldCharType="begin"/>
      </w:r>
      <w:r w:rsidR="00D9297E">
        <w:instrText xml:space="preserve"> ADDIN ZOTERO_ITEM CSL_CITATION {"citationID":"yQfH2Bgf","properties":{"formattedCitation":"(Li et al., 2023)","plainCitation":"(Li et al., 2023)","noteIndex":0},"citationItems":[{"id":3501,"uris":["http://zotero.org/users/8873894/items/V5ETH9ZX"],"itemData":{"id":3501,"type":"article-journal","abstract":"Despite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A42F5">
        <w:fldChar w:fldCharType="separate"/>
      </w:r>
      <w:r w:rsidR="00D9297E" w:rsidRPr="00D9297E">
        <w:rPr>
          <w:rFonts w:cs="Times New Roman"/>
        </w:rPr>
        <w:t>(Li et al., 2023)</w:t>
      </w:r>
      <w:r w:rsidRPr="00DA42F5">
        <w:fldChar w:fldCharType="end"/>
      </w:r>
      <w:r w:rsidRPr="00DA42F5">
        <w:t>.</w:t>
      </w:r>
    </w:p>
    <w:p w14:paraId="702A390A" w14:textId="77777777" w:rsidR="00DA42F5" w:rsidRPr="00DA42F5" w:rsidRDefault="00DA42F5">
      <w:pPr>
        <w:spacing w:line="259" w:lineRule="auto"/>
        <w:jc w:val="left"/>
      </w:pPr>
      <w:r w:rsidRPr="00DA42F5">
        <w:br w:type="page"/>
      </w:r>
    </w:p>
    <w:p w14:paraId="36BFD34A" w14:textId="586363FC" w:rsidR="00C6265A" w:rsidRPr="00DA42F5" w:rsidRDefault="00281EC3" w:rsidP="00221812">
      <w:pPr>
        <w:pStyle w:val="Heading1"/>
        <w:numPr>
          <w:ilvl w:val="0"/>
          <w:numId w:val="26"/>
        </w:numPr>
      </w:pPr>
      <w:bookmarkStart w:id="23" w:name="_Toc212712189"/>
      <w:bookmarkStart w:id="24" w:name="_Toc216099709"/>
      <w:bookmarkStart w:id="25" w:name="_Toc220591360"/>
      <w:r w:rsidRPr="00DA42F5">
        <w:lastRenderedPageBreak/>
        <w:t xml:space="preserve">METHODS </w:t>
      </w:r>
      <w:r w:rsidR="00221812" w:rsidRPr="00DA42F5">
        <w:t>AND</w:t>
      </w:r>
      <w:r w:rsidRPr="00DA42F5">
        <w:t xml:space="preserve"> MATERIALS</w:t>
      </w:r>
      <w:bookmarkEnd w:id="23"/>
      <w:bookmarkEnd w:id="24"/>
      <w:bookmarkEnd w:id="25"/>
      <w:r w:rsidR="009D36FF" w:rsidRPr="00DA42F5">
        <w:t xml:space="preserve"> </w:t>
      </w:r>
      <w:bookmarkStart w:id="26" w:name="_Toc184220081"/>
      <w:bookmarkEnd w:id="0"/>
    </w:p>
    <w:p w14:paraId="476EC24E" w14:textId="77777777" w:rsidR="00875C51" w:rsidRPr="00DA42F5" w:rsidRDefault="00875C51" w:rsidP="0052596E"/>
    <w:p w14:paraId="43A949AB" w14:textId="77777777" w:rsidR="00DA42F5" w:rsidRPr="00DA42F5" w:rsidRDefault="00DA42F5" w:rsidP="00DA42F5">
      <w:r w:rsidRPr="00DA42F5">
        <w:t xml:space="preserve">Work for this thesis encompasses four parts, as depicted in Figure 1. The first part included optimisation, firstly testing four protocols for bulk DNA isolation from stool samples and secondly optimising the isolation of spore-forming bacterial DNA from stool by selectively removing vegetative cells. The second part was gathering the stool sample collection, from nine healthy male participants over a six-month period. Each sample was processed using two DNA isolation methods: bulk and ethanol-treated. In the third part we profiled microbial DNA with two sequencing approaches, amplicon sequencing targeting the </w:t>
      </w:r>
      <w:proofErr w:type="spellStart"/>
      <w:r w:rsidRPr="00DA42F5">
        <w:t>V3-V4</w:t>
      </w:r>
      <w:proofErr w:type="spellEnd"/>
      <w:r w:rsidRPr="00DA42F5">
        <w:t xml:space="preserve"> region of the </w:t>
      </w:r>
      <w:proofErr w:type="spellStart"/>
      <w:r w:rsidRPr="00DA42F5">
        <w:t>16S</w:t>
      </w:r>
      <w:proofErr w:type="spellEnd"/>
      <w:r w:rsidRPr="00DA42F5">
        <w:t xml:space="preserve"> rRNA gene and shotgun metagenomic sequencing. The analysis included characterisation and comparison of ethanol-resistant, non-ethanol-resistant, and spore-forming fractions of the human gut microbiota. In a separate analysis we investigated human gut resistome over time. The fourth part of this thesis included isolation of spore-forming representatives from a single selected donor. Stool samples from this participant were used for the cultivation of </w:t>
      </w:r>
      <w:r w:rsidRPr="00DA42F5">
        <w:rPr>
          <w:i/>
          <w:iCs/>
        </w:rPr>
        <w:t>Clostridium</w:t>
      </w:r>
      <w:r w:rsidRPr="00DA42F5">
        <w:t xml:space="preserve"> </w:t>
      </w:r>
      <w:r w:rsidRPr="00DA42F5">
        <w:rPr>
          <w:i/>
          <w:iCs/>
        </w:rPr>
        <w:t>saudiense</w:t>
      </w:r>
      <w:r w:rsidRPr="00DA42F5">
        <w:t xml:space="preserve"> and molecular characterisation by whole genome sequencing.</w:t>
      </w:r>
    </w:p>
    <w:p w14:paraId="6EC78E3C" w14:textId="06D4809B" w:rsidR="00801198" w:rsidRPr="00DA42F5" w:rsidRDefault="007B5A5E" w:rsidP="00801198">
      <w:pPr>
        <w:pStyle w:val="Caption"/>
      </w:pPr>
      <w:r w:rsidRPr="00DA42F5">
        <w:rPr>
          <w:noProof/>
        </w:rPr>
        <w:lastRenderedPageBreak/>
        <w:drawing>
          <wp:inline distT="0" distB="0" distL="0" distR="0" wp14:anchorId="21567CC6" wp14:editId="223B0CD0">
            <wp:extent cx="5818505" cy="5539740"/>
            <wp:effectExtent l="0" t="0" r="0" b="3810"/>
            <wp:docPr id="111617033" name="Slika 3" descr="Slika, ki vsebuje besede besedilo, posnetek zaslona, diagram, oblikovanje&#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7033" name="Slika 3" descr="Slika, ki vsebuje besede besedilo, posnetek zaslona, diagram, oblikovanje&#10;&#10;Vsebina, ustvarjena z UI, morda ni pravilna."/>
                    <pic:cNvPicPr/>
                  </pic:nvPicPr>
                  <pic:blipFill rotWithShape="1">
                    <a:blip r:embed="rId8" cstate="print">
                      <a:extLst>
                        <a:ext uri="{28A0092B-C50C-407E-A947-70E740481C1C}">
                          <a14:useLocalDpi xmlns:a14="http://schemas.microsoft.com/office/drawing/2010/main" val="0"/>
                        </a:ext>
                      </a:extLst>
                    </a:blip>
                    <a:srcRect b="32685"/>
                    <a:stretch>
                      <a:fillRect/>
                    </a:stretch>
                  </pic:blipFill>
                  <pic:spPr bwMode="auto">
                    <a:xfrm>
                      <a:off x="0" y="0"/>
                      <a:ext cx="5818505" cy="5539740"/>
                    </a:xfrm>
                    <a:prstGeom prst="rect">
                      <a:avLst/>
                    </a:prstGeom>
                    <a:ln>
                      <a:noFill/>
                    </a:ln>
                    <a:extLst>
                      <a:ext uri="{53640926-AAD7-44D8-BBD7-CCE9431645EC}">
                        <a14:shadowObscured xmlns:a14="http://schemas.microsoft.com/office/drawing/2010/main"/>
                      </a:ext>
                    </a:extLst>
                  </pic:spPr>
                </pic:pic>
              </a:graphicData>
            </a:graphic>
          </wp:inline>
        </w:drawing>
      </w:r>
    </w:p>
    <w:p w14:paraId="5048B675" w14:textId="28F413FC" w:rsidR="0052596E" w:rsidRPr="00DA42F5" w:rsidRDefault="00801198" w:rsidP="00801198">
      <w:pPr>
        <w:pStyle w:val="Caption"/>
      </w:pPr>
      <w:bookmarkStart w:id="27" w:name="_Toc216101615"/>
      <w:r w:rsidRPr="00DA42F5">
        <w:t xml:space="preserve">Figure </w:t>
      </w:r>
      <w:r w:rsidRPr="00DA42F5">
        <w:fldChar w:fldCharType="begin"/>
      </w:r>
      <w:r w:rsidRPr="00DA42F5">
        <w:instrText xml:space="preserve"> SEQ Figure \* ARABIC </w:instrText>
      </w:r>
      <w:r w:rsidRPr="00DA42F5">
        <w:fldChar w:fldCharType="separate"/>
      </w:r>
      <w:r w:rsidR="00C11001">
        <w:rPr>
          <w:noProof/>
        </w:rPr>
        <w:t>1</w:t>
      </w:r>
      <w:r w:rsidRPr="00DA42F5">
        <w:fldChar w:fldCharType="end"/>
      </w:r>
      <w:r w:rsidRPr="00DA42F5">
        <w:t>. Longitudinal study design for characterisation of gut microbiota and sporobiota in stool samples from healthy male individuals.</w:t>
      </w:r>
      <w:bookmarkEnd w:id="27"/>
      <w:r w:rsidR="00ED415C">
        <w:t xml:space="preserve"> </w:t>
      </w:r>
      <w:r w:rsidR="00D660AD">
        <w:t xml:space="preserve">Created in </w:t>
      </w:r>
      <w:proofErr w:type="spellStart"/>
      <w:r w:rsidR="00D660AD">
        <w:t>BioRender</w:t>
      </w:r>
      <w:proofErr w:type="spellEnd"/>
      <w:r w:rsidR="00ED415C">
        <w:t>.</w:t>
      </w:r>
      <w:r w:rsidRPr="00DA42F5">
        <w:t xml:space="preserve"> </w:t>
      </w:r>
    </w:p>
    <w:p w14:paraId="79C4D21E" w14:textId="77777777" w:rsidR="00F53307" w:rsidRPr="00DA42F5" w:rsidRDefault="00F53307" w:rsidP="0052596E">
      <w:pPr>
        <w:pStyle w:val="FigureTable"/>
        <w:rPr>
          <w:b/>
          <w:bCs/>
        </w:rPr>
      </w:pPr>
    </w:p>
    <w:p w14:paraId="5C007660" w14:textId="46C2E47E" w:rsidR="00335EC2" w:rsidRPr="00DA42F5" w:rsidRDefault="00092E4B" w:rsidP="00221812">
      <w:pPr>
        <w:pStyle w:val="Heading2"/>
        <w:numPr>
          <w:ilvl w:val="1"/>
          <w:numId w:val="26"/>
        </w:numPr>
      </w:pPr>
      <w:bookmarkStart w:id="28" w:name="_Toc212712190"/>
      <w:bookmarkStart w:id="29" w:name="_Toc216099710"/>
      <w:bookmarkStart w:id="30" w:name="_Toc220591361"/>
      <w:r w:rsidRPr="00DA42F5">
        <w:t>LONGITUDINAL STOOL</w:t>
      </w:r>
      <w:r w:rsidR="009B6064" w:rsidRPr="00DA42F5">
        <w:t xml:space="preserve"> SAMPLE</w:t>
      </w:r>
      <w:r w:rsidRPr="00DA42F5">
        <w:t xml:space="preserve"> COLLECTION</w:t>
      </w:r>
      <w:bookmarkEnd w:id="26"/>
      <w:bookmarkEnd w:id="28"/>
      <w:bookmarkEnd w:id="29"/>
      <w:bookmarkEnd w:id="30"/>
      <w:r w:rsidRPr="00DA42F5">
        <w:t xml:space="preserve"> </w:t>
      </w:r>
    </w:p>
    <w:p w14:paraId="433170E7" w14:textId="77777777" w:rsidR="00D660AD" w:rsidRDefault="00555E2B" w:rsidP="00CD77AB">
      <w:pPr>
        <w:rPr>
          <w:ins w:id="31" w:author="Urša Miklavčič" w:date="2026-01-29T14:32:00Z" w16du:dateUtc="2026-01-29T13:32:00Z"/>
          <w:rFonts w:cs="Times New Roman"/>
          <w:szCs w:val="24"/>
        </w:rPr>
      </w:pPr>
      <w:bookmarkStart w:id="32" w:name="_Toc184220082"/>
      <w:r w:rsidRPr="00DA42F5">
        <w:rPr>
          <w:rFonts w:cs="Times New Roman"/>
          <w:szCs w:val="24"/>
        </w:rPr>
        <w:t xml:space="preserve">Stool samples for this study were collected from nine healthy, unrelated, non-cohabiting male participants aged 25–43, with no gastrointestinal infections or surgeries in the three months preceding the study (Supplement Table 1, 2). </w:t>
      </w:r>
    </w:p>
    <w:p w14:paraId="452D84BB" w14:textId="04CA9B81" w:rsidR="00DF556E" w:rsidRPr="00DA42F5" w:rsidRDefault="00555E2B" w:rsidP="00CD77AB">
      <w:pPr>
        <w:rPr>
          <w:rFonts w:cs="Times New Roman"/>
          <w:szCs w:val="24"/>
        </w:rPr>
      </w:pPr>
      <w:r w:rsidRPr="00DA42F5">
        <w:rPr>
          <w:rFonts w:cs="Times New Roman"/>
          <w:szCs w:val="24"/>
        </w:rPr>
        <w:t>Stool samples and corresponding questionnaires were collected at 14-day intervals for six months and additionally at pre-determined events: dental hygiene visits, vaccination, minor operative procedures, hospitalisation, single episodes of excessive alcohol consumption, diarrhoea, food poisoning, antibiotic treatment, or travel.</w:t>
      </w:r>
      <w:r w:rsidR="00A06FFE" w:rsidRPr="00DA42F5">
        <w:rPr>
          <w:rFonts w:cs="Times New Roman"/>
          <w:szCs w:val="24"/>
        </w:rPr>
        <w:t xml:space="preserve"> A questionnaire is presented in Supplement </w:t>
      </w:r>
      <w:r w:rsidR="00D660AD">
        <w:rPr>
          <w:rFonts w:cs="Times New Roman"/>
          <w:szCs w:val="24"/>
        </w:rPr>
        <w:t>B</w:t>
      </w:r>
      <w:r w:rsidR="00A06FFE" w:rsidRPr="00DA42F5">
        <w:rPr>
          <w:rFonts w:cs="Times New Roman"/>
          <w:szCs w:val="24"/>
        </w:rPr>
        <w:t xml:space="preserve"> and </w:t>
      </w:r>
      <w:r w:rsidR="00A06FFE" w:rsidRPr="00DA42F5">
        <w:rPr>
          <w:rFonts w:cs="Times New Roman"/>
          <w:szCs w:val="24"/>
        </w:rPr>
        <w:lastRenderedPageBreak/>
        <w:t xml:space="preserve">included data on health status and history, diet, and living conditions and nature of </w:t>
      </w:r>
      <w:commentRangeStart w:id="33"/>
      <w:r w:rsidR="00A06FFE" w:rsidRPr="00DA42F5">
        <w:rPr>
          <w:rFonts w:cs="Times New Roman"/>
          <w:szCs w:val="24"/>
        </w:rPr>
        <w:t>pre</w:t>
      </w:r>
      <w:r w:rsidR="00DA42F5" w:rsidRPr="00DA42F5">
        <w:rPr>
          <w:rFonts w:cs="Times New Roman"/>
          <w:szCs w:val="24"/>
        </w:rPr>
        <w:t>-</w:t>
      </w:r>
      <w:r w:rsidR="00A06FFE" w:rsidRPr="00DA42F5">
        <w:rPr>
          <w:rFonts w:cs="Times New Roman"/>
          <w:szCs w:val="24"/>
        </w:rPr>
        <w:t>defined</w:t>
      </w:r>
      <w:commentRangeEnd w:id="33"/>
      <w:r w:rsidR="00E95D46" w:rsidRPr="00DA42F5">
        <w:rPr>
          <w:rStyle w:val="CommentReference"/>
        </w:rPr>
        <w:commentReference w:id="33"/>
      </w:r>
      <w:r w:rsidR="00E95D46" w:rsidRPr="00DA42F5">
        <w:rPr>
          <w:rFonts w:cs="Times New Roman"/>
          <w:szCs w:val="24"/>
        </w:rPr>
        <w:t xml:space="preserve"> events</w:t>
      </w:r>
      <w:r w:rsidR="00A06FFE" w:rsidRPr="00DA42F5">
        <w:rPr>
          <w:rFonts w:cs="Times New Roman"/>
          <w:szCs w:val="24"/>
        </w:rPr>
        <w:t xml:space="preserve">. </w:t>
      </w:r>
      <w:r w:rsidRPr="00DA42F5">
        <w:rPr>
          <w:rFonts w:cs="Times New Roman"/>
          <w:szCs w:val="24"/>
        </w:rPr>
        <w:t xml:space="preserve"> Participants used sterile collection containers and delivered the samples to the laboratory within a few hours of collection. If immediate delivery was not possible, samples were stored at -20 °C until transport. Upon receipt, each sample was </w:t>
      </w:r>
      <w:r w:rsidR="00DA42F5" w:rsidRPr="00DA42F5">
        <w:rPr>
          <w:rFonts w:cs="Times New Roman"/>
          <w:szCs w:val="24"/>
        </w:rPr>
        <w:t>homogenized</w:t>
      </w:r>
      <w:r w:rsidRPr="00DA42F5">
        <w:rPr>
          <w:rFonts w:cs="Times New Roman"/>
          <w:szCs w:val="24"/>
        </w:rPr>
        <w:t xml:space="preserve">, divided into five aliquots (one 10 µl inoculation loop per aliquot), and stored at -80 °C. </w:t>
      </w:r>
    </w:p>
    <w:p w14:paraId="7AD69601" w14:textId="3C7DE7AC" w:rsidR="00281EC3" w:rsidRPr="00DA42F5" w:rsidRDefault="00555E2B" w:rsidP="00CD77AB">
      <w:pPr>
        <w:rPr>
          <w:rFonts w:cs="Times New Roman"/>
          <w:szCs w:val="24"/>
        </w:rPr>
      </w:pPr>
      <w:r w:rsidRPr="00DA42F5">
        <w:rPr>
          <w:rFonts w:cs="Times New Roman"/>
          <w:szCs w:val="24"/>
        </w:rPr>
        <w:t>Ethical approval was obtained from the National Medical Ethics Committee of the Republic of Slovenia (0120-280/2022/6).</w:t>
      </w:r>
    </w:p>
    <w:p w14:paraId="0FA2E2F8" w14:textId="490F9BC8" w:rsidR="00C6265A" w:rsidRPr="00DA42F5" w:rsidRDefault="00C6265A" w:rsidP="00CD77AB">
      <w:pPr>
        <w:rPr>
          <w:rFonts w:cs="Times New Roman"/>
          <w:szCs w:val="24"/>
        </w:rPr>
      </w:pPr>
    </w:p>
    <w:p w14:paraId="3C6BADB7" w14:textId="7A6D7645" w:rsidR="00C6265A" w:rsidRPr="00DA42F5" w:rsidRDefault="00C6265A" w:rsidP="00221812">
      <w:pPr>
        <w:pStyle w:val="Heading2"/>
        <w:numPr>
          <w:ilvl w:val="1"/>
          <w:numId w:val="26"/>
        </w:numPr>
      </w:pPr>
      <w:bookmarkStart w:id="34" w:name="_Toc216099711"/>
      <w:bookmarkStart w:id="35" w:name="_Toc212712191"/>
      <w:bookmarkStart w:id="36" w:name="_Toc220591362"/>
      <w:r w:rsidRPr="00DA42F5">
        <w:t>COMPARISON AND OPTIMIZATION OF PROTOCOLS FOR DNA ISOLATION</w:t>
      </w:r>
      <w:bookmarkEnd w:id="34"/>
      <w:bookmarkEnd w:id="36"/>
    </w:p>
    <w:p w14:paraId="25F0D3C2" w14:textId="4CFD7380" w:rsidR="00281EC3" w:rsidRPr="00DA42F5" w:rsidRDefault="00C6265A" w:rsidP="00221812">
      <w:pPr>
        <w:pStyle w:val="Heading3"/>
        <w:numPr>
          <w:ilvl w:val="2"/>
          <w:numId w:val="26"/>
        </w:numPr>
      </w:pPr>
      <w:bookmarkStart w:id="37" w:name="_Toc216099712"/>
      <w:bookmarkStart w:id="38" w:name="_Toc220591363"/>
      <w:r w:rsidRPr="00DA42F5">
        <w:t xml:space="preserve">Comparison of isolation protocols for bacterial </w:t>
      </w:r>
      <w:r w:rsidR="00F53307" w:rsidRPr="00DA42F5">
        <w:t>DNA</w:t>
      </w:r>
      <w:r w:rsidRPr="00DA42F5">
        <w:t xml:space="preserve"> from human stool samples</w:t>
      </w:r>
      <w:bookmarkEnd w:id="32"/>
      <w:bookmarkEnd w:id="35"/>
      <w:bookmarkEnd w:id="37"/>
      <w:bookmarkEnd w:id="38"/>
    </w:p>
    <w:p w14:paraId="3128BDD9" w14:textId="08BA5234" w:rsidR="00281EC3" w:rsidRPr="00DA42F5" w:rsidRDefault="00B23A3C" w:rsidP="00CD77AB">
      <w:pPr>
        <w:rPr>
          <w:rFonts w:cs="Times New Roman"/>
          <w:szCs w:val="24"/>
        </w:rPr>
      </w:pPr>
      <w:r w:rsidRPr="00DA42F5">
        <w:rPr>
          <w:rFonts w:cs="Times New Roman"/>
          <w:szCs w:val="24"/>
        </w:rPr>
        <w:t xml:space="preserve">We compared four DNA isolation protocols: </w:t>
      </w:r>
      <w:proofErr w:type="spellStart"/>
      <w:r w:rsidRPr="00DA42F5">
        <w:rPr>
          <w:rFonts w:cs="Times New Roman"/>
          <w:szCs w:val="24"/>
        </w:rPr>
        <w:t>QIAamp</w:t>
      </w:r>
      <w:proofErr w:type="spellEnd"/>
      <w:r w:rsidRPr="00DA42F5">
        <w:rPr>
          <w:rFonts w:cs="Times New Roman"/>
          <w:szCs w:val="24"/>
        </w:rPr>
        <w:t xml:space="preserve"> </w:t>
      </w:r>
      <w:proofErr w:type="spellStart"/>
      <w:r w:rsidRPr="00DA42F5">
        <w:rPr>
          <w:rFonts w:cs="Times New Roman"/>
          <w:szCs w:val="24"/>
        </w:rPr>
        <w:t>PowerFecal</w:t>
      </w:r>
      <w:proofErr w:type="spellEnd"/>
      <w:r w:rsidRPr="00DA42F5">
        <w:rPr>
          <w:rFonts w:cs="Times New Roman"/>
          <w:szCs w:val="24"/>
        </w:rPr>
        <w:t xml:space="preserve"> Pro DNA Kit</w:t>
      </w:r>
      <w:r w:rsidR="007B5A5E" w:rsidRPr="00DA42F5">
        <w:rPr>
          <w:rFonts w:cs="Times New Roman"/>
          <w:szCs w:val="24"/>
        </w:rPr>
        <w:t xml:space="preserve"> (Qiagen, Germany)</w:t>
      </w:r>
      <w:r w:rsidRPr="00DA42F5">
        <w:rPr>
          <w:rFonts w:cs="Times New Roman"/>
          <w:szCs w:val="24"/>
        </w:rPr>
        <w:t xml:space="preserve">, </w:t>
      </w:r>
      <w:proofErr w:type="spellStart"/>
      <w:r w:rsidRPr="00DA42F5">
        <w:rPr>
          <w:rFonts w:cs="Times New Roman"/>
          <w:szCs w:val="24"/>
        </w:rPr>
        <w:t>QIAamp</w:t>
      </w:r>
      <w:proofErr w:type="spellEnd"/>
      <w:r w:rsidRPr="00DA42F5">
        <w:rPr>
          <w:rFonts w:cs="Times New Roman"/>
          <w:szCs w:val="24"/>
        </w:rPr>
        <w:t xml:space="preserve"> Fast DNA Stool Mini Kit (Qiagen, Germany), </w:t>
      </w:r>
      <w:proofErr w:type="spellStart"/>
      <w:r w:rsidRPr="00DA42F5">
        <w:rPr>
          <w:rFonts w:cs="Times New Roman"/>
          <w:szCs w:val="24"/>
        </w:rPr>
        <w:t>NucleoSpin</w:t>
      </w:r>
      <w:proofErr w:type="spellEnd"/>
      <w:r w:rsidRPr="00DA42F5">
        <w:rPr>
          <w:rFonts w:cs="Times New Roman"/>
          <w:szCs w:val="24"/>
        </w:rPr>
        <w:t xml:space="preserve"> Soil Mini Kit (</w:t>
      </w:r>
      <w:proofErr w:type="spellStart"/>
      <w:r w:rsidRPr="00DA42F5">
        <w:rPr>
          <w:rFonts w:cs="Times New Roman"/>
          <w:szCs w:val="24"/>
        </w:rPr>
        <w:t>Macherey</w:t>
      </w:r>
      <w:proofErr w:type="spellEnd"/>
      <w:r w:rsidRPr="00DA42F5">
        <w:rPr>
          <w:rFonts w:cs="Times New Roman"/>
          <w:szCs w:val="24"/>
        </w:rPr>
        <w:t xml:space="preserve">-Nagel, Germany), and an in-house protocol based on the </w:t>
      </w:r>
      <w:proofErr w:type="spellStart"/>
      <w:r w:rsidRPr="00DA42F5">
        <w:rPr>
          <w:rFonts w:cs="Times New Roman"/>
          <w:szCs w:val="24"/>
        </w:rPr>
        <w:t>DNeasy</w:t>
      </w:r>
      <w:proofErr w:type="spellEnd"/>
      <w:r w:rsidRPr="00DA42F5">
        <w:rPr>
          <w:rFonts w:cs="Times New Roman"/>
          <w:szCs w:val="24"/>
        </w:rPr>
        <w:t xml:space="preserve"> Blood &amp; Tissue Kit (Qiagen, Germany) (Supplement Table 3). DNA was isolated in triplicate from three stool samples and a negative control containing 250 µl nuclease-free water. </w:t>
      </w:r>
      <w:r w:rsidR="00555E2B" w:rsidRPr="00DA42F5">
        <w:rPr>
          <w:rFonts w:cs="Times New Roman"/>
          <w:szCs w:val="24"/>
        </w:rPr>
        <w:t>S</w:t>
      </w:r>
      <w:r w:rsidRPr="00DA42F5">
        <w:rPr>
          <w:rFonts w:cs="Times New Roman"/>
          <w:szCs w:val="24"/>
        </w:rPr>
        <w:t xml:space="preserve">amples were </w:t>
      </w:r>
      <w:r w:rsidR="00555E2B" w:rsidRPr="00DA42F5">
        <w:rPr>
          <w:rFonts w:cs="Times New Roman"/>
          <w:szCs w:val="24"/>
        </w:rPr>
        <w:t>processed</w:t>
      </w:r>
      <w:r w:rsidRPr="00DA42F5">
        <w:rPr>
          <w:rFonts w:cs="Times New Roman"/>
          <w:szCs w:val="24"/>
        </w:rPr>
        <w:t xml:space="preserve"> according to the manufacturer’s instructions</w:t>
      </w:r>
      <w:r w:rsidR="00555E2B" w:rsidRPr="00DA42F5">
        <w:rPr>
          <w:rFonts w:cs="Times New Roman"/>
          <w:szCs w:val="24"/>
        </w:rPr>
        <w:t>,</w:t>
      </w:r>
      <w:r w:rsidRPr="00DA42F5">
        <w:rPr>
          <w:rFonts w:cs="Times New Roman"/>
          <w:szCs w:val="24"/>
        </w:rPr>
        <w:t xml:space="preserve"> with the following modification: for the </w:t>
      </w:r>
      <w:proofErr w:type="spellStart"/>
      <w:r w:rsidRPr="00DA42F5">
        <w:rPr>
          <w:rFonts w:cs="Times New Roman"/>
          <w:szCs w:val="24"/>
        </w:rPr>
        <w:t>FastDNA</w:t>
      </w:r>
      <w:proofErr w:type="spellEnd"/>
      <w:r w:rsidRPr="00DA42F5">
        <w:rPr>
          <w:rFonts w:cs="Times New Roman"/>
          <w:szCs w:val="24"/>
        </w:rPr>
        <w:t xml:space="preserve"> and </w:t>
      </w:r>
      <w:proofErr w:type="spellStart"/>
      <w:r w:rsidRPr="00DA42F5">
        <w:rPr>
          <w:rFonts w:cs="Times New Roman"/>
          <w:szCs w:val="24"/>
        </w:rPr>
        <w:t>DNeasy</w:t>
      </w:r>
      <w:proofErr w:type="spellEnd"/>
      <w:r w:rsidRPr="00DA42F5">
        <w:rPr>
          <w:rFonts w:cs="Times New Roman"/>
          <w:szCs w:val="24"/>
        </w:rPr>
        <w:t xml:space="preserve"> protocols, additional mechanical lysis </w:t>
      </w:r>
      <w:r w:rsidR="00555E2B" w:rsidRPr="00DA42F5">
        <w:rPr>
          <w:rFonts w:cs="Times New Roman"/>
          <w:szCs w:val="24"/>
        </w:rPr>
        <w:t xml:space="preserve">was performed using </w:t>
      </w:r>
      <w:r w:rsidRPr="00DA42F5">
        <w:rPr>
          <w:rFonts w:cs="Times New Roman"/>
          <w:szCs w:val="24"/>
        </w:rPr>
        <w:t>a mixture of 0.1 mm and 0.5 mm zirconia beads in equal parts</w:t>
      </w:r>
      <w:r w:rsidR="00555E2B" w:rsidRPr="00DA42F5">
        <w:rPr>
          <w:rFonts w:cs="Times New Roman"/>
          <w:szCs w:val="24"/>
        </w:rPr>
        <w:t xml:space="preserve"> </w:t>
      </w:r>
      <w:r w:rsidRPr="00DA42F5">
        <w:rPr>
          <w:rFonts w:cs="Times New Roman"/>
          <w:szCs w:val="24"/>
        </w:rPr>
        <w:t xml:space="preserve">on a </w:t>
      </w:r>
      <w:proofErr w:type="spellStart"/>
      <w:r w:rsidRPr="00DA42F5">
        <w:rPr>
          <w:rFonts w:cs="Times New Roman"/>
          <w:szCs w:val="24"/>
        </w:rPr>
        <w:t>MagnaLyser</w:t>
      </w:r>
      <w:proofErr w:type="spellEnd"/>
      <w:r w:rsidRPr="00DA42F5">
        <w:rPr>
          <w:rFonts w:cs="Times New Roman"/>
          <w:szCs w:val="24"/>
        </w:rPr>
        <w:t xml:space="preserve"> for 30 seconds at 7000 rpm. DNA was </w:t>
      </w:r>
      <w:r w:rsidR="00555E2B" w:rsidRPr="00DA42F5">
        <w:rPr>
          <w:rFonts w:cs="Times New Roman"/>
          <w:szCs w:val="24"/>
        </w:rPr>
        <w:t xml:space="preserve">eluted </w:t>
      </w:r>
      <w:r w:rsidRPr="00DA42F5">
        <w:rPr>
          <w:rFonts w:cs="Times New Roman"/>
          <w:szCs w:val="24"/>
        </w:rPr>
        <w:t>in 100 µl nuclease-free water. DNA concentration was measured using the Quant-</w:t>
      </w:r>
      <w:proofErr w:type="spellStart"/>
      <w:r w:rsidRPr="00DA42F5">
        <w:rPr>
          <w:rFonts w:cs="Times New Roman"/>
          <w:szCs w:val="24"/>
        </w:rPr>
        <w:t>iT</w:t>
      </w:r>
      <w:proofErr w:type="spellEnd"/>
      <w:r w:rsidRPr="00DA42F5">
        <w:rPr>
          <w:rFonts w:cs="Times New Roman"/>
          <w:szCs w:val="24"/>
        </w:rPr>
        <w:t xml:space="preserve">™ </w:t>
      </w:r>
      <w:proofErr w:type="spellStart"/>
      <w:r w:rsidRPr="00DA42F5">
        <w:rPr>
          <w:rFonts w:cs="Times New Roman"/>
          <w:szCs w:val="24"/>
        </w:rPr>
        <w:t>PicoGreen</w:t>
      </w:r>
      <w:proofErr w:type="spellEnd"/>
      <w:r w:rsidRPr="00DA42F5">
        <w:rPr>
          <w:rFonts w:cs="Times New Roman"/>
          <w:szCs w:val="24"/>
        </w:rPr>
        <w:t>™ dsDNA Assay and dsDNA Reagents (Invitrogen™, US).</w:t>
      </w:r>
    </w:p>
    <w:p w14:paraId="6AFC1D32" w14:textId="77777777" w:rsidR="00092E4B" w:rsidRPr="00DA42F5" w:rsidRDefault="00092E4B" w:rsidP="00CD77AB">
      <w:pPr>
        <w:rPr>
          <w:rFonts w:cs="Times New Roman"/>
          <w:szCs w:val="24"/>
        </w:rPr>
      </w:pPr>
    </w:p>
    <w:p w14:paraId="09D11544" w14:textId="2A8020E2" w:rsidR="004B1C68" w:rsidRPr="00DA42F5" w:rsidRDefault="007B5A5E" w:rsidP="0002799D">
      <w:pPr>
        <w:pStyle w:val="Heading3"/>
        <w:numPr>
          <w:ilvl w:val="2"/>
          <w:numId w:val="26"/>
        </w:numPr>
      </w:pPr>
      <w:bookmarkStart w:id="39" w:name="_Toc212712192"/>
      <w:bookmarkStart w:id="40" w:name="_Toc220591364"/>
      <w:r w:rsidRPr="00DA42F5">
        <w:t>Optimization of removal of vegetative cells and their DNA from stool samples</w:t>
      </w:r>
      <w:bookmarkEnd w:id="40"/>
      <w:r w:rsidRPr="00DA42F5">
        <w:t xml:space="preserve"> </w:t>
      </w:r>
      <w:r w:rsidR="004E2BD3" w:rsidRPr="00DA42F5">
        <w:t xml:space="preserve"> </w:t>
      </w:r>
      <w:bookmarkEnd w:id="39"/>
    </w:p>
    <w:p w14:paraId="4CBE953B" w14:textId="0AF101D5" w:rsidR="004F2442" w:rsidRPr="00DA42F5" w:rsidRDefault="00333FFC" w:rsidP="00CD77AB">
      <w:bookmarkStart w:id="41" w:name="_Hlk184885436"/>
      <w:r w:rsidRPr="00DA42F5">
        <w:t xml:space="preserve">To obtain DNA from spores and other resistant cell forms we </w:t>
      </w:r>
      <w:r w:rsidR="00555E2B" w:rsidRPr="00DA42F5">
        <w:t xml:space="preserve">compared heat and ethanol shock treatments </w:t>
      </w:r>
      <w:r w:rsidRPr="00DA42F5">
        <w:t>of</w:t>
      </w:r>
      <w:r w:rsidR="00555E2B" w:rsidRPr="00DA42F5">
        <w:t xml:space="preserve"> stool samples. Additionally, we used ethidium bromide monoazide (EMA) to remove free DNA and DNA from damaged </w:t>
      </w:r>
      <w:r w:rsidRPr="00DA42F5">
        <w:t xml:space="preserve">(vegetative) </w:t>
      </w:r>
      <w:r w:rsidR="00555E2B" w:rsidRPr="00DA42F5">
        <w:t>cells. EMA binds to free DNA and can enter damaged cells, where, under light exposure, it cleaves double-stranded DNA, rendering it unsuitable for PCR or sequencing. To minimise DNA fragmentation during extraction, we also optimised the bead-beating procedure.</w:t>
      </w:r>
    </w:p>
    <w:bookmarkEnd w:id="41"/>
    <w:p w14:paraId="453B49EB" w14:textId="6B078D1A" w:rsidR="004E2BD3" w:rsidRPr="00DA42F5" w:rsidRDefault="00032A34" w:rsidP="004E2BD3">
      <w:pPr>
        <w:rPr>
          <w:rFonts w:cs="Times New Roman"/>
          <w:szCs w:val="24"/>
        </w:rPr>
      </w:pPr>
      <w:commentRangeStart w:id="42"/>
      <w:commentRangeStart w:id="43"/>
      <w:r w:rsidRPr="00DA42F5">
        <w:rPr>
          <w:rFonts w:cs="Times New Roman"/>
          <w:szCs w:val="24"/>
        </w:rPr>
        <w:t>Two s</w:t>
      </w:r>
      <w:r w:rsidR="00555E2B" w:rsidRPr="00DA42F5">
        <w:rPr>
          <w:rFonts w:cs="Times New Roman"/>
          <w:szCs w:val="24"/>
        </w:rPr>
        <w:t xml:space="preserve">tool aliquots were </w:t>
      </w:r>
      <w:r w:rsidR="00DA42F5">
        <w:rPr>
          <w:rFonts w:cs="Times New Roman"/>
          <w:szCs w:val="24"/>
        </w:rPr>
        <w:t xml:space="preserve">each </w:t>
      </w:r>
      <w:r w:rsidR="00555E2B" w:rsidRPr="00DA42F5">
        <w:rPr>
          <w:rFonts w:cs="Times New Roman"/>
          <w:szCs w:val="24"/>
        </w:rPr>
        <w:t xml:space="preserve">resuspended in </w:t>
      </w:r>
      <w:r w:rsidRPr="00DA42F5">
        <w:rPr>
          <w:rFonts w:cs="Times New Roman"/>
          <w:szCs w:val="24"/>
        </w:rPr>
        <w:t xml:space="preserve">duplicates </w:t>
      </w:r>
      <w:commentRangeEnd w:id="42"/>
      <w:r w:rsidR="00702F47" w:rsidRPr="00DA42F5">
        <w:rPr>
          <w:rStyle w:val="CommentReference"/>
        </w:rPr>
        <w:commentReference w:id="42"/>
      </w:r>
      <w:commentRangeEnd w:id="43"/>
      <w:r w:rsidR="00702F47" w:rsidRPr="00DA42F5">
        <w:rPr>
          <w:rStyle w:val="CommentReference"/>
        </w:rPr>
        <w:commentReference w:id="43"/>
      </w:r>
      <w:r w:rsidR="00555E2B" w:rsidRPr="00DA42F5">
        <w:rPr>
          <w:rFonts w:cs="Times New Roman"/>
          <w:szCs w:val="24"/>
        </w:rPr>
        <w:t>1.5 ml of 70% ethanol for 24 hours or subjected to heat shock at 80 °C for 30 minutes</w:t>
      </w:r>
      <w:r w:rsidR="007B5A5E" w:rsidRPr="00DA42F5">
        <w:rPr>
          <w:rFonts w:cs="Times New Roman"/>
          <w:szCs w:val="24"/>
        </w:rPr>
        <w:t>, based on previous cultivation experiments with spore-forming bacteria</w:t>
      </w:r>
      <w:r w:rsidRPr="00DA42F5">
        <w:rPr>
          <w:rFonts w:cs="Times New Roman"/>
          <w:szCs w:val="24"/>
        </w:rPr>
        <w:t xml:space="preserve"> (Supplement text 1)</w:t>
      </w:r>
      <w:r w:rsidR="00555E2B" w:rsidRPr="00DA42F5">
        <w:rPr>
          <w:rFonts w:cs="Times New Roman"/>
          <w:szCs w:val="24"/>
        </w:rPr>
        <w:t xml:space="preserve">. After treatment, samples were washed three times with nuclease-free water. For EMA treatment, samples were incubated with 2.5 ng/µl EMA in the dark for 5 minutes, then illuminated on ice for 5, 10, or 15 minutes using an 8000-lumen light source. Controls included untreated stool samples and heat- or ethanol-shocked samples washed only with water but without EMA treatment, as EMA-efficiency controls. DNA was isolated using the </w:t>
      </w:r>
      <w:proofErr w:type="spellStart"/>
      <w:r w:rsidR="00555E2B" w:rsidRPr="00DA42F5">
        <w:rPr>
          <w:rFonts w:cs="Times New Roman"/>
          <w:szCs w:val="24"/>
        </w:rPr>
        <w:t>MasterPure</w:t>
      </w:r>
      <w:proofErr w:type="spellEnd"/>
      <w:r w:rsidR="00555E2B" w:rsidRPr="00DA42F5">
        <w:rPr>
          <w:rFonts w:cs="Times New Roman"/>
          <w:szCs w:val="24"/>
        </w:rPr>
        <w:t>™ Complete DNA and RNA Purification Kit (</w:t>
      </w:r>
      <w:proofErr w:type="spellStart"/>
      <w:r w:rsidR="00555E2B" w:rsidRPr="00DA42F5">
        <w:rPr>
          <w:rFonts w:cs="Times New Roman"/>
          <w:szCs w:val="24"/>
        </w:rPr>
        <w:t>Lucigen</w:t>
      </w:r>
      <w:proofErr w:type="spellEnd"/>
      <w:r w:rsidR="00555E2B" w:rsidRPr="00DA42F5">
        <w:rPr>
          <w:rFonts w:cs="Times New Roman"/>
          <w:szCs w:val="24"/>
        </w:rPr>
        <w:t xml:space="preserve">, USA). Prior to isolation, </w:t>
      </w:r>
      <w:r w:rsidR="00555E2B" w:rsidRPr="00DA42F5">
        <w:rPr>
          <w:rFonts w:cs="Times New Roman"/>
          <w:szCs w:val="24"/>
        </w:rPr>
        <w:lastRenderedPageBreak/>
        <w:t xml:space="preserve">samples underwent bead-beating in Cell Lysis Solution with 0.5 g of 0.5 mm silica beads using a </w:t>
      </w:r>
      <w:proofErr w:type="spellStart"/>
      <w:r w:rsidR="00555E2B" w:rsidRPr="00DA42F5">
        <w:rPr>
          <w:rFonts w:cs="Times New Roman"/>
          <w:szCs w:val="24"/>
        </w:rPr>
        <w:t>MagNA</w:t>
      </w:r>
      <w:proofErr w:type="spellEnd"/>
      <w:r w:rsidR="00555E2B" w:rsidRPr="00DA42F5">
        <w:rPr>
          <w:rFonts w:cs="Times New Roman"/>
          <w:szCs w:val="24"/>
        </w:rPr>
        <w:t xml:space="preserve"> </w:t>
      </w:r>
      <w:proofErr w:type="spellStart"/>
      <w:r w:rsidR="00555E2B" w:rsidRPr="00DA42F5">
        <w:rPr>
          <w:rFonts w:cs="Times New Roman"/>
          <w:szCs w:val="24"/>
        </w:rPr>
        <w:t>Lyser</w:t>
      </w:r>
      <w:proofErr w:type="spellEnd"/>
      <w:r w:rsidR="00555E2B" w:rsidRPr="00DA42F5">
        <w:rPr>
          <w:rFonts w:cs="Times New Roman"/>
          <w:szCs w:val="24"/>
        </w:rPr>
        <w:t xml:space="preserve"> (Roche Diagnostics, Germany) at 7000 rpm. Bead-beating was performed for 70 seconds for the initial comparison and subsequently optimised to two cycles of 30 seconds at 7000 rpm to reduce DNA shearing. DNA quality was assessed by gel electrophoresis for fragmentation and by the absorbance ratio at 260/280 to estimate protein contamination.</w:t>
      </w:r>
      <w:r w:rsidRPr="00DA42F5">
        <w:rPr>
          <w:rFonts w:cs="Times New Roman"/>
          <w:szCs w:val="24"/>
        </w:rPr>
        <w:t xml:space="preserve"> </w:t>
      </w:r>
    </w:p>
    <w:p w14:paraId="4F88564C" w14:textId="4A645F2E" w:rsidR="004E2BD3" w:rsidRPr="00DA42F5" w:rsidRDefault="00032A34" w:rsidP="004E2BD3">
      <w:pPr>
        <w:rPr>
          <w:rFonts w:cs="Times New Roman"/>
          <w:szCs w:val="24"/>
        </w:rPr>
      </w:pPr>
      <w:r w:rsidRPr="00DA42F5">
        <w:rPr>
          <w:rFonts w:cs="Times New Roman"/>
          <w:szCs w:val="24"/>
        </w:rPr>
        <w:t>E</w:t>
      </w:r>
      <w:r w:rsidR="00555E2B" w:rsidRPr="00DA42F5">
        <w:rPr>
          <w:rFonts w:cs="Times New Roman"/>
          <w:szCs w:val="24"/>
        </w:rPr>
        <w:t xml:space="preserve">thanol shock combined with EMA treatment (10-minute illumination) and the optimised bead-beating protocol was </w:t>
      </w:r>
      <w:r w:rsidRPr="00DA42F5">
        <w:rPr>
          <w:rFonts w:cs="Times New Roman"/>
          <w:szCs w:val="24"/>
        </w:rPr>
        <w:t>selected for sporobiota isolation of all samples</w:t>
      </w:r>
      <w:r w:rsidR="00555E2B" w:rsidRPr="00DA42F5">
        <w:rPr>
          <w:rFonts w:cs="Times New Roman"/>
          <w:szCs w:val="24"/>
        </w:rPr>
        <w:t>. Isolated DNA was stored at -80 °C until further use.</w:t>
      </w:r>
    </w:p>
    <w:p w14:paraId="7BF15B89" w14:textId="77777777" w:rsidR="00B11A96" w:rsidRPr="00DA42F5" w:rsidRDefault="00B11A96" w:rsidP="00CD77AB">
      <w:pPr>
        <w:rPr>
          <w:rFonts w:cs="Times New Roman"/>
          <w:szCs w:val="24"/>
        </w:rPr>
      </w:pPr>
    </w:p>
    <w:p w14:paraId="2B3BA2B7" w14:textId="668ED1CD" w:rsidR="00173621" w:rsidRPr="00DA42F5" w:rsidRDefault="00173621" w:rsidP="00221812">
      <w:pPr>
        <w:pStyle w:val="Heading2"/>
        <w:numPr>
          <w:ilvl w:val="1"/>
          <w:numId w:val="26"/>
        </w:numPr>
      </w:pPr>
      <w:bookmarkStart w:id="44" w:name="_Toc212712195"/>
      <w:bookmarkStart w:id="45" w:name="_Toc216099714"/>
      <w:bookmarkStart w:id="46" w:name="_Toc220591365"/>
      <w:r w:rsidRPr="00DA42F5">
        <w:t>DNA ISOLATION</w:t>
      </w:r>
      <w:bookmarkEnd w:id="44"/>
      <w:bookmarkEnd w:id="45"/>
      <w:bookmarkEnd w:id="46"/>
    </w:p>
    <w:p w14:paraId="734125BB" w14:textId="261FA633" w:rsidR="008A0D22" w:rsidRPr="00DA42F5" w:rsidRDefault="008A0D22" w:rsidP="00221812">
      <w:pPr>
        <w:pStyle w:val="Heading3"/>
        <w:numPr>
          <w:ilvl w:val="2"/>
          <w:numId w:val="26"/>
        </w:numPr>
      </w:pPr>
      <w:bookmarkStart w:id="47" w:name="_Toc212712196"/>
      <w:bookmarkStart w:id="48" w:name="_Toc216099715"/>
      <w:bookmarkStart w:id="49" w:name="_Toc220591366"/>
      <w:commentRangeStart w:id="50"/>
      <w:r w:rsidRPr="00DA42F5">
        <w:t xml:space="preserve">DNA isolation </w:t>
      </w:r>
      <w:r w:rsidR="00702F47" w:rsidRPr="00DA42F5">
        <w:t>from</w:t>
      </w:r>
      <w:r w:rsidR="000D1D0F" w:rsidRPr="00DA42F5">
        <w:t xml:space="preserve"> stool sample</w:t>
      </w:r>
      <w:bookmarkEnd w:id="47"/>
      <w:r w:rsidR="00555E2B" w:rsidRPr="00DA42F5">
        <w:t>s</w:t>
      </w:r>
      <w:bookmarkEnd w:id="48"/>
      <w:commentRangeEnd w:id="50"/>
      <w:r w:rsidR="00702F47" w:rsidRPr="00DA42F5">
        <w:rPr>
          <w:rStyle w:val="CommentReference"/>
          <w:rFonts w:eastAsiaTheme="minorHAnsi" w:cstheme="minorBidi"/>
          <w:b w:val="0"/>
          <w:bCs w:val="0"/>
          <w:color w:val="auto"/>
        </w:rPr>
        <w:commentReference w:id="50"/>
      </w:r>
      <w:bookmarkEnd w:id="49"/>
    </w:p>
    <w:p w14:paraId="4E086711" w14:textId="72886492" w:rsidR="00FA776C" w:rsidRPr="00DA42F5" w:rsidRDefault="00790079" w:rsidP="00CD77AB">
      <w:pPr>
        <w:rPr>
          <w:ins w:id="51" w:author="Maja Rupnik" w:date="2026-01-08T13:11:00Z" w16du:dateUtc="2026-01-08T12:11:00Z"/>
          <w:rFonts w:cs="Times New Roman"/>
          <w:szCs w:val="24"/>
        </w:rPr>
      </w:pPr>
      <w:del w:id="52" w:author="Urša Miklavčič" w:date="2026-01-29T14:59:00Z" w16du:dateUtc="2026-01-29T13:59:00Z">
        <w:r w:rsidRPr="00DA42F5" w:rsidDel="00B41263">
          <w:rPr>
            <w:rFonts w:cs="Times New Roman"/>
            <w:szCs w:val="24"/>
          </w:rPr>
          <w:delText xml:space="preserve">Bulk microbiota </w:delText>
        </w:r>
      </w:del>
      <w:r w:rsidRPr="00DA42F5">
        <w:rPr>
          <w:rFonts w:cs="Times New Roman"/>
          <w:szCs w:val="24"/>
        </w:rPr>
        <w:t xml:space="preserve">DNA </w:t>
      </w:r>
      <w:ins w:id="53" w:author="Urša Miklavčič" w:date="2026-01-29T14:59:00Z" w16du:dateUtc="2026-01-29T13:59:00Z">
        <w:r w:rsidR="00B41263">
          <w:rPr>
            <w:rFonts w:cs="Times New Roman"/>
            <w:szCs w:val="24"/>
          </w:rPr>
          <w:t xml:space="preserve">from untreated stool samples </w:t>
        </w:r>
      </w:ins>
      <w:r w:rsidRPr="00DA42F5">
        <w:rPr>
          <w:rFonts w:cs="Times New Roman"/>
          <w:szCs w:val="24"/>
        </w:rPr>
        <w:t xml:space="preserve">was isolated </w:t>
      </w:r>
      <w:ins w:id="54" w:author="Urša Miklavčič" w:date="2026-01-21T09:40:00Z" w16du:dateUtc="2026-01-21T08:40:00Z">
        <w:r w:rsidR="00DA42F5">
          <w:rPr>
            <w:rFonts w:cs="Times New Roman"/>
            <w:szCs w:val="24"/>
          </w:rPr>
          <w:t xml:space="preserve">from an entire aliquot </w:t>
        </w:r>
        <w:r w:rsidR="00DA42F5" w:rsidRPr="00F2511D">
          <w:rPr>
            <w:rFonts w:cs="Times New Roman"/>
            <w:szCs w:val="24"/>
          </w:rPr>
          <w:t xml:space="preserve">(one full 10 µl inoculation loop of stool) </w:t>
        </w:r>
      </w:ins>
      <w:r w:rsidRPr="00DA42F5">
        <w:rPr>
          <w:rFonts w:cs="Times New Roman"/>
          <w:szCs w:val="24"/>
        </w:rPr>
        <w:t xml:space="preserve">using the </w:t>
      </w:r>
      <w:proofErr w:type="spellStart"/>
      <w:r w:rsidRPr="00DA42F5">
        <w:rPr>
          <w:rFonts w:cs="Times New Roman"/>
          <w:szCs w:val="24"/>
        </w:rPr>
        <w:t>PowerFecal</w:t>
      </w:r>
      <w:proofErr w:type="spellEnd"/>
      <w:r w:rsidRPr="00DA42F5">
        <w:rPr>
          <w:rFonts w:cs="Times New Roman"/>
          <w:szCs w:val="24"/>
        </w:rPr>
        <w:t xml:space="preserve"> Kit (Qiagen, Germany) according to the manufacturer’s instructions, eluted in 100 µl nuclease-free water, and stored at -80 °C. DNA concentration was measured using the Quant-</w:t>
      </w:r>
      <w:proofErr w:type="spellStart"/>
      <w:r w:rsidRPr="00DA42F5">
        <w:rPr>
          <w:rFonts w:cs="Times New Roman"/>
          <w:szCs w:val="24"/>
        </w:rPr>
        <w:t>iT</w:t>
      </w:r>
      <w:proofErr w:type="spellEnd"/>
      <w:r w:rsidRPr="00DA42F5">
        <w:rPr>
          <w:rFonts w:cs="Times New Roman"/>
          <w:szCs w:val="24"/>
        </w:rPr>
        <w:t xml:space="preserve">™ </w:t>
      </w:r>
      <w:proofErr w:type="spellStart"/>
      <w:r w:rsidRPr="00DA42F5">
        <w:rPr>
          <w:rFonts w:cs="Times New Roman"/>
          <w:szCs w:val="24"/>
        </w:rPr>
        <w:t>PicoGreen</w:t>
      </w:r>
      <w:proofErr w:type="spellEnd"/>
      <w:r w:rsidRPr="00DA42F5">
        <w:rPr>
          <w:rFonts w:cs="Times New Roman"/>
          <w:szCs w:val="24"/>
        </w:rPr>
        <w:t>™ dsDNA Assay (</w:t>
      </w:r>
      <w:proofErr w:type="spellStart"/>
      <w:r w:rsidRPr="00DA42F5">
        <w:rPr>
          <w:rFonts w:cs="Times New Roman"/>
          <w:szCs w:val="24"/>
        </w:rPr>
        <w:t>Thermo</w:t>
      </w:r>
      <w:proofErr w:type="spellEnd"/>
      <w:r w:rsidRPr="00DA42F5">
        <w:rPr>
          <w:rFonts w:cs="Times New Roman"/>
          <w:szCs w:val="24"/>
        </w:rPr>
        <w:t xml:space="preserve"> Fisher Scientific, USA).</w:t>
      </w:r>
    </w:p>
    <w:p w14:paraId="23A797FB" w14:textId="24123FD3" w:rsidR="00702F47" w:rsidRPr="00DA42F5" w:rsidDel="00DA42F5" w:rsidRDefault="00702F47" w:rsidP="00CD77AB">
      <w:pPr>
        <w:rPr>
          <w:del w:id="55" w:author="Urša Miklavčič" w:date="2026-01-21T09:40:00Z" w16du:dateUtc="2026-01-21T08:40:00Z"/>
          <w:rFonts w:cs="Times New Roman"/>
          <w:szCs w:val="24"/>
        </w:rPr>
      </w:pPr>
      <w:ins w:id="56" w:author="Maja Rupnik" w:date="2026-01-08T13:11:00Z" w16du:dateUtc="2026-01-08T12:11:00Z">
        <w:del w:id="57" w:author="Urša Miklavčič" w:date="2026-01-21T09:40:00Z" w16du:dateUtc="2026-01-21T08:40:00Z">
          <w:r w:rsidRPr="00DA42F5" w:rsidDel="00DA42F5">
            <w:rPr>
              <w:rFonts w:cs="Times New Roman"/>
              <w:szCs w:val="24"/>
            </w:rPr>
            <w:delText>Iz kakšne kol</w:delText>
          </w:r>
        </w:del>
      </w:ins>
      <w:ins w:id="58" w:author="Maja Rupnik" w:date="2026-01-08T13:12:00Z" w16du:dateUtc="2026-01-08T12:12:00Z">
        <w:del w:id="59" w:author="Urša Miklavčič" w:date="2026-01-21T09:40:00Z" w16du:dateUtc="2026-01-21T08:40:00Z">
          <w:r w:rsidRPr="00DA42F5" w:rsidDel="00DA42F5">
            <w:rPr>
              <w:rFonts w:cs="Times New Roman"/>
              <w:szCs w:val="24"/>
            </w:rPr>
            <w:delText>ičine fecesa? Entire aliquote?</w:delText>
          </w:r>
        </w:del>
      </w:ins>
    </w:p>
    <w:p w14:paraId="29D64C74" w14:textId="77777777" w:rsidR="00173621" w:rsidRPr="00DA42F5" w:rsidRDefault="00173621" w:rsidP="00CD77AB">
      <w:pPr>
        <w:rPr>
          <w:rFonts w:cs="Times New Roman"/>
          <w:szCs w:val="24"/>
        </w:rPr>
      </w:pPr>
    </w:p>
    <w:p w14:paraId="1FA21D63" w14:textId="5BB07856" w:rsidR="0055077B" w:rsidRPr="00DA42F5" w:rsidRDefault="00790079" w:rsidP="00221812">
      <w:pPr>
        <w:pStyle w:val="Heading3"/>
        <w:numPr>
          <w:ilvl w:val="2"/>
          <w:numId w:val="26"/>
        </w:numPr>
      </w:pPr>
      <w:bookmarkStart w:id="60" w:name="_Toc216099716"/>
      <w:bookmarkStart w:id="61" w:name="_Toc220591367"/>
      <w:r w:rsidRPr="00DA42F5">
        <w:t>DNA isolation from pure bacterial cultures</w:t>
      </w:r>
      <w:bookmarkEnd w:id="60"/>
      <w:bookmarkEnd w:id="61"/>
    </w:p>
    <w:p w14:paraId="5695D7D7" w14:textId="7FF4290D" w:rsidR="000E6005" w:rsidRPr="00DA42F5" w:rsidRDefault="00790079" w:rsidP="00CD77AB">
      <w:pPr>
        <w:rPr>
          <w:rFonts w:cs="Times New Roman"/>
          <w:szCs w:val="24"/>
        </w:rPr>
      </w:pPr>
      <w:r w:rsidRPr="00DA42F5">
        <w:rPr>
          <w:rFonts w:cs="Times New Roman"/>
          <w:szCs w:val="24"/>
        </w:rPr>
        <w:t xml:space="preserve">Genomic DNA from pure bacterial cultures was isolated using a </w:t>
      </w:r>
      <w:proofErr w:type="spellStart"/>
      <w:r w:rsidRPr="00DA42F5">
        <w:rPr>
          <w:rFonts w:cs="Times New Roman"/>
          <w:szCs w:val="24"/>
        </w:rPr>
        <w:t>QIAamp</w:t>
      </w:r>
      <w:proofErr w:type="spellEnd"/>
      <w:r w:rsidRPr="00DA42F5">
        <w:rPr>
          <w:rFonts w:cs="Times New Roman"/>
          <w:szCs w:val="24"/>
        </w:rPr>
        <w:t xml:space="preserve"> DNA Mini Kit (</w:t>
      </w:r>
      <w:r w:rsidR="00555E2B" w:rsidRPr="00DA42F5">
        <w:rPr>
          <w:rFonts w:cs="Times New Roman"/>
          <w:szCs w:val="24"/>
        </w:rPr>
        <w:t>Qiagen</w:t>
      </w:r>
      <w:r w:rsidRPr="00DA42F5">
        <w:rPr>
          <w:rFonts w:cs="Times New Roman"/>
          <w:szCs w:val="24"/>
        </w:rPr>
        <w:t xml:space="preserve">, Germany) </w:t>
      </w:r>
      <w:r w:rsidR="00555E2B" w:rsidRPr="00DA42F5">
        <w:rPr>
          <w:rFonts w:cs="Times New Roman"/>
          <w:szCs w:val="24"/>
        </w:rPr>
        <w:t>with</w:t>
      </w:r>
      <w:r w:rsidRPr="00DA42F5">
        <w:rPr>
          <w:rFonts w:cs="Times New Roman"/>
          <w:szCs w:val="24"/>
        </w:rPr>
        <w:t xml:space="preserve"> one </w:t>
      </w:r>
      <w:r w:rsidR="00702F47" w:rsidRPr="00DA42F5">
        <w:rPr>
          <w:rFonts w:cs="Times New Roman"/>
          <w:szCs w:val="24"/>
        </w:rPr>
        <w:t xml:space="preserve">full </w:t>
      </w:r>
      <w:r w:rsidRPr="00DA42F5">
        <w:rPr>
          <w:rFonts w:cs="Times New Roman"/>
          <w:szCs w:val="24"/>
        </w:rPr>
        <w:t>10 µl inoculation loop of overnight culture. DNA was eluted in 50 µl nuclease-free water</w:t>
      </w:r>
      <w:r w:rsidR="00032A34" w:rsidRPr="00DA42F5">
        <w:rPr>
          <w:rFonts w:cs="Times New Roman"/>
          <w:szCs w:val="24"/>
        </w:rPr>
        <w:t xml:space="preserve"> and stored at -20 °C</w:t>
      </w:r>
      <w:r w:rsidRPr="00DA42F5">
        <w:rPr>
          <w:rFonts w:cs="Times New Roman"/>
          <w:szCs w:val="24"/>
        </w:rPr>
        <w:t>. DNA concentration was measured with the Quant-</w:t>
      </w:r>
      <w:proofErr w:type="spellStart"/>
      <w:r w:rsidRPr="00DA42F5">
        <w:rPr>
          <w:rFonts w:cs="Times New Roman"/>
          <w:szCs w:val="24"/>
        </w:rPr>
        <w:t>iT</w:t>
      </w:r>
      <w:proofErr w:type="spellEnd"/>
      <w:r w:rsidRPr="00DA42F5">
        <w:rPr>
          <w:rFonts w:cs="Times New Roman"/>
          <w:szCs w:val="24"/>
        </w:rPr>
        <w:t xml:space="preserve">™ </w:t>
      </w:r>
      <w:proofErr w:type="spellStart"/>
      <w:r w:rsidRPr="00DA42F5">
        <w:rPr>
          <w:rFonts w:cs="Times New Roman"/>
          <w:szCs w:val="24"/>
        </w:rPr>
        <w:t>PicoGreen</w:t>
      </w:r>
      <w:proofErr w:type="spellEnd"/>
      <w:r w:rsidRPr="00DA42F5">
        <w:rPr>
          <w:rFonts w:cs="Times New Roman"/>
          <w:szCs w:val="24"/>
        </w:rPr>
        <w:t>™ dsDNA Assay (</w:t>
      </w:r>
      <w:proofErr w:type="spellStart"/>
      <w:r w:rsidRPr="00DA42F5">
        <w:rPr>
          <w:rFonts w:cs="Times New Roman"/>
          <w:szCs w:val="24"/>
        </w:rPr>
        <w:t>Thermo</w:t>
      </w:r>
      <w:proofErr w:type="spellEnd"/>
      <w:r w:rsidRPr="00DA42F5">
        <w:rPr>
          <w:rFonts w:cs="Times New Roman"/>
          <w:szCs w:val="24"/>
        </w:rPr>
        <w:t xml:space="preserve"> Fisher Scientific, USA). </w:t>
      </w:r>
    </w:p>
    <w:p w14:paraId="57967FB2" w14:textId="77777777" w:rsidR="00173621" w:rsidRPr="00DA42F5" w:rsidRDefault="00173621" w:rsidP="00CD77AB">
      <w:pPr>
        <w:rPr>
          <w:rFonts w:cs="Times New Roman"/>
          <w:szCs w:val="24"/>
        </w:rPr>
      </w:pPr>
    </w:p>
    <w:p w14:paraId="10053271" w14:textId="351C15C1" w:rsidR="0055077B" w:rsidRPr="00DA42F5" w:rsidRDefault="00173621" w:rsidP="00221812">
      <w:pPr>
        <w:pStyle w:val="Heading2"/>
        <w:numPr>
          <w:ilvl w:val="1"/>
          <w:numId w:val="26"/>
        </w:numPr>
      </w:pPr>
      <w:bookmarkStart w:id="62" w:name="_Toc212712200"/>
      <w:bookmarkStart w:id="63" w:name="_Toc216099717"/>
      <w:bookmarkStart w:id="64" w:name="_Toc220591368"/>
      <w:r w:rsidRPr="00DA42F5">
        <w:t xml:space="preserve">ABSOLUTE QUANTIFICATION OF THE </w:t>
      </w:r>
      <w:proofErr w:type="spellStart"/>
      <w:r w:rsidRPr="00DA42F5">
        <w:t>16S</w:t>
      </w:r>
      <w:proofErr w:type="spellEnd"/>
      <w:r w:rsidRPr="00DA42F5">
        <w:t xml:space="preserve"> </w:t>
      </w:r>
      <w:r w:rsidR="00AB497D" w:rsidRPr="00DA42F5">
        <w:t>r</w:t>
      </w:r>
      <w:r w:rsidRPr="00DA42F5">
        <w:t xml:space="preserve">RNA GENE IN </w:t>
      </w:r>
      <w:del w:id="65" w:author="Urša Miklavčič" w:date="2026-01-29T14:59:00Z" w16du:dateUtc="2026-01-29T13:59:00Z">
        <w:r w:rsidRPr="00DA42F5" w:rsidDel="00B41263">
          <w:delText>BULK MICROBIOTA</w:delText>
        </w:r>
      </w:del>
      <w:ins w:id="66" w:author="Urša Miklavčič" w:date="2026-01-29T14:59:00Z" w16du:dateUtc="2026-01-29T13:59:00Z">
        <w:r w:rsidR="00B41263">
          <w:t>UNTREATED</w:t>
        </w:r>
      </w:ins>
      <w:r w:rsidRPr="00DA42F5">
        <w:t xml:space="preserve"> AND ETHANOL TREATED SAMPLES USING DROPLET DIGITAL PCR</w:t>
      </w:r>
      <w:bookmarkEnd w:id="62"/>
      <w:bookmarkEnd w:id="63"/>
      <w:bookmarkEnd w:id="64"/>
    </w:p>
    <w:p w14:paraId="0521658F" w14:textId="77777777" w:rsidR="00DA42F5" w:rsidRDefault="009D4C3B" w:rsidP="00EF00DB">
      <w:pPr>
        <w:rPr>
          <w:rFonts w:cs="Times New Roman"/>
          <w:szCs w:val="24"/>
        </w:rPr>
      </w:pPr>
      <w:r w:rsidRPr="00DA42F5">
        <w:rPr>
          <w:rFonts w:cs="Times New Roman"/>
          <w:szCs w:val="24"/>
        </w:rPr>
        <w:t xml:space="preserve">Droplet digital PCR </w:t>
      </w:r>
      <w:r w:rsidR="00032A34" w:rsidRPr="00DA42F5">
        <w:rPr>
          <w:rFonts w:cs="Times New Roman"/>
          <w:szCs w:val="24"/>
        </w:rPr>
        <w:t>(</w:t>
      </w:r>
      <w:proofErr w:type="spellStart"/>
      <w:r w:rsidR="00032A34" w:rsidRPr="00DA42F5">
        <w:rPr>
          <w:rFonts w:cs="Times New Roman"/>
          <w:szCs w:val="24"/>
        </w:rPr>
        <w:t>ddPCR</w:t>
      </w:r>
      <w:proofErr w:type="spellEnd"/>
      <w:r w:rsidR="00032A34" w:rsidRPr="00DA42F5">
        <w:rPr>
          <w:rFonts w:cs="Times New Roman"/>
          <w:szCs w:val="24"/>
        </w:rPr>
        <w:t xml:space="preserve">) </w:t>
      </w:r>
      <w:r w:rsidRPr="00DA42F5">
        <w:rPr>
          <w:rFonts w:cs="Times New Roman"/>
          <w:szCs w:val="24"/>
        </w:rPr>
        <w:t xml:space="preserve">was performed using </w:t>
      </w:r>
      <w:proofErr w:type="spellStart"/>
      <w:r w:rsidRPr="00DA42F5">
        <w:rPr>
          <w:rFonts w:cs="Times New Roman"/>
          <w:szCs w:val="24"/>
        </w:rPr>
        <w:t>EvaGreen</w:t>
      </w:r>
      <w:proofErr w:type="spellEnd"/>
      <w:r w:rsidRPr="00DA42F5">
        <w:rPr>
          <w:rFonts w:cs="Times New Roman"/>
          <w:szCs w:val="24"/>
        </w:rPr>
        <w:t xml:space="preserve"> </w:t>
      </w:r>
      <w:proofErr w:type="spellStart"/>
      <w:r w:rsidRPr="00DA42F5">
        <w:rPr>
          <w:rFonts w:cs="Times New Roman"/>
          <w:szCs w:val="24"/>
        </w:rPr>
        <w:t>QX200</w:t>
      </w:r>
      <w:proofErr w:type="spellEnd"/>
      <w:r w:rsidRPr="00DA42F5">
        <w:rPr>
          <w:rFonts w:cs="Times New Roman"/>
          <w:szCs w:val="24"/>
        </w:rPr>
        <w:t xml:space="preserve"> technology (Bio-Rad, USA) to quantify the total bacterial load</w:t>
      </w:r>
      <w:r w:rsidR="00032A34" w:rsidRPr="00DA42F5">
        <w:rPr>
          <w:rFonts w:cs="Times New Roman"/>
          <w:szCs w:val="24"/>
        </w:rPr>
        <w:t xml:space="preserve">. </w:t>
      </w:r>
      <w:proofErr w:type="spellStart"/>
      <w:r w:rsidRPr="00DA42F5">
        <w:rPr>
          <w:rFonts w:cs="Times New Roman"/>
          <w:szCs w:val="24"/>
        </w:rPr>
        <w:t>ddPCR</w:t>
      </w:r>
      <w:proofErr w:type="spellEnd"/>
      <w:r w:rsidRPr="00DA42F5">
        <w:rPr>
          <w:rFonts w:cs="Times New Roman"/>
          <w:szCs w:val="24"/>
        </w:rPr>
        <w:t xml:space="preserve"> was conducted on all samples included in the longitudinal study, using universal primers targeting the </w:t>
      </w:r>
      <w:proofErr w:type="spellStart"/>
      <w:r w:rsidRPr="00DA42F5">
        <w:rPr>
          <w:rFonts w:cs="Times New Roman"/>
          <w:szCs w:val="24"/>
        </w:rPr>
        <w:t>V3-V4</w:t>
      </w:r>
      <w:proofErr w:type="spellEnd"/>
      <w:r w:rsidRPr="00DA42F5">
        <w:rPr>
          <w:rFonts w:cs="Times New Roman"/>
          <w:szCs w:val="24"/>
        </w:rPr>
        <w:t xml:space="preserve"> regions of the </w:t>
      </w:r>
      <w:proofErr w:type="spellStart"/>
      <w:r w:rsidRPr="00DA42F5">
        <w:rPr>
          <w:rFonts w:cs="Times New Roman"/>
          <w:szCs w:val="24"/>
        </w:rPr>
        <w:t>16S</w:t>
      </w:r>
      <w:proofErr w:type="spellEnd"/>
      <w:r w:rsidRPr="00DA42F5">
        <w:rPr>
          <w:rFonts w:cs="Times New Roman"/>
          <w:szCs w:val="24"/>
        </w:rPr>
        <w:t xml:space="preserve"> rRNA gene: </w:t>
      </w:r>
      <w:proofErr w:type="spellStart"/>
      <w:r w:rsidRPr="00DA42F5">
        <w:rPr>
          <w:rFonts w:cs="Times New Roman"/>
          <w:szCs w:val="24"/>
        </w:rPr>
        <w:t>341F</w:t>
      </w:r>
      <w:proofErr w:type="spellEnd"/>
      <w:r w:rsidRPr="00DA42F5">
        <w:rPr>
          <w:rFonts w:cs="Times New Roman"/>
          <w:szCs w:val="24"/>
        </w:rPr>
        <w:t xml:space="preserve"> (5'-</w:t>
      </w:r>
      <w:proofErr w:type="spellStart"/>
      <w:r w:rsidRPr="00DA42F5">
        <w:rPr>
          <w:rFonts w:cs="Times New Roman"/>
          <w:szCs w:val="24"/>
        </w:rPr>
        <w:t>CCTACGGGNGGCWGCAG</w:t>
      </w:r>
      <w:proofErr w:type="spellEnd"/>
      <w:r w:rsidRPr="00DA42F5">
        <w:rPr>
          <w:rFonts w:cs="Times New Roman"/>
          <w:szCs w:val="24"/>
        </w:rPr>
        <w:t xml:space="preserve">-3') and </w:t>
      </w:r>
      <w:proofErr w:type="spellStart"/>
      <w:r w:rsidRPr="00DA42F5">
        <w:rPr>
          <w:rFonts w:cs="Times New Roman"/>
          <w:szCs w:val="24"/>
        </w:rPr>
        <w:t>806R</w:t>
      </w:r>
      <w:proofErr w:type="spellEnd"/>
      <w:r w:rsidRPr="00DA42F5">
        <w:rPr>
          <w:rFonts w:cs="Times New Roman"/>
          <w:szCs w:val="24"/>
        </w:rPr>
        <w:t xml:space="preserve"> (5'-</w:t>
      </w:r>
      <w:proofErr w:type="spellStart"/>
      <w:r w:rsidRPr="00DA42F5">
        <w:rPr>
          <w:rFonts w:cs="Times New Roman"/>
          <w:szCs w:val="24"/>
        </w:rPr>
        <w:t>GACTACHVGGGTATCTAATCC</w:t>
      </w:r>
      <w:proofErr w:type="spellEnd"/>
      <w:r w:rsidRPr="00DA42F5">
        <w:rPr>
          <w:rFonts w:cs="Times New Roman"/>
          <w:szCs w:val="24"/>
        </w:rPr>
        <w:t xml:space="preserve">-3') </w:t>
      </w:r>
      <w:r w:rsidR="0043153B" w:rsidRPr="00DA42F5">
        <w:rPr>
          <w:rFonts w:cs="Times New Roman"/>
          <w:szCs w:val="24"/>
        </w:rPr>
        <w:fldChar w:fldCharType="begin"/>
      </w:r>
      <w:r w:rsidR="0043153B" w:rsidRPr="00DA42F5">
        <w:rPr>
          <w:rFonts w:cs="Times New Roman"/>
          <w:szCs w:val="24"/>
        </w:rPr>
        <w:instrText xml:space="preserve"> ADDIN ZOTERO_ITEM CSL_CITATION {"citationID":"OvRQMKz7","properties":{"formattedCitation":"(Klindworth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A42F5">
        <w:rPr>
          <w:rFonts w:cs="Times New Roman"/>
          <w:szCs w:val="24"/>
        </w:rPr>
        <w:fldChar w:fldCharType="separate"/>
      </w:r>
      <w:r w:rsidR="0043153B" w:rsidRPr="00DA42F5">
        <w:rPr>
          <w:rFonts w:cs="Times New Roman"/>
        </w:rPr>
        <w:t>(Klindworth et al., 2013)</w:t>
      </w:r>
      <w:r w:rsidR="0043153B" w:rsidRPr="00DA42F5">
        <w:rPr>
          <w:rFonts w:cs="Times New Roman"/>
          <w:szCs w:val="24"/>
        </w:rPr>
        <w:fldChar w:fldCharType="end"/>
      </w:r>
      <w:r w:rsidRPr="00DA42F5">
        <w:rPr>
          <w:rFonts w:cs="Times New Roman"/>
          <w:szCs w:val="24"/>
        </w:rPr>
        <w:t>. The reaction volume was 25 µl, comprising 2.5 µl of diluted DNA, 12.5 µl of 2</w:t>
      </w:r>
      <w:r w:rsidR="00555E2B" w:rsidRPr="00DA42F5">
        <w:rPr>
          <w:rFonts w:cs="Times New Roman"/>
          <w:szCs w:val="24"/>
        </w:rPr>
        <w:t xml:space="preserve"> ×</w:t>
      </w:r>
      <w:r w:rsidRPr="00DA42F5">
        <w:rPr>
          <w:rFonts w:cs="Times New Roman"/>
          <w:szCs w:val="24"/>
        </w:rPr>
        <w:t xml:space="preserve"> </w:t>
      </w:r>
      <w:proofErr w:type="spellStart"/>
      <w:r w:rsidRPr="00DA42F5">
        <w:rPr>
          <w:rFonts w:cs="Times New Roman"/>
          <w:szCs w:val="24"/>
        </w:rPr>
        <w:t>EvaGreen</w:t>
      </w:r>
      <w:proofErr w:type="spellEnd"/>
      <w:r w:rsidRPr="00DA42F5">
        <w:rPr>
          <w:rFonts w:cs="Times New Roman"/>
          <w:szCs w:val="24"/>
        </w:rPr>
        <w:t xml:space="preserve"> </w:t>
      </w:r>
      <w:proofErr w:type="spellStart"/>
      <w:r w:rsidRPr="00DA42F5">
        <w:rPr>
          <w:rFonts w:cs="Times New Roman"/>
          <w:szCs w:val="24"/>
        </w:rPr>
        <w:t>Supermix</w:t>
      </w:r>
      <w:proofErr w:type="spellEnd"/>
      <w:r w:rsidRPr="00DA42F5">
        <w:rPr>
          <w:rFonts w:cs="Times New Roman"/>
          <w:szCs w:val="24"/>
        </w:rPr>
        <w:t xml:space="preserve">, 0.5 µl of each 10 µM primer, and 9 µl of nuclease-free water. Droplets were generated using the </w:t>
      </w:r>
      <w:proofErr w:type="spellStart"/>
      <w:r w:rsidRPr="00DA42F5">
        <w:rPr>
          <w:rFonts w:cs="Times New Roman"/>
          <w:szCs w:val="24"/>
        </w:rPr>
        <w:t>QX200</w:t>
      </w:r>
      <w:proofErr w:type="spellEnd"/>
      <w:r w:rsidRPr="00DA42F5">
        <w:rPr>
          <w:rFonts w:cs="Times New Roman"/>
          <w:szCs w:val="24"/>
        </w:rPr>
        <w:t xml:space="preserve"> Droplet Generator, following the manufacturer’s instructions. </w:t>
      </w:r>
    </w:p>
    <w:p w14:paraId="7B06F2F9" w14:textId="2D99ECE2" w:rsidR="00EF00DB" w:rsidRPr="00DA42F5" w:rsidRDefault="009D4C3B" w:rsidP="00EF00DB">
      <w:pPr>
        <w:rPr>
          <w:rFonts w:cs="Times New Roman"/>
          <w:szCs w:val="24"/>
        </w:rPr>
      </w:pPr>
      <w:r w:rsidRPr="00DA42F5">
        <w:rPr>
          <w:rFonts w:cs="Times New Roman"/>
          <w:szCs w:val="24"/>
        </w:rPr>
        <w:lastRenderedPageBreak/>
        <w:t>The thermal cycling conditions were enzyme activation at 95 °C for 3 minutes, 40 cycles of denaturation at 95 °C for 30 seconds, annealing at 55 °C for 30 seconds, and elongation at 60 °C for 30 seconds, followed by a final elongation at 60 °C for 5 minutes and signal stabili</w:t>
      </w:r>
      <w:r w:rsidR="00555E2B" w:rsidRPr="00DA42F5">
        <w:rPr>
          <w:rFonts w:cs="Times New Roman"/>
          <w:szCs w:val="24"/>
        </w:rPr>
        <w:t>s</w:t>
      </w:r>
      <w:r w:rsidRPr="00DA42F5">
        <w:rPr>
          <w:rFonts w:cs="Times New Roman"/>
          <w:szCs w:val="24"/>
        </w:rPr>
        <w:t xml:space="preserve">ation at 4 °C for 5 minutes and 90 °C for 5 minutes. Absolute quantification was performed using </w:t>
      </w:r>
      <w:proofErr w:type="spellStart"/>
      <w:r w:rsidRPr="00DA42F5">
        <w:rPr>
          <w:rFonts w:cs="Times New Roman"/>
          <w:szCs w:val="24"/>
        </w:rPr>
        <w:t>QuantaSoft</w:t>
      </w:r>
      <w:proofErr w:type="spellEnd"/>
      <w:r w:rsidRPr="00DA42F5">
        <w:rPr>
          <w:rFonts w:cs="Times New Roman"/>
          <w:szCs w:val="24"/>
        </w:rPr>
        <w:t xml:space="preserve"> software </w:t>
      </w:r>
      <w:proofErr w:type="spellStart"/>
      <w:r w:rsidRPr="00DA42F5">
        <w:rPr>
          <w:rFonts w:cs="Times New Roman"/>
          <w:szCs w:val="24"/>
        </w:rPr>
        <w:t>v7.4.1</w:t>
      </w:r>
      <w:proofErr w:type="spellEnd"/>
      <w:r w:rsidRPr="00DA42F5">
        <w:rPr>
          <w:rFonts w:cs="Times New Roman"/>
          <w:szCs w:val="24"/>
        </w:rPr>
        <w:t xml:space="preserve">, with a minimum threshold of 10,000 droplets per sample. The copy number of the target amplicon in each sample was calculated using Equation 1. </w:t>
      </w:r>
    </w:p>
    <w:p w14:paraId="54A424A1" w14:textId="77777777" w:rsidR="00EF00DB" w:rsidRPr="00DA42F5"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DA42F5">
        <w:rPr>
          <w:rFonts w:cs="Times New Roman"/>
          <w:szCs w:val="24"/>
        </w:rPr>
        <w:t xml:space="preserve">                              </w:t>
      </w:r>
      <w:commentRangeStart w:id="67"/>
      <w:commentRangeStart w:id="68"/>
      <w:r w:rsidRPr="00DA42F5">
        <w:rPr>
          <w:rFonts w:cs="Times New Roman"/>
          <w:szCs w:val="24"/>
        </w:rPr>
        <w:t>… (1)</w:t>
      </w:r>
      <w:commentRangeEnd w:id="67"/>
      <w:r w:rsidR="00306439" w:rsidRPr="00DA42F5">
        <w:rPr>
          <w:rStyle w:val="CommentReference"/>
        </w:rPr>
        <w:commentReference w:id="67"/>
      </w:r>
      <w:commentRangeEnd w:id="68"/>
      <w:r w:rsidR="00DA42F5">
        <w:rPr>
          <w:rStyle w:val="CommentReference"/>
        </w:rPr>
        <w:commentReference w:id="68"/>
      </w:r>
    </w:p>
    <w:p w14:paraId="602471B1" w14:textId="33D51C68" w:rsidR="00540583" w:rsidRPr="00DA42F5" w:rsidRDefault="009D4C3B" w:rsidP="00CD77AB">
      <w:pPr>
        <w:rPr>
          <w:rFonts w:cs="Times New Roman"/>
          <w:szCs w:val="24"/>
        </w:rPr>
      </w:pPr>
      <w:r w:rsidRPr="00DA42F5">
        <w:rPr>
          <w:rFonts w:cs="Times New Roman"/>
          <w:szCs w:val="24"/>
        </w:rPr>
        <w:t xml:space="preserve">Where c is concentration and V is volume. The copy number of the </w:t>
      </w:r>
      <w:proofErr w:type="spellStart"/>
      <w:r w:rsidRPr="00DA42F5">
        <w:rPr>
          <w:rFonts w:cs="Times New Roman"/>
          <w:szCs w:val="24"/>
        </w:rPr>
        <w:t>16S</w:t>
      </w:r>
      <w:proofErr w:type="spellEnd"/>
      <w:r w:rsidRPr="00DA42F5">
        <w:rPr>
          <w:rFonts w:cs="Times New Roman"/>
          <w:szCs w:val="24"/>
        </w:rPr>
        <w:t xml:space="preserve"> rRNA gene was multiplied by the relative abundance of each OTU to determine their normalised abundance. </w:t>
      </w:r>
    </w:p>
    <w:p w14:paraId="1E407A54" w14:textId="77777777" w:rsidR="008A0D22" w:rsidRPr="00DA42F5" w:rsidRDefault="008A0D22" w:rsidP="00CD77AB">
      <w:pPr>
        <w:rPr>
          <w:rFonts w:cs="Times New Roman"/>
          <w:szCs w:val="24"/>
        </w:rPr>
      </w:pPr>
    </w:p>
    <w:p w14:paraId="4D28D16F" w14:textId="0B15EA48" w:rsidR="00173621" w:rsidRPr="00DA42F5" w:rsidRDefault="00173621" w:rsidP="00221812">
      <w:pPr>
        <w:pStyle w:val="Heading2"/>
        <w:numPr>
          <w:ilvl w:val="1"/>
          <w:numId w:val="26"/>
        </w:numPr>
      </w:pPr>
      <w:bookmarkStart w:id="69" w:name="_Toc212712201"/>
      <w:bookmarkStart w:id="70" w:name="_Toc216099718"/>
      <w:bookmarkStart w:id="71" w:name="_Toc220591369"/>
      <w:r w:rsidRPr="00DA42F5">
        <w:t>SEQUENCING</w:t>
      </w:r>
      <w:bookmarkStart w:id="72" w:name="_Toc184220088"/>
      <w:bookmarkEnd w:id="69"/>
      <w:r w:rsidR="000B4DCB" w:rsidRPr="00DA42F5">
        <w:t xml:space="preserve"> OF MICROBIOTA, SPOROBIOTA, AND BACTERIAL ISOLATES</w:t>
      </w:r>
      <w:bookmarkEnd w:id="70"/>
      <w:bookmarkEnd w:id="71"/>
    </w:p>
    <w:p w14:paraId="15A6E1E8" w14:textId="256018CC" w:rsidR="00E65962" w:rsidRPr="00DA42F5" w:rsidRDefault="00CD717C" w:rsidP="00221812">
      <w:pPr>
        <w:pStyle w:val="Heading3"/>
        <w:numPr>
          <w:ilvl w:val="2"/>
          <w:numId w:val="26"/>
        </w:numPr>
      </w:pPr>
      <w:bookmarkStart w:id="73" w:name="_Toc212712202"/>
      <w:bookmarkStart w:id="74" w:name="_Toc216099719"/>
      <w:bookmarkStart w:id="75" w:name="_Toc220591370"/>
      <w:r w:rsidRPr="00DA42F5">
        <w:t>Amplicon</w:t>
      </w:r>
      <w:r w:rsidR="00E65962" w:rsidRPr="00DA42F5">
        <w:t xml:space="preserve"> sequencing of the </w:t>
      </w:r>
      <w:proofErr w:type="spellStart"/>
      <w:r w:rsidR="00E65962" w:rsidRPr="00DA42F5">
        <w:t>16S</w:t>
      </w:r>
      <w:proofErr w:type="spellEnd"/>
      <w:r w:rsidR="00E65962" w:rsidRPr="00DA42F5">
        <w:t xml:space="preserve"> rRNA gene</w:t>
      </w:r>
      <w:bookmarkEnd w:id="72"/>
      <w:bookmarkEnd w:id="73"/>
      <w:r w:rsidR="000B4DCB" w:rsidRPr="00DA42F5">
        <w:t xml:space="preserve"> of microbiota and sporobiota</w:t>
      </w:r>
      <w:bookmarkEnd w:id="74"/>
      <w:bookmarkEnd w:id="75"/>
    </w:p>
    <w:p w14:paraId="0BD95A93" w14:textId="60FF5545" w:rsidR="0055077B" w:rsidRPr="00DA42F5" w:rsidRDefault="009D4C3B" w:rsidP="00CD77AB">
      <w:pPr>
        <w:rPr>
          <w:rFonts w:cs="Times New Roman"/>
          <w:szCs w:val="24"/>
        </w:rPr>
      </w:pPr>
      <w:bookmarkStart w:id="76" w:name="_Toc184220089"/>
      <w:r w:rsidRPr="00DA42F5">
        <w:rPr>
          <w:rFonts w:cs="Times New Roman"/>
          <w:szCs w:val="24"/>
        </w:rPr>
        <w:t xml:space="preserve">Bacterial community structure was determined by sequencing the </w:t>
      </w:r>
      <w:proofErr w:type="spellStart"/>
      <w:r w:rsidRPr="00DA42F5">
        <w:rPr>
          <w:rFonts w:cs="Times New Roman"/>
          <w:szCs w:val="24"/>
        </w:rPr>
        <w:t>V3-V4</w:t>
      </w:r>
      <w:proofErr w:type="spellEnd"/>
      <w:r w:rsidRPr="00DA42F5">
        <w:rPr>
          <w:rFonts w:cs="Times New Roman"/>
          <w:szCs w:val="24"/>
        </w:rPr>
        <w:t xml:space="preserve"> region of the </w:t>
      </w:r>
      <w:proofErr w:type="spellStart"/>
      <w:r w:rsidRPr="00DA42F5">
        <w:rPr>
          <w:rFonts w:cs="Times New Roman"/>
          <w:szCs w:val="24"/>
        </w:rPr>
        <w:t>16S</w:t>
      </w:r>
      <w:proofErr w:type="spellEnd"/>
      <w:r w:rsidRPr="00DA42F5">
        <w:rPr>
          <w:rFonts w:cs="Times New Roman"/>
          <w:szCs w:val="24"/>
        </w:rPr>
        <w:t xml:space="preserve"> rRNA gene using the same primers as for the </w:t>
      </w:r>
      <w:proofErr w:type="spellStart"/>
      <w:r w:rsidRPr="00DA42F5">
        <w:rPr>
          <w:rFonts w:cs="Times New Roman"/>
          <w:szCs w:val="24"/>
        </w:rPr>
        <w:t>ddPCR</w:t>
      </w:r>
      <w:proofErr w:type="spellEnd"/>
      <w:r w:rsidRPr="00DA42F5">
        <w:rPr>
          <w:rFonts w:cs="Times New Roman"/>
          <w:szCs w:val="24"/>
        </w:rPr>
        <w:t xml:space="preserve">, </w:t>
      </w:r>
      <w:proofErr w:type="spellStart"/>
      <w:r w:rsidRPr="00DA42F5">
        <w:rPr>
          <w:rFonts w:cs="Times New Roman"/>
          <w:szCs w:val="24"/>
        </w:rPr>
        <w:t>341F</w:t>
      </w:r>
      <w:proofErr w:type="spellEnd"/>
      <w:r w:rsidRPr="00DA42F5">
        <w:rPr>
          <w:rFonts w:cs="Times New Roman"/>
          <w:szCs w:val="24"/>
        </w:rPr>
        <w:t xml:space="preserve"> and </w:t>
      </w:r>
      <w:proofErr w:type="spellStart"/>
      <w:r w:rsidRPr="00DA42F5">
        <w:rPr>
          <w:rFonts w:cs="Times New Roman"/>
          <w:szCs w:val="24"/>
        </w:rPr>
        <w:t>806R</w:t>
      </w:r>
      <w:proofErr w:type="spellEnd"/>
      <w:r w:rsidRPr="00DA42F5">
        <w:rPr>
          <w:rFonts w:cs="Times New Roman"/>
          <w:szCs w:val="24"/>
        </w:rPr>
        <w:t xml:space="preserve"> </w:t>
      </w:r>
      <w:r w:rsidR="0043153B" w:rsidRPr="00DA42F5">
        <w:rPr>
          <w:rFonts w:cs="Times New Roman"/>
          <w:szCs w:val="24"/>
        </w:rPr>
        <w:fldChar w:fldCharType="begin"/>
      </w:r>
      <w:r w:rsidR="0043153B" w:rsidRPr="00DA42F5">
        <w:rPr>
          <w:rFonts w:cs="Times New Roman"/>
          <w:szCs w:val="24"/>
        </w:rPr>
        <w:instrText xml:space="preserve"> ADDIN ZOTERO_ITEM CSL_CITATION {"citationID":"z8hs29Oz","properties":{"formattedCitation":"(Klindworth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A42F5">
        <w:rPr>
          <w:rFonts w:cs="Times New Roman"/>
          <w:szCs w:val="24"/>
        </w:rPr>
        <w:fldChar w:fldCharType="separate"/>
      </w:r>
      <w:r w:rsidR="0043153B" w:rsidRPr="00DA42F5">
        <w:rPr>
          <w:rFonts w:cs="Times New Roman"/>
        </w:rPr>
        <w:t>(Klindworth et al., 2013)</w:t>
      </w:r>
      <w:r w:rsidR="0043153B" w:rsidRPr="00DA42F5">
        <w:rPr>
          <w:rFonts w:cs="Times New Roman"/>
          <w:szCs w:val="24"/>
        </w:rPr>
        <w:fldChar w:fldCharType="end"/>
      </w:r>
      <w:r w:rsidRPr="00DA42F5">
        <w:rPr>
          <w:rFonts w:cs="Times New Roman"/>
          <w:szCs w:val="24"/>
        </w:rPr>
        <w:t xml:space="preserve">. Library preparation followed the </w:t>
      </w:r>
      <w:proofErr w:type="spellStart"/>
      <w:r w:rsidRPr="00DA42F5">
        <w:rPr>
          <w:rFonts w:cs="Times New Roman"/>
          <w:szCs w:val="24"/>
        </w:rPr>
        <w:t>16S</w:t>
      </w:r>
      <w:proofErr w:type="spellEnd"/>
      <w:r w:rsidRPr="00DA42F5">
        <w:rPr>
          <w:rFonts w:cs="Times New Roman"/>
          <w:szCs w:val="24"/>
        </w:rPr>
        <w:t xml:space="preserve"> Metagenomic Sequencing Library Preparation protocol (Illumina, USA) with </w:t>
      </w:r>
      <w:proofErr w:type="spellStart"/>
      <w:r w:rsidRPr="00DA42F5">
        <w:rPr>
          <w:rFonts w:cs="Times New Roman"/>
          <w:szCs w:val="24"/>
        </w:rPr>
        <w:t>Q5</w:t>
      </w:r>
      <w:proofErr w:type="spellEnd"/>
      <w:r w:rsidRPr="00DA42F5">
        <w:rPr>
          <w:rFonts w:cs="Times New Roman"/>
          <w:szCs w:val="24"/>
        </w:rPr>
        <w:t xml:space="preserve">® High-Fidelity DNA Polymerase (New England Biolabs, USA) or KAPA HiFi </w:t>
      </w:r>
      <w:proofErr w:type="spellStart"/>
      <w:r w:rsidRPr="00DA42F5">
        <w:rPr>
          <w:rFonts w:cs="Times New Roman"/>
          <w:szCs w:val="24"/>
        </w:rPr>
        <w:t>HotStart</w:t>
      </w:r>
      <w:proofErr w:type="spellEnd"/>
      <w:r w:rsidRPr="00DA42F5">
        <w:rPr>
          <w:rFonts w:cs="Times New Roman"/>
          <w:szCs w:val="24"/>
        </w:rPr>
        <w:t xml:space="preserve"> </w:t>
      </w:r>
      <w:proofErr w:type="spellStart"/>
      <w:r w:rsidRPr="00DA42F5">
        <w:rPr>
          <w:rFonts w:cs="Times New Roman"/>
          <w:szCs w:val="24"/>
        </w:rPr>
        <w:t>ReadyMix</w:t>
      </w:r>
      <w:proofErr w:type="spellEnd"/>
      <w:r w:rsidRPr="00DA42F5">
        <w:rPr>
          <w:rFonts w:cs="Times New Roman"/>
          <w:szCs w:val="24"/>
        </w:rPr>
        <w:t xml:space="preserve"> (Kapa Biosystems, Massachusetts, USA), as specified</w:t>
      </w:r>
      <w:r w:rsidR="00032A34" w:rsidRPr="00DA42F5">
        <w:rPr>
          <w:rFonts w:cs="Times New Roman"/>
          <w:szCs w:val="24"/>
        </w:rPr>
        <w:t xml:space="preserve"> in </w:t>
      </w:r>
      <w:r w:rsidRPr="00DA42F5">
        <w:rPr>
          <w:rFonts w:cs="Times New Roman"/>
          <w:szCs w:val="24"/>
        </w:rPr>
        <w:t xml:space="preserve">Supplement Table 4. Sequencing was performed on Illumina’s </w:t>
      </w:r>
      <w:proofErr w:type="spellStart"/>
      <w:r w:rsidRPr="00DA42F5">
        <w:rPr>
          <w:rFonts w:cs="Times New Roman"/>
          <w:szCs w:val="24"/>
        </w:rPr>
        <w:t>NextSeq</w:t>
      </w:r>
      <w:proofErr w:type="spellEnd"/>
      <w:r w:rsidRPr="00DA42F5">
        <w:rPr>
          <w:rFonts w:cs="Times New Roman"/>
          <w:szCs w:val="24"/>
        </w:rPr>
        <w:t xml:space="preserve"> platform (2 × 300 cycles) or, where specified, on the Illumina </w:t>
      </w:r>
      <w:proofErr w:type="spellStart"/>
      <w:r w:rsidRPr="00DA42F5">
        <w:rPr>
          <w:rFonts w:cs="Times New Roman"/>
          <w:szCs w:val="24"/>
        </w:rPr>
        <w:t>MiSeq</w:t>
      </w:r>
      <w:proofErr w:type="spellEnd"/>
      <w:r w:rsidRPr="00DA42F5">
        <w:rPr>
          <w:rFonts w:cs="Times New Roman"/>
          <w:szCs w:val="24"/>
        </w:rPr>
        <w:t xml:space="preserve"> platform with the </w:t>
      </w:r>
      <w:proofErr w:type="spellStart"/>
      <w:r w:rsidRPr="00DA42F5">
        <w:rPr>
          <w:rFonts w:cs="Times New Roman"/>
          <w:szCs w:val="24"/>
        </w:rPr>
        <w:t>MiSeq</w:t>
      </w:r>
      <w:proofErr w:type="spellEnd"/>
      <w:r w:rsidRPr="00DA42F5">
        <w:rPr>
          <w:rFonts w:cs="Times New Roman"/>
          <w:szCs w:val="24"/>
        </w:rPr>
        <w:t xml:space="preserve"> Reagent Kit </w:t>
      </w:r>
      <w:proofErr w:type="spellStart"/>
      <w:r w:rsidRPr="00DA42F5">
        <w:rPr>
          <w:rFonts w:cs="Times New Roman"/>
          <w:szCs w:val="24"/>
        </w:rPr>
        <w:t>V3</w:t>
      </w:r>
      <w:proofErr w:type="spellEnd"/>
      <w:r w:rsidRPr="00DA42F5">
        <w:rPr>
          <w:rFonts w:cs="Times New Roman"/>
          <w:szCs w:val="24"/>
        </w:rPr>
        <w:t xml:space="preserve"> (2 × 300 cycles).</w:t>
      </w:r>
    </w:p>
    <w:p w14:paraId="4D1F806D" w14:textId="77777777" w:rsidR="00B11A96" w:rsidRPr="00DA42F5" w:rsidRDefault="00B11A96" w:rsidP="00CD77AB">
      <w:pPr>
        <w:rPr>
          <w:rFonts w:cs="Times New Roman"/>
          <w:szCs w:val="24"/>
        </w:rPr>
      </w:pPr>
    </w:p>
    <w:p w14:paraId="5981851E" w14:textId="6B33D07E" w:rsidR="00573083" w:rsidRPr="00DA42F5" w:rsidRDefault="00573083" w:rsidP="00221812">
      <w:pPr>
        <w:pStyle w:val="Heading3"/>
        <w:numPr>
          <w:ilvl w:val="2"/>
          <w:numId w:val="26"/>
        </w:numPr>
      </w:pPr>
      <w:bookmarkStart w:id="77" w:name="_Toc212712203"/>
      <w:bookmarkStart w:id="78" w:name="_Toc216099720"/>
      <w:bookmarkStart w:id="79" w:name="_Toc220591371"/>
      <w:r w:rsidRPr="00DA42F5">
        <w:t>Shotgun metagenomic sequencing</w:t>
      </w:r>
      <w:bookmarkEnd w:id="76"/>
      <w:bookmarkEnd w:id="77"/>
      <w:r w:rsidRPr="00DA42F5">
        <w:t xml:space="preserve"> </w:t>
      </w:r>
      <w:r w:rsidR="000B4DCB" w:rsidRPr="00DA42F5">
        <w:t>of microbiota and sporobiota</w:t>
      </w:r>
      <w:bookmarkEnd w:id="78"/>
      <w:bookmarkEnd w:id="79"/>
    </w:p>
    <w:p w14:paraId="5A74E891" w14:textId="38069967" w:rsidR="009114E3" w:rsidRPr="00DA42F5" w:rsidRDefault="009D4C3B" w:rsidP="00CD77AB">
      <w:pPr>
        <w:rPr>
          <w:rFonts w:cs="Times New Roman"/>
          <w:szCs w:val="24"/>
        </w:rPr>
      </w:pPr>
      <w:r w:rsidRPr="00DA42F5">
        <w:rPr>
          <w:rFonts w:cs="Times New Roman"/>
          <w:szCs w:val="24"/>
        </w:rPr>
        <w:t xml:space="preserve">Shotgun metagenomic sequencing was </w:t>
      </w:r>
      <w:r w:rsidR="00306439" w:rsidRPr="00DA42F5">
        <w:rPr>
          <w:rFonts w:cs="Times New Roman"/>
          <w:szCs w:val="24"/>
        </w:rPr>
        <w:t xml:space="preserve">outsourced and </w:t>
      </w:r>
      <w:r w:rsidRPr="00DA42F5">
        <w:rPr>
          <w:rFonts w:cs="Times New Roman"/>
          <w:szCs w:val="24"/>
        </w:rPr>
        <w:t xml:space="preserve">performed on the </w:t>
      </w:r>
      <w:proofErr w:type="spellStart"/>
      <w:r w:rsidRPr="00DA42F5">
        <w:rPr>
          <w:rFonts w:cs="Times New Roman"/>
          <w:szCs w:val="24"/>
        </w:rPr>
        <w:t>BGI</w:t>
      </w:r>
      <w:proofErr w:type="spellEnd"/>
      <w:r w:rsidRPr="00DA42F5">
        <w:rPr>
          <w:rFonts w:cs="Times New Roman"/>
          <w:szCs w:val="24"/>
        </w:rPr>
        <w:t xml:space="preserve"> </w:t>
      </w:r>
      <w:proofErr w:type="spellStart"/>
      <w:r w:rsidRPr="00DA42F5">
        <w:rPr>
          <w:rFonts w:cs="Times New Roman"/>
          <w:szCs w:val="24"/>
        </w:rPr>
        <w:t>DNBSeq</w:t>
      </w:r>
      <w:proofErr w:type="spellEnd"/>
      <w:r w:rsidRPr="00DA42F5">
        <w:rPr>
          <w:rFonts w:cs="Times New Roman"/>
          <w:szCs w:val="24"/>
        </w:rPr>
        <w:t xml:space="preserve"> sequencing platform (</w:t>
      </w:r>
      <w:proofErr w:type="spellStart"/>
      <w:r w:rsidRPr="00DA42F5">
        <w:rPr>
          <w:rFonts w:cs="Times New Roman"/>
          <w:szCs w:val="24"/>
        </w:rPr>
        <w:t>BGI</w:t>
      </w:r>
      <w:proofErr w:type="spellEnd"/>
      <w:r w:rsidRPr="00DA42F5">
        <w:rPr>
          <w:rFonts w:cs="Times New Roman"/>
          <w:szCs w:val="24"/>
        </w:rPr>
        <w:t xml:space="preserve">, Hong Kong). The initial steps involved enzymatic tagmentation to fragment DNA for microbiota samples, while for sporobiota samples, fragmentation was unnecessary as the DNA was already fragmented. Fragments between 200 and 400 base pairs were selected using </w:t>
      </w:r>
      <w:proofErr w:type="spellStart"/>
      <w:r w:rsidRPr="00DA42F5">
        <w:rPr>
          <w:rFonts w:cs="Times New Roman"/>
          <w:szCs w:val="24"/>
        </w:rPr>
        <w:t>MGIEasy</w:t>
      </w:r>
      <w:proofErr w:type="spellEnd"/>
      <w:r w:rsidRPr="00DA42F5">
        <w:rPr>
          <w:rFonts w:cs="Times New Roman"/>
          <w:szCs w:val="24"/>
        </w:rPr>
        <w:t xml:space="preserve"> DNA Clean Beads (</w:t>
      </w:r>
      <w:proofErr w:type="spellStart"/>
      <w:r w:rsidRPr="00DA42F5">
        <w:rPr>
          <w:rFonts w:cs="Times New Roman"/>
          <w:szCs w:val="24"/>
        </w:rPr>
        <w:t>MGI</w:t>
      </w:r>
      <w:proofErr w:type="spellEnd"/>
      <w:r w:rsidRPr="00DA42F5">
        <w:rPr>
          <w:rFonts w:cs="Times New Roman"/>
          <w:szCs w:val="24"/>
        </w:rPr>
        <w:t xml:space="preserve">, Hong Kong). The 3’ ends were then repaired by adenylation, and adapters were ligated to the DNA fragments. DNA fragments were amplified by PCR and purified using </w:t>
      </w:r>
      <w:proofErr w:type="spellStart"/>
      <w:r w:rsidRPr="00DA42F5">
        <w:rPr>
          <w:rFonts w:cs="Times New Roman"/>
          <w:szCs w:val="24"/>
        </w:rPr>
        <w:t>MGIEasy</w:t>
      </w:r>
      <w:proofErr w:type="spellEnd"/>
      <w:r w:rsidRPr="00DA42F5">
        <w:rPr>
          <w:rFonts w:cs="Times New Roman"/>
          <w:szCs w:val="24"/>
        </w:rPr>
        <w:t xml:space="preserve"> DNA Clean Beads (</w:t>
      </w:r>
      <w:proofErr w:type="spellStart"/>
      <w:r w:rsidRPr="00DA42F5">
        <w:rPr>
          <w:rFonts w:cs="Times New Roman"/>
          <w:szCs w:val="24"/>
        </w:rPr>
        <w:t>MGI</w:t>
      </w:r>
      <w:proofErr w:type="spellEnd"/>
      <w:r w:rsidRPr="00DA42F5">
        <w:rPr>
          <w:rFonts w:cs="Times New Roman"/>
          <w:szCs w:val="24"/>
        </w:rPr>
        <w:t>, Hong Kong). The purified PCR products were denatured and circularised using a splint oligo sequence. The resulting single-stranded circular DNA (</w:t>
      </w:r>
      <w:proofErr w:type="spellStart"/>
      <w:r w:rsidRPr="00DA42F5">
        <w:rPr>
          <w:rFonts w:cs="Times New Roman"/>
          <w:szCs w:val="24"/>
        </w:rPr>
        <w:t>ssCir</w:t>
      </w:r>
      <w:proofErr w:type="spellEnd"/>
      <w:r w:rsidRPr="00DA42F5">
        <w:rPr>
          <w:rFonts w:cs="Times New Roman"/>
          <w:szCs w:val="24"/>
        </w:rPr>
        <w:t xml:space="preserve"> DNA) constituted the final library. Any non-circularised DNA was digested, and library concentration was measured, libraries with concentrations above 1 ng/µl were selected for sequencing. Each library was further amplified using </w:t>
      </w:r>
      <w:proofErr w:type="spellStart"/>
      <w:r w:rsidRPr="00DA42F5">
        <w:rPr>
          <w:rFonts w:cs="Times New Roman"/>
          <w:szCs w:val="24"/>
        </w:rPr>
        <w:t>Phi29</w:t>
      </w:r>
      <w:proofErr w:type="spellEnd"/>
      <w:r w:rsidRPr="00DA42F5">
        <w:rPr>
          <w:rFonts w:cs="Times New Roman"/>
          <w:szCs w:val="24"/>
        </w:rPr>
        <w:t xml:space="preserve"> DNA polymerase to generate DNA nanoballs (DNBs), each containing over 300 copies of a single molecular entity. These DNBs were loaded onto a patterned </w:t>
      </w:r>
      <w:proofErr w:type="gramStart"/>
      <w:r w:rsidR="00DA42F5" w:rsidRPr="00DA42F5">
        <w:rPr>
          <w:rFonts w:cs="Times New Roman"/>
          <w:szCs w:val="24"/>
        </w:rPr>
        <w:t>nanoarray</w:t>
      </w:r>
      <w:proofErr w:type="gramEnd"/>
      <w:r w:rsidR="00717053">
        <w:rPr>
          <w:rFonts w:cs="Times New Roman"/>
          <w:szCs w:val="24"/>
        </w:rPr>
        <w:t xml:space="preserve"> </w:t>
      </w:r>
      <w:r w:rsidR="00DA42F5" w:rsidRPr="00DA42F5">
        <w:rPr>
          <w:rFonts w:cs="Times New Roman"/>
          <w:szCs w:val="24"/>
        </w:rPr>
        <w:t>and</w:t>
      </w:r>
      <w:r w:rsidRPr="00DA42F5">
        <w:rPr>
          <w:rFonts w:cs="Times New Roman"/>
          <w:szCs w:val="24"/>
        </w:rPr>
        <w:t xml:space="preserve"> paired-end reads of 150 bases were generated. </w:t>
      </w:r>
    </w:p>
    <w:p w14:paraId="3C1534BD" w14:textId="77777777" w:rsidR="00173621" w:rsidRPr="00DA42F5" w:rsidRDefault="00173621" w:rsidP="00CD77AB">
      <w:pPr>
        <w:rPr>
          <w:rFonts w:cs="Times New Roman"/>
          <w:szCs w:val="24"/>
        </w:rPr>
      </w:pPr>
      <w:bookmarkStart w:id="80" w:name="_Toc184220092"/>
    </w:p>
    <w:p w14:paraId="1A0031EB" w14:textId="5AE5EB0F" w:rsidR="00D025AD" w:rsidRPr="00DA42F5" w:rsidRDefault="009540A4" w:rsidP="00221812">
      <w:pPr>
        <w:pStyle w:val="Heading3"/>
        <w:numPr>
          <w:ilvl w:val="2"/>
          <w:numId w:val="26"/>
        </w:numPr>
      </w:pPr>
      <w:bookmarkStart w:id="81" w:name="_Toc212712204"/>
      <w:bookmarkStart w:id="82" w:name="_Toc216099721"/>
      <w:bookmarkStart w:id="83" w:name="_Toc220591372"/>
      <w:r w:rsidRPr="00DA42F5">
        <w:lastRenderedPageBreak/>
        <w:t>Whole-genome sequencing using Illumina short</w:t>
      </w:r>
      <w:r w:rsidR="00D025AD" w:rsidRPr="00DA42F5">
        <w:t>-</w:t>
      </w:r>
      <w:r w:rsidRPr="00DA42F5">
        <w:t>read technology</w:t>
      </w:r>
      <w:bookmarkEnd w:id="81"/>
      <w:bookmarkEnd w:id="82"/>
      <w:bookmarkEnd w:id="83"/>
    </w:p>
    <w:p w14:paraId="51DA4C5E" w14:textId="10B09F40" w:rsidR="00945370" w:rsidRPr="00DA42F5" w:rsidRDefault="00227E0D" w:rsidP="00CD77AB">
      <w:pPr>
        <w:rPr>
          <w:rFonts w:cs="Times New Roman"/>
          <w:szCs w:val="24"/>
        </w:rPr>
      </w:pPr>
      <w:commentRangeStart w:id="84"/>
      <w:r w:rsidRPr="00DA42F5">
        <w:rPr>
          <w:rFonts w:cs="Times New Roman"/>
          <w:szCs w:val="24"/>
        </w:rPr>
        <w:t xml:space="preserve">Libraries </w:t>
      </w:r>
      <w:r w:rsidR="0002799D" w:rsidRPr="00DA42F5">
        <w:rPr>
          <w:rFonts w:cs="Times New Roman"/>
          <w:szCs w:val="24"/>
        </w:rPr>
        <w:t xml:space="preserve">for </w:t>
      </w:r>
      <w:r w:rsidR="009D4C3B" w:rsidRPr="00DA42F5">
        <w:rPr>
          <w:rFonts w:cs="Times New Roman"/>
          <w:szCs w:val="24"/>
        </w:rPr>
        <w:t xml:space="preserve">whole-genome </w:t>
      </w:r>
      <w:r w:rsidRPr="00DA42F5">
        <w:rPr>
          <w:rFonts w:cs="Times New Roman"/>
          <w:szCs w:val="24"/>
        </w:rPr>
        <w:t>sequencing of individual strains were</w:t>
      </w:r>
      <w:r w:rsidR="009D4C3B" w:rsidRPr="00DA42F5">
        <w:rPr>
          <w:rFonts w:cs="Times New Roman"/>
          <w:szCs w:val="24"/>
        </w:rPr>
        <w:t xml:space="preserve"> prepared </w:t>
      </w:r>
      <w:commentRangeEnd w:id="84"/>
      <w:r w:rsidRPr="00DA42F5">
        <w:rPr>
          <w:rStyle w:val="CommentReference"/>
        </w:rPr>
        <w:commentReference w:id="84"/>
      </w:r>
      <w:r w:rsidR="009D4C3B" w:rsidRPr="00DA42F5">
        <w:rPr>
          <w:rFonts w:cs="Times New Roman"/>
          <w:szCs w:val="24"/>
        </w:rPr>
        <w:t xml:space="preserve">using the </w:t>
      </w:r>
      <w:proofErr w:type="spellStart"/>
      <w:r w:rsidR="009D4C3B" w:rsidRPr="00DA42F5">
        <w:rPr>
          <w:rFonts w:cs="Times New Roman"/>
          <w:szCs w:val="24"/>
        </w:rPr>
        <w:t>NEBNext</w:t>
      </w:r>
      <w:proofErr w:type="spellEnd"/>
      <w:r w:rsidR="009D4C3B" w:rsidRPr="00DA42F5">
        <w:rPr>
          <w:rFonts w:cs="Times New Roman"/>
          <w:szCs w:val="24"/>
        </w:rPr>
        <w:t xml:space="preserve"> Ultra II FS DNA Library Prep Kit for Illumina (New England Biolabs, UK) according to the manufacturer’s instructions (Supplement Table 4</w:t>
      </w:r>
      <w:r w:rsidR="00032A34" w:rsidRPr="00DA42F5">
        <w:rPr>
          <w:rFonts w:cs="Times New Roman"/>
          <w:szCs w:val="24"/>
        </w:rPr>
        <w:t>, 5</w:t>
      </w:r>
      <w:r w:rsidR="009D4C3B" w:rsidRPr="00DA42F5">
        <w:rPr>
          <w:rFonts w:cs="Times New Roman"/>
          <w:szCs w:val="24"/>
        </w:rPr>
        <w:t xml:space="preserve">). Libraries were sequenced using 2 × 150 bp paired-end reads on the </w:t>
      </w:r>
      <w:proofErr w:type="spellStart"/>
      <w:r w:rsidR="009D4C3B" w:rsidRPr="00DA42F5">
        <w:rPr>
          <w:rFonts w:cs="Times New Roman"/>
          <w:szCs w:val="24"/>
        </w:rPr>
        <w:t>NextSeq2000</w:t>
      </w:r>
      <w:proofErr w:type="spellEnd"/>
      <w:r w:rsidR="009D4C3B" w:rsidRPr="00DA42F5">
        <w:rPr>
          <w:rFonts w:cs="Times New Roman"/>
          <w:szCs w:val="24"/>
        </w:rPr>
        <w:t xml:space="preserve"> platform (Illumina, USA).</w:t>
      </w:r>
    </w:p>
    <w:p w14:paraId="523CB162" w14:textId="77777777" w:rsidR="0002799D" w:rsidRPr="00DA42F5" w:rsidRDefault="0002799D" w:rsidP="00CD77AB">
      <w:pPr>
        <w:rPr>
          <w:rFonts w:cs="Times New Roman"/>
          <w:szCs w:val="24"/>
        </w:rPr>
      </w:pPr>
    </w:p>
    <w:p w14:paraId="5E299D5C" w14:textId="5A86A386" w:rsidR="0002799D" w:rsidRPr="00DA42F5" w:rsidRDefault="0002799D" w:rsidP="0002799D">
      <w:pPr>
        <w:pStyle w:val="Heading3"/>
        <w:numPr>
          <w:ilvl w:val="0"/>
          <w:numId w:val="0"/>
        </w:numPr>
        <w:ind w:left="720" w:hanging="720"/>
      </w:pPr>
      <w:bookmarkStart w:id="85" w:name="_Toc216099722"/>
      <w:bookmarkStart w:id="86" w:name="_Toc220591373"/>
      <w:r w:rsidRPr="00DA42F5">
        <w:t>3.5.4 Whole-genome sequencing using Oxford Nanopore Technologies long-read technology</w:t>
      </w:r>
      <w:bookmarkEnd w:id="85"/>
      <w:bookmarkEnd w:id="86"/>
    </w:p>
    <w:bookmarkEnd w:id="80"/>
    <w:p w14:paraId="53A92E9E" w14:textId="3BDA8C8E" w:rsidR="00D025AD" w:rsidRPr="00DA42F5" w:rsidRDefault="00227E0D" w:rsidP="00CD77AB">
      <w:pPr>
        <w:rPr>
          <w:rFonts w:cs="Times New Roman"/>
          <w:szCs w:val="24"/>
        </w:rPr>
      </w:pPr>
      <w:r w:rsidRPr="00DA42F5">
        <w:rPr>
          <w:rFonts w:cs="Times New Roman"/>
          <w:szCs w:val="24"/>
        </w:rPr>
        <w:t xml:space="preserve">Within </w:t>
      </w:r>
      <w:r w:rsidRPr="00DA42F5">
        <w:rPr>
          <w:rFonts w:cs="Times New Roman"/>
          <w:i/>
          <w:iCs/>
          <w:szCs w:val="24"/>
        </w:rPr>
        <w:t>Clostridium saudiense</w:t>
      </w:r>
      <w:r w:rsidRPr="00DA42F5">
        <w:rPr>
          <w:rFonts w:cs="Times New Roman"/>
          <w:szCs w:val="24"/>
        </w:rPr>
        <w:t xml:space="preserve"> analysis f</w:t>
      </w:r>
      <w:r w:rsidR="009D4C3B" w:rsidRPr="00DA42F5">
        <w:rPr>
          <w:rFonts w:cs="Times New Roman"/>
          <w:szCs w:val="24"/>
        </w:rPr>
        <w:t>ive selected isolate</w:t>
      </w:r>
      <w:r w:rsidR="00032A34" w:rsidRPr="00DA42F5">
        <w:rPr>
          <w:rFonts w:cs="Times New Roman"/>
          <w:szCs w:val="24"/>
        </w:rPr>
        <w:t xml:space="preserve">s, </w:t>
      </w:r>
      <w:r w:rsidR="009D4C3B" w:rsidRPr="00DA42F5">
        <w:rPr>
          <w:rFonts w:cs="Times New Roman"/>
          <w:szCs w:val="24"/>
        </w:rPr>
        <w:t xml:space="preserve">representing each strain group based on ANI </w:t>
      </w:r>
      <w:r w:rsidR="00032A34" w:rsidRPr="00DA42F5">
        <w:rPr>
          <w:rFonts w:cs="Times New Roman"/>
          <w:szCs w:val="24"/>
        </w:rPr>
        <w:t>score and core SNPs, were chosen based on containing the</w:t>
      </w:r>
      <w:r w:rsidR="009D4C3B" w:rsidRPr="00DA42F5">
        <w:rPr>
          <w:rFonts w:cs="Times New Roman"/>
          <w:szCs w:val="24"/>
        </w:rPr>
        <w:t xml:space="preserve"> highest number of reads and lowest number of contigs. </w:t>
      </w:r>
      <w:r w:rsidR="00133BF6" w:rsidRPr="00DA42F5">
        <w:rPr>
          <w:rFonts w:cs="Times New Roman"/>
          <w:szCs w:val="24"/>
        </w:rPr>
        <w:t>L</w:t>
      </w:r>
      <w:r w:rsidR="009D4C3B" w:rsidRPr="00DA42F5">
        <w:rPr>
          <w:rFonts w:cs="Times New Roman"/>
          <w:szCs w:val="24"/>
        </w:rPr>
        <w:t xml:space="preserve">ibraries were prepared using the Rapid Barcoding Kit 24 </w:t>
      </w:r>
      <w:proofErr w:type="spellStart"/>
      <w:r w:rsidR="009D4C3B" w:rsidRPr="00DA42F5">
        <w:rPr>
          <w:rFonts w:cs="Times New Roman"/>
          <w:szCs w:val="24"/>
        </w:rPr>
        <w:t>SQK-RBK114.24</w:t>
      </w:r>
      <w:proofErr w:type="spellEnd"/>
      <w:r w:rsidR="009D4C3B" w:rsidRPr="00DA42F5">
        <w:rPr>
          <w:rFonts w:cs="Times New Roman"/>
          <w:szCs w:val="24"/>
        </w:rPr>
        <w:t xml:space="preserve"> </w:t>
      </w:r>
      <w:r w:rsidR="00032A34" w:rsidRPr="00DA42F5">
        <w:rPr>
          <w:rFonts w:cs="Times New Roman"/>
          <w:szCs w:val="24"/>
        </w:rPr>
        <w:t xml:space="preserve">(Oxford Nanopore Technologies – ONT, UK) </w:t>
      </w:r>
      <w:r w:rsidR="009D4C3B" w:rsidRPr="00DA42F5">
        <w:rPr>
          <w:rFonts w:cs="Times New Roman"/>
          <w:szCs w:val="24"/>
        </w:rPr>
        <w:t xml:space="preserve">and sequenced on </w:t>
      </w:r>
      <w:proofErr w:type="spellStart"/>
      <w:r w:rsidR="009D4C3B" w:rsidRPr="00DA42F5">
        <w:rPr>
          <w:rFonts w:cs="Times New Roman"/>
          <w:szCs w:val="24"/>
        </w:rPr>
        <w:t>R10.4.1</w:t>
      </w:r>
      <w:proofErr w:type="spellEnd"/>
      <w:r w:rsidR="009D4C3B" w:rsidRPr="00DA42F5">
        <w:rPr>
          <w:rFonts w:cs="Times New Roman"/>
          <w:szCs w:val="24"/>
        </w:rPr>
        <w:t xml:space="preserve"> flow cells for 48 hours (Supplement Table 4</w:t>
      </w:r>
      <w:r w:rsidR="00032A34" w:rsidRPr="00DA42F5">
        <w:rPr>
          <w:rFonts w:cs="Times New Roman"/>
          <w:szCs w:val="24"/>
        </w:rPr>
        <w:t>, 5</w:t>
      </w:r>
      <w:r w:rsidR="009D4C3B" w:rsidRPr="00DA42F5">
        <w:rPr>
          <w:rFonts w:cs="Times New Roman"/>
          <w:szCs w:val="24"/>
        </w:rPr>
        <w:t>)</w:t>
      </w:r>
      <w:r w:rsidR="00032A34" w:rsidRPr="00DA42F5">
        <w:rPr>
          <w:rFonts w:cs="Times New Roman"/>
          <w:szCs w:val="24"/>
        </w:rPr>
        <w:t xml:space="preserve"> on </w:t>
      </w:r>
      <w:proofErr w:type="spellStart"/>
      <w:r w:rsidR="00032A34" w:rsidRPr="00DA42F5">
        <w:rPr>
          <w:rFonts w:cs="Times New Roman"/>
          <w:szCs w:val="24"/>
        </w:rPr>
        <w:t>MinION</w:t>
      </w:r>
      <w:proofErr w:type="spellEnd"/>
      <w:r w:rsidR="00032A34" w:rsidRPr="00DA42F5">
        <w:rPr>
          <w:rFonts w:cs="Times New Roman"/>
          <w:szCs w:val="24"/>
        </w:rPr>
        <w:t xml:space="preserve"> platform (ONT, UK)</w:t>
      </w:r>
      <w:r w:rsidR="009D4C3B" w:rsidRPr="00DA42F5">
        <w:rPr>
          <w:rFonts w:cs="Times New Roman"/>
          <w:szCs w:val="24"/>
        </w:rPr>
        <w:t xml:space="preserve">. </w:t>
      </w:r>
    </w:p>
    <w:p w14:paraId="26D9D98C" w14:textId="77777777" w:rsidR="00DA42F5" w:rsidRPr="00DA42F5" w:rsidRDefault="00DA42F5" w:rsidP="00CD77AB">
      <w:pPr>
        <w:rPr>
          <w:rFonts w:cs="Times New Roman"/>
          <w:szCs w:val="24"/>
        </w:rPr>
      </w:pPr>
    </w:p>
    <w:p w14:paraId="57C6B3AA" w14:textId="105398DF" w:rsidR="007B36A5" w:rsidRPr="00DA42F5" w:rsidRDefault="00173621" w:rsidP="00221812">
      <w:pPr>
        <w:pStyle w:val="Heading2"/>
        <w:numPr>
          <w:ilvl w:val="1"/>
          <w:numId w:val="26"/>
        </w:numPr>
      </w:pPr>
      <w:bookmarkStart w:id="87" w:name="_Toc212712205"/>
      <w:bookmarkStart w:id="88" w:name="_Toc216099723"/>
      <w:bookmarkStart w:id="89" w:name="_Toc220591374"/>
      <w:r w:rsidRPr="00DA42F5">
        <w:t>DATA ANALYSIS</w:t>
      </w:r>
      <w:bookmarkEnd w:id="87"/>
      <w:bookmarkEnd w:id="88"/>
      <w:bookmarkEnd w:id="89"/>
      <w:r w:rsidRPr="00DA42F5">
        <w:t xml:space="preserve"> </w:t>
      </w:r>
    </w:p>
    <w:p w14:paraId="53380AC3" w14:textId="25CFD179" w:rsidR="00D025AD" w:rsidRPr="00DA42F5" w:rsidRDefault="00A95361" w:rsidP="00CD77AB">
      <w:pPr>
        <w:rPr>
          <w:rFonts w:cs="Times New Roman"/>
          <w:szCs w:val="24"/>
        </w:rPr>
      </w:pPr>
      <w:commentRangeStart w:id="90"/>
      <w:r w:rsidRPr="00DA42F5">
        <w:rPr>
          <w:rFonts w:cs="Times New Roman"/>
          <w:szCs w:val="24"/>
        </w:rPr>
        <w:t xml:space="preserve">All code used to carry out the analysis presented along with notes showing command runs is available at: </w:t>
      </w:r>
      <w:hyperlink r:id="rId13" w:history="1">
        <w:r w:rsidR="005834B8" w:rsidRPr="00DA42F5">
          <w:rPr>
            <w:rStyle w:val="Hyperlink"/>
            <w:rFonts w:cs="Times New Roman"/>
            <w:szCs w:val="24"/>
          </w:rPr>
          <w:t>https://</w:t>
        </w:r>
        <w:proofErr w:type="spellStart"/>
        <w:r w:rsidR="005834B8" w:rsidRPr="00DA42F5">
          <w:rPr>
            <w:rStyle w:val="Hyperlink"/>
            <w:rFonts w:cs="Times New Roman"/>
            <w:szCs w:val="24"/>
          </w:rPr>
          <w:t>github.com</w:t>
        </w:r>
        <w:proofErr w:type="spellEnd"/>
        <w:r w:rsidR="005834B8" w:rsidRPr="00DA42F5">
          <w:rPr>
            <w:rStyle w:val="Hyperlink"/>
            <w:rFonts w:cs="Times New Roman"/>
            <w:szCs w:val="24"/>
          </w:rPr>
          <w:t>/</w:t>
        </w:r>
        <w:proofErr w:type="spellStart"/>
        <w:r w:rsidR="005834B8" w:rsidRPr="00DA42F5">
          <w:rPr>
            <w:rStyle w:val="Hyperlink"/>
            <w:rFonts w:cs="Times New Roman"/>
            <w:szCs w:val="24"/>
          </w:rPr>
          <w:t>ursamiklavcic</w:t>
        </w:r>
        <w:proofErr w:type="spellEnd"/>
        <w:r w:rsidR="005834B8" w:rsidRPr="00DA42F5">
          <w:rPr>
            <w:rStyle w:val="Hyperlink"/>
            <w:rFonts w:cs="Times New Roman"/>
            <w:szCs w:val="24"/>
          </w:rPr>
          <w:t>/PhD</w:t>
        </w:r>
      </w:hyperlink>
      <w:r w:rsidRPr="00DA42F5">
        <w:rPr>
          <w:rFonts w:cs="Times New Roman"/>
          <w:szCs w:val="24"/>
        </w:rPr>
        <w:t xml:space="preserve">, with sub-folders for </w:t>
      </w:r>
      <w:r w:rsidR="005834B8" w:rsidRPr="00DA42F5">
        <w:rPr>
          <w:rFonts w:cs="Times New Roman"/>
          <w:szCs w:val="24"/>
        </w:rPr>
        <w:t xml:space="preserve">each </w:t>
      </w:r>
      <w:r w:rsidR="00032A34" w:rsidRPr="00DA42F5">
        <w:rPr>
          <w:rFonts w:cs="Times New Roman"/>
          <w:szCs w:val="24"/>
        </w:rPr>
        <w:t>type of analysis</w:t>
      </w:r>
      <w:r w:rsidRPr="00DA42F5">
        <w:rPr>
          <w:rFonts w:cs="Times New Roman"/>
          <w:szCs w:val="24"/>
        </w:rPr>
        <w:t>.</w:t>
      </w:r>
      <w:bookmarkStart w:id="91" w:name="_Toc184220091"/>
      <w:commentRangeEnd w:id="90"/>
      <w:r w:rsidR="00BB6D0F" w:rsidRPr="00DA42F5">
        <w:rPr>
          <w:rStyle w:val="CommentReference"/>
        </w:rPr>
        <w:commentReference w:id="90"/>
      </w:r>
    </w:p>
    <w:p w14:paraId="0FBAEDAB" w14:textId="77777777" w:rsidR="00173621" w:rsidRPr="00DA42F5" w:rsidRDefault="00173621" w:rsidP="00CD77AB">
      <w:pPr>
        <w:rPr>
          <w:rFonts w:cs="Times New Roman"/>
          <w:szCs w:val="24"/>
        </w:rPr>
      </w:pPr>
    </w:p>
    <w:p w14:paraId="4AE9DF28" w14:textId="7CA146CF" w:rsidR="00D025AD" w:rsidRPr="00DA42F5" w:rsidRDefault="0024637F" w:rsidP="00221812">
      <w:pPr>
        <w:pStyle w:val="Heading3"/>
        <w:numPr>
          <w:ilvl w:val="2"/>
          <w:numId w:val="26"/>
        </w:numPr>
      </w:pPr>
      <w:bookmarkStart w:id="92" w:name="_Toc212712206"/>
      <w:bookmarkStart w:id="93" w:name="_Toc216099724"/>
      <w:bookmarkStart w:id="94" w:name="_Toc220591375"/>
      <w:r w:rsidRPr="00DA42F5">
        <w:t xml:space="preserve">Amplicon </w:t>
      </w:r>
      <w:r w:rsidR="00032A34" w:rsidRPr="00DA42F5">
        <w:t>data</w:t>
      </w:r>
      <w:r w:rsidRPr="00DA42F5">
        <w:t xml:space="preserve"> </w:t>
      </w:r>
      <w:bookmarkEnd w:id="91"/>
      <w:r w:rsidRPr="00DA42F5">
        <w:t>analysis</w:t>
      </w:r>
      <w:bookmarkEnd w:id="92"/>
      <w:bookmarkEnd w:id="93"/>
      <w:bookmarkEnd w:id="94"/>
    </w:p>
    <w:p w14:paraId="7E532E45" w14:textId="28D13306" w:rsidR="004C54E4" w:rsidRPr="00DA42F5" w:rsidRDefault="004C54E4" w:rsidP="00221812">
      <w:pPr>
        <w:pStyle w:val="Heading4"/>
        <w:numPr>
          <w:ilvl w:val="3"/>
          <w:numId w:val="26"/>
        </w:numPr>
      </w:pPr>
      <w:bookmarkStart w:id="95" w:name="_Toc216099725"/>
      <w:bookmarkStart w:id="96" w:name="_Toc220591376"/>
      <w:r w:rsidRPr="00DA42F5">
        <w:t>Preprocessing</w:t>
      </w:r>
      <w:bookmarkEnd w:id="95"/>
      <w:bookmarkEnd w:id="96"/>
      <w:r w:rsidRPr="00DA42F5">
        <w:t xml:space="preserve"> </w:t>
      </w:r>
    </w:p>
    <w:p w14:paraId="39BB62A1" w14:textId="45FEA07C" w:rsidR="00D025AD" w:rsidRPr="00DA42F5" w:rsidRDefault="004C54E4" w:rsidP="00CD77AB">
      <w:pPr>
        <w:rPr>
          <w:rFonts w:cs="Times New Roman"/>
          <w:szCs w:val="24"/>
        </w:rPr>
      </w:pPr>
      <w:r w:rsidRPr="00DA42F5">
        <w:rPr>
          <w:rFonts w:cs="Times New Roman"/>
          <w:szCs w:val="24"/>
        </w:rPr>
        <w:t xml:space="preserve">Sequenced reads were processed and binned in </w:t>
      </w:r>
      <w:proofErr w:type="spellStart"/>
      <w:r w:rsidRPr="00DA42F5">
        <w:rPr>
          <w:rFonts w:cs="Times New Roman"/>
          <w:szCs w:val="24"/>
        </w:rPr>
        <w:t>mothur</w:t>
      </w:r>
      <w:proofErr w:type="spellEnd"/>
      <w:r w:rsidRPr="00DA42F5">
        <w:rPr>
          <w:rFonts w:cs="Times New Roman"/>
          <w:szCs w:val="24"/>
        </w:rPr>
        <w:t xml:space="preserve"> </w:t>
      </w:r>
      <w:proofErr w:type="spellStart"/>
      <w:r w:rsidRPr="00DA42F5">
        <w:rPr>
          <w:rFonts w:cs="Times New Roman"/>
          <w:szCs w:val="24"/>
        </w:rPr>
        <w:t>v.1.48.0</w:t>
      </w:r>
      <w:proofErr w:type="spellEnd"/>
      <w:r w:rsidR="00D025AD" w:rsidRPr="00DA42F5">
        <w:rPr>
          <w:rFonts w:cs="Times New Roman"/>
          <w:szCs w:val="24"/>
        </w:rPr>
        <w:t>,</w:t>
      </w:r>
      <w:r w:rsidRPr="00DA42F5">
        <w:rPr>
          <w:rFonts w:cs="Times New Roman"/>
          <w:szCs w:val="24"/>
        </w:rPr>
        <w:t xml:space="preserve"> </w:t>
      </w:r>
      <w:r w:rsidR="0043153B" w:rsidRPr="00DA42F5">
        <w:rPr>
          <w:rFonts w:cs="Times New Roman"/>
          <w:szCs w:val="24"/>
        </w:rPr>
        <w:t>following</w:t>
      </w:r>
      <w:r w:rsidRPr="00DA42F5">
        <w:rPr>
          <w:rFonts w:cs="Times New Roman"/>
          <w:szCs w:val="24"/>
        </w:rPr>
        <w:t xml:space="preserve"> the </w:t>
      </w:r>
      <w:proofErr w:type="spellStart"/>
      <w:r w:rsidRPr="00DA42F5">
        <w:rPr>
          <w:rFonts w:cs="Times New Roman"/>
          <w:szCs w:val="24"/>
        </w:rPr>
        <w:t>MiSeq</w:t>
      </w:r>
      <w:proofErr w:type="spellEnd"/>
      <w:r w:rsidRPr="00DA42F5">
        <w:rPr>
          <w:rFonts w:cs="Times New Roman"/>
          <w:szCs w:val="24"/>
        </w:rPr>
        <w:t xml:space="preserve"> standard operating procedure for Illumina paired-end reads</w:t>
      </w:r>
      <w:r w:rsidR="0043153B" w:rsidRPr="00DA42F5">
        <w:rPr>
          <w:rFonts w:cs="Times New Roman"/>
          <w:szCs w:val="24"/>
        </w:rPr>
        <w:t xml:space="preserve"> </w:t>
      </w:r>
      <w:r w:rsidR="0043153B" w:rsidRPr="00DA42F5">
        <w:rPr>
          <w:rFonts w:cs="Times New Roman"/>
          <w:szCs w:val="24"/>
        </w:rPr>
        <w:fldChar w:fldCharType="begin"/>
      </w:r>
      <w:r w:rsidR="00494014">
        <w:rPr>
          <w:rFonts w:cs="Times New Roman"/>
          <w:szCs w:val="24"/>
        </w:rPr>
        <w:instrText xml:space="preserve"> ADDIN ZOTERO_ITEM CSL_CITATION {"citationID":"zVTkRGip","properties":{"formattedCitation":"(Schloss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Microbiol","language":"eng","page":"7537-7541","PMID":"19801464","PMCID":"PMC2786419","source":"PubMed","title":"Introducing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43153B" w:rsidRPr="00DA42F5">
        <w:rPr>
          <w:rFonts w:cs="Times New Roman"/>
          <w:szCs w:val="24"/>
        </w:rPr>
        <w:fldChar w:fldCharType="separate"/>
      </w:r>
      <w:r w:rsidR="0043153B" w:rsidRPr="00DA42F5">
        <w:rPr>
          <w:rFonts w:cs="Times New Roman"/>
        </w:rPr>
        <w:t>(Schloss et al., 2009)</w:t>
      </w:r>
      <w:r w:rsidR="0043153B" w:rsidRPr="00DA42F5">
        <w:rPr>
          <w:rFonts w:cs="Times New Roman"/>
          <w:szCs w:val="24"/>
        </w:rPr>
        <w:fldChar w:fldCharType="end"/>
      </w:r>
      <w:r w:rsidRPr="00DA42F5">
        <w:rPr>
          <w:rFonts w:cs="Times New Roman"/>
          <w:szCs w:val="24"/>
        </w:rPr>
        <w:t xml:space="preserve">. Reads were processed using the following criteria: </w:t>
      </w:r>
      <w:r w:rsidR="0043153B" w:rsidRPr="00DA42F5">
        <w:rPr>
          <w:rFonts w:cs="Times New Roman"/>
          <w:szCs w:val="24"/>
        </w:rPr>
        <w:t>no</w:t>
      </w:r>
      <w:r w:rsidRPr="00DA42F5">
        <w:rPr>
          <w:rFonts w:cs="Times New Roman"/>
          <w:szCs w:val="24"/>
        </w:rPr>
        <w:t xml:space="preserve"> ambiguous bases </w:t>
      </w:r>
      <w:r w:rsidR="0043153B" w:rsidRPr="00DA42F5">
        <w:rPr>
          <w:rFonts w:cs="Times New Roman"/>
          <w:szCs w:val="24"/>
        </w:rPr>
        <w:t>were allowed</w:t>
      </w:r>
      <w:r w:rsidR="00FB3B5F" w:rsidRPr="00DA42F5">
        <w:rPr>
          <w:rFonts w:cs="Times New Roman"/>
          <w:szCs w:val="24"/>
        </w:rPr>
        <w:t xml:space="preserve"> and </w:t>
      </w:r>
      <w:r w:rsidRPr="00DA42F5">
        <w:rPr>
          <w:rFonts w:cs="Times New Roman"/>
          <w:szCs w:val="24"/>
        </w:rPr>
        <w:t>the maximum homopolymer length was set to 8 base pairs (bp)</w:t>
      </w:r>
      <w:r w:rsidR="00032A34" w:rsidRPr="00DA42F5">
        <w:rPr>
          <w:rFonts w:cs="Times New Roman"/>
          <w:szCs w:val="24"/>
        </w:rPr>
        <w:t>, r</w:t>
      </w:r>
      <w:r w:rsidRPr="00DA42F5">
        <w:rPr>
          <w:rFonts w:cs="Times New Roman"/>
          <w:szCs w:val="24"/>
        </w:rPr>
        <w:t xml:space="preserve">eads were </w:t>
      </w:r>
      <w:r w:rsidR="00FB3B5F" w:rsidRPr="00DA42F5">
        <w:rPr>
          <w:rFonts w:cs="Times New Roman"/>
          <w:szCs w:val="24"/>
        </w:rPr>
        <w:t xml:space="preserve">then </w:t>
      </w:r>
      <w:r w:rsidRPr="00DA42F5">
        <w:rPr>
          <w:rFonts w:cs="Times New Roman"/>
          <w:szCs w:val="24"/>
        </w:rPr>
        <w:t>aligned against the Silva reference alignment (Release 128)</w:t>
      </w:r>
      <w:r w:rsidR="00FB3B5F" w:rsidRPr="00DA42F5">
        <w:rPr>
          <w:rFonts w:cs="Times New Roman"/>
          <w:szCs w:val="24"/>
        </w:rPr>
        <w:t>,</w:t>
      </w:r>
      <w:r w:rsidRPr="00DA42F5">
        <w:rPr>
          <w:rFonts w:cs="Times New Roman"/>
          <w:szCs w:val="24"/>
        </w:rPr>
        <w:t xml:space="preserve"> chimeras were identified using the </w:t>
      </w:r>
      <w:proofErr w:type="spellStart"/>
      <w:r w:rsidRPr="00DA42F5">
        <w:rPr>
          <w:rFonts w:cs="Times New Roman"/>
          <w:szCs w:val="24"/>
        </w:rPr>
        <w:t>UCHIME</w:t>
      </w:r>
      <w:proofErr w:type="spellEnd"/>
      <w:r w:rsidRPr="00DA42F5">
        <w:rPr>
          <w:rFonts w:cs="Times New Roman"/>
          <w:szCs w:val="24"/>
        </w:rPr>
        <w:t xml:space="preserve"> algorithm</w:t>
      </w:r>
      <w:r w:rsidR="0043153B" w:rsidRPr="00DA42F5">
        <w:rPr>
          <w:rFonts w:cs="Times New Roman"/>
          <w:szCs w:val="24"/>
        </w:rPr>
        <w:t xml:space="preserve">, </w:t>
      </w:r>
      <w:r w:rsidRPr="00DA42F5">
        <w:rPr>
          <w:rFonts w:cs="Times New Roman"/>
          <w:szCs w:val="24"/>
        </w:rPr>
        <w:t xml:space="preserve">reads </w:t>
      </w:r>
      <w:r w:rsidR="00FB3B5F" w:rsidRPr="00DA42F5">
        <w:rPr>
          <w:rFonts w:cs="Times New Roman"/>
          <w:szCs w:val="24"/>
        </w:rPr>
        <w:t xml:space="preserve">were classified </w:t>
      </w:r>
      <w:r w:rsidRPr="00DA42F5">
        <w:rPr>
          <w:rFonts w:cs="Times New Roman"/>
          <w:szCs w:val="24"/>
        </w:rPr>
        <w:t xml:space="preserve">using the RDP training set </w:t>
      </w:r>
      <w:proofErr w:type="spellStart"/>
      <w:r w:rsidRPr="00DA42F5">
        <w:rPr>
          <w:rFonts w:cs="Times New Roman"/>
          <w:szCs w:val="24"/>
        </w:rPr>
        <w:t>v.9</w:t>
      </w:r>
      <w:proofErr w:type="spellEnd"/>
      <w:r w:rsidRPr="00DA42F5">
        <w:rPr>
          <w:rFonts w:cs="Times New Roman"/>
          <w:szCs w:val="24"/>
        </w:rPr>
        <w:t xml:space="preserve"> with </w:t>
      </w:r>
      <w:r w:rsidR="00FB3B5F" w:rsidRPr="00DA42F5">
        <w:rPr>
          <w:rFonts w:cs="Times New Roman"/>
          <w:szCs w:val="24"/>
        </w:rPr>
        <w:t>a</w:t>
      </w:r>
      <w:r w:rsidRPr="00DA42F5">
        <w:rPr>
          <w:rFonts w:cs="Times New Roman"/>
          <w:szCs w:val="24"/>
        </w:rPr>
        <w:t xml:space="preserve"> bootstrap threshold value</w:t>
      </w:r>
      <w:r w:rsidR="00FB3B5F" w:rsidRPr="00DA42F5">
        <w:rPr>
          <w:rFonts w:cs="Times New Roman"/>
          <w:szCs w:val="24"/>
        </w:rPr>
        <w:t xml:space="preserve"> of 0.80. S</w:t>
      </w:r>
      <w:r w:rsidRPr="00DA42F5">
        <w:rPr>
          <w:rFonts w:cs="Times New Roman"/>
          <w:szCs w:val="24"/>
        </w:rPr>
        <w:t xml:space="preserve">equences were clustered into operational taxonomic units (OTUs) at </w:t>
      </w:r>
      <w:r w:rsidR="00FB3B5F" w:rsidRPr="00DA42F5">
        <w:rPr>
          <w:rFonts w:cs="Times New Roman"/>
          <w:szCs w:val="24"/>
        </w:rPr>
        <w:t>a</w:t>
      </w:r>
      <w:r w:rsidRPr="00DA42F5">
        <w:rPr>
          <w:rFonts w:cs="Times New Roman"/>
          <w:szCs w:val="24"/>
        </w:rPr>
        <w:t xml:space="preserve"> 97% similarity cut-off</w:t>
      </w:r>
      <w:r w:rsidR="00AA6976" w:rsidRPr="00DA42F5">
        <w:rPr>
          <w:rFonts w:cs="Times New Roman"/>
          <w:szCs w:val="24"/>
        </w:rPr>
        <w:t xml:space="preserve"> </w:t>
      </w:r>
      <w:r w:rsidR="00AA6976" w:rsidRPr="00DA42F5">
        <w:rPr>
          <w:rFonts w:cs="Times New Roman"/>
          <w:szCs w:val="24"/>
        </w:rPr>
        <w:fldChar w:fldCharType="begin"/>
      </w:r>
      <w:r w:rsidR="00494014">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Res","page":"D633-D642","PMID":"24288368","PMCID":"PMC3965039","source":"PubMed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online.","container-title":"Bioinformatics","DOI":"10.1093/bioinformatics/btr381","ISSN":"1367-4803","issue":"16","journalAbbreviation":"Bioinformatics","page":"2194-2200","PMID":"21700674","PMCID":"PMC3150044","source":"PubMed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DA42F5">
        <w:rPr>
          <w:rFonts w:cs="Times New Roman"/>
          <w:szCs w:val="24"/>
        </w:rPr>
        <w:fldChar w:fldCharType="separate"/>
      </w:r>
      <w:r w:rsidR="00AA6976" w:rsidRPr="00DA42F5">
        <w:rPr>
          <w:rFonts w:cs="Times New Roman"/>
          <w:szCs w:val="24"/>
        </w:rPr>
        <w:t>(Cole et al., 2014; Edgar, 2016; Edgar et al., 2011; Pruesse et al., 2007)</w:t>
      </w:r>
      <w:r w:rsidR="00AA6976" w:rsidRPr="00DA42F5">
        <w:rPr>
          <w:rFonts w:cs="Times New Roman"/>
          <w:szCs w:val="24"/>
        </w:rPr>
        <w:fldChar w:fldCharType="end"/>
      </w:r>
      <w:r w:rsidRPr="00DA42F5">
        <w:rPr>
          <w:rFonts w:cs="Times New Roman"/>
          <w:szCs w:val="24"/>
        </w:rPr>
        <w:t xml:space="preserve">. After quality filtering, depending on the depth of coverage OTUs with </w:t>
      </w:r>
      <w:r w:rsidR="00FB3B5F" w:rsidRPr="00DA42F5">
        <w:rPr>
          <w:rFonts w:cs="Times New Roman"/>
          <w:szCs w:val="24"/>
        </w:rPr>
        <w:t>fewer</w:t>
      </w:r>
      <w:r w:rsidRPr="00DA42F5">
        <w:rPr>
          <w:rFonts w:cs="Times New Roman"/>
          <w:szCs w:val="24"/>
        </w:rPr>
        <w:t xml:space="preserve"> than </w:t>
      </w:r>
      <w:r w:rsidR="007A3384" w:rsidRPr="00DA42F5">
        <w:rPr>
          <w:rFonts w:cs="Times New Roman"/>
          <w:szCs w:val="24"/>
        </w:rPr>
        <w:t xml:space="preserve">a </w:t>
      </w:r>
      <w:r w:rsidR="00FB3B5F" w:rsidRPr="00DA42F5">
        <w:rPr>
          <w:rFonts w:cs="Times New Roman"/>
          <w:szCs w:val="24"/>
        </w:rPr>
        <w:t xml:space="preserve">specified </w:t>
      </w:r>
      <w:r w:rsidRPr="00DA42F5">
        <w:rPr>
          <w:rFonts w:cs="Times New Roman"/>
          <w:szCs w:val="24"/>
        </w:rPr>
        <w:t>number of reads were removed</w:t>
      </w:r>
      <w:r w:rsidR="00032A34" w:rsidRPr="00DA42F5">
        <w:rPr>
          <w:rFonts w:cs="Times New Roman"/>
          <w:szCs w:val="24"/>
        </w:rPr>
        <w:t xml:space="preserve">. Each sample was rarefied </w:t>
      </w:r>
      <w:r w:rsidRPr="00DA42F5">
        <w:rPr>
          <w:rFonts w:cs="Times New Roman"/>
          <w:szCs w:val="24"/>
        </w:rPr>
        <w:t xml:space="preserve">to </w:t>
      </w:r>
      <w:r w:rsidR="00FB3B5F" w:rsidRPr="00DA42F5">
        <w:rPr>
          <w:rFonts w:cs="Times New Roman"/>
          <w:szCs w:val="24"/>
        </w:rPr>
        <w:t xml:space="preserve">the </w:t>
      </w:r>
      <w:r w:rsidRPr="00DA42F5">
        <w:rPr>
          <w:rFonts w:cs="Times New Roman"/>
          <w:szCs w:val="24"/>
        </w:rPr>
        <w:t xml:space="preserve">minimum number of reads after filtering, rounded down to </w:t>
      </w:r>
      <w:r w:rsidR="00555E2B" w:rsidRPr="00DA42F5">
        <w:rPr>
          <w:rFonts w:cs="Times New Roman"/>
          <w:szCs w:val="24"/>
        </w:rPr>
        <w:t xml:space="preserve">the </w:t>
      </w:r>
      <w:r w:rsidR="00FB3B5F" w:rsidRPr="00DA42F5">
        <w:rPr>
          <w:rFonts w:cs="Times New Roman"/>
          <w:szCs w:val="24"/>
        </w:rPr>
        <w:t>nearest</w:t>
      </w:r>
      <w:r w:rsidRPr="00DA42F5">
        <w:rPr>
          <w:rFonts w:cs="Times New Roman"/>
          <w:szCs w:val="24"/>
        </w:rPr>
        <w:t xml:space="preserve"> 1000 </w:t>
      </w:r>
      <w:r w:rsidR="00032A34" w:rsidRPr="00DA42F5">
        <w:rPr>
          <w:rFonts w:cs="Times New Roman"/>
          <w:szCs w:val="24"/>
        </w:rPr>
        <w:t xml:space="preserve">based on sequencing experiment </w:t>
      </w:r>
      <w:r w:rsidRPr="00DA42F5">
        <w:rPr>
          <w:rFonts w:cs="Times New Roman"/>
          <w:szCs w:val="24"/>
        </w:rPr>
        <w:t>(</w:t>
      </w:r>
      <w:r w:rsidR="00D025AD" w:rsidRPr="00DA42F5">
        <w:rPr>
          <w:rFonts w:cs="Times New Roman"/>
          <w:szCs w:val="24"/>
        </w:rPr>
        <w:t xml:space="preserve">Supplement Table </w:t>
      </w:r>
      <w:r w:rsidR="007A3384" w:rsidRPr="00DA42F5">
        <w:rPr>
          <w:rFonts w:cs="Times New Roman"/>
          <w:szCs w:val="24"/>
        </w:rPr>
        <w:t>4</w:t>
      </w:r>
      <w:r w:rsidRPr="00DA42F5">
        <w:rPr>
          <w:rFonts w:cs="Times New Roman"/>
          <w:szCs w:val="24"/>
        </w:rPr>
        <w:t xml:space="preserve">). Samples with </w:t>
      </w:r>
      <w:r w:rsidR="00FB3B5F" w:rsidRPr="00DA42F5">
        <w:rPr>
          <w:rFonts w:cs="Times New Roman"/>
          <w:szCs w:val="24"/>
        </w:rPr>
        <w:t>fewer</w:t>
      </w:r>
      <w:r w:rsidRPr="00DA42F5">
        <w:rPr>
          <w:rFonts w:cs="Times New Roman"/>
          <w:szCs w:val="24"/>
        </w:rPr>
        <w:t xml:space="preserve"> reads than the </w:t>
      </w:r>
      <w:r w:rsidR="00FB3B5F" w:rsidRPr="00DA42F5">
        <w:rPr>
          <w:rFonts w:cs="Times New Roman"/>
          <w:szCs w:val="24"/>
        </w:rPr>
        <w:t xml:space="preserve">chosen </w:t>
      </w:r>
      <w:r w:rsidRPr="00DA42F5">
        <w:rPr>
          <w:rFonts w:cs="Times New Roman"/>
          <w:szCs w:val="24"/>
        </w:rPr>
        <w:t xml:space="preserve">minimum were removed from the analysis. </w:t>
      </w:r>
      <w:r w:rsidR="007A3384" w:rsidRPr="00DA42F5">
        <w:rPr>
          <w:rFonts w:cs="Times New Roman"/>
          <w:szCs w:val="24"/>
        </w:rPr>
        <w:t>Analysis and graphical representations of t</w:t>
      </w:r>
      <w:r w:rsidR="00A95361" w:rsidRPr="00DA42F5">
        <w:rPr>
          <w:rFonts w:cs="Times New Roman"/>
          <w:szCs w:val="24"/>
        </w:rPr>
        <w:t xml:space="preserve">he </w:t>
      </w:r>
      <w:r w:rsidR="007A3384" w:rsidRPr="00DA42F5">
        <w:rPr>
          <w:rFonts w:cs="Times New Roman"/>
          <w:szCs w:val="24"/>
        </w:rPr>
        <w:t>experiments</w:t>
      </w:r>
      <w:r w:rsidR="00032A34" w:rsidRPr="00DA42F5">
        <w:rPr>
          <w:rFonts w:cs="Times New Roman"/>
          <w:szCs w:val="24"/>
        </w:rPr>
        <w:t xml:space="preserve"> </w:t>
      </w:r>
      <w:r w:rsidR="00A95361" w:rsidRPr="00DA42F5">
        <w:rPr>
          <w:rFonts w:cs="Times New Roman"/>
          <w:szCs w:val="24"/>
        </w:rPr>
        <w:t xml:space="preserve">were </w:t>
      </w:r>
      <w:r w:rsidR="00A840B0" w:rsidRPr="00DA42F5">
        <w:rPr>
          <w:rFonts w:cs="Times New Roman"/>
          <w:szCs w:val="24"/>
        </w:rPr>
        <w:t>performed</w:t>
      </w:r>
      <w:r w:rsidR="00A95361" w:rsidRPr="00DA42F5">
        <w:rPr>
          <w:rFonts w:cs="Times New Roman"/>
          <w:szCs w:val="24"/>
        </w:rPr>
        <w:t xml:space="preserve"> in R </w:t>
      </w:r>
      <w:proofErr w:type="spellStart"/>
      <w:r w:rsidR="00A95361" w:rsidRPr="00DA42F5">
        <w:rPr>
          <w:rFonts w:cs="Times New Roman"/>
          <w:szCs w:val="24"/>
        </w:rPr>
        <w:t>v4.1.1</w:t>
      </w:r>
      <w:proofErr w:type="spellEnd"/>
      <w:r w:rsidR="00A95361" w:rsidRPr="00DA42F5">
        <w:rPr>
          <w:rFonts w:cs="Times New Roman"/>
          <w:szCs w:val="24"/>
        </w:rPr>
        <w:t xml:space="preserve"> using </w:t>
      </w:r>
      <w:r w:rsidR="00A840B0" w:rsidRPr="00DA42F5">
        <w:rPr>
          <w:rFonts w:cs="Times New Roman"/>
          <w:szCs w:val="24"/>
        </w:rPr>
        <w:t xml:space="preserve">the following </w:t>
      </w:r>
      <w:r w:rsidR="00A95361" w:rsidRPr="00DA42F5">
        <w:rPr>
          <w:rFonts w:cs="Times New Roman"/>
          <w:szCs w:val="24"/>
        </w:rPr>
        <w:t xml:space="preserve">packages: </w:t>
      </w:r>
      <w:r w:rsidR="00202238" w:rsidRPr="00DA42F5">
        <w:rPr>
          <w:rFonts w:cs="Times New Roman"/>
          <w:szCs w:val="24"/>
        </w:rPr>
        <w:t>‘</w:t>
      </w:r>
      <w:proofErr w:type="spellStart"/>
      <w:r w:rsidR="007A3384" w:rsidRPr="00DA42F5">
        <w:rPr>
          <w:rFonts w:cs="Times New Roman"/>
          <w:szCs w:val="24"/>
        </w:rPr>
        <w:t>dplyr</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tidyr</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tibble</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stringr</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readr</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r w:rsidR="007A3384" w:rsidRPr="00DA42F5">
        <w:rPr>
          <w:rFonts w:cs="Times New Roman"/>
          <w:szCs w:val="24"/>
        </w:rPr>
        <w:t>scales</w:t>
      </w:r>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ggplot2</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ggpubr</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r w:rsidR="007A3384" w:rsidRPr="00DA42F5">
        <w:rPr>
          <w:rFonts w:cs="Times New Roman"/>
          <w:szCs w:val="24"/>
        </w:rPr>
        <w:t>vegan</w:t>
      </w:r>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r w:rsidR="007A3384" w:rsidRPr="00DA42F5">
        <w:rPr>
          <w:rFonts w:cs="Times New Roman"/>
          <w:szCs w:val="24"/>
        </w:rPr>
        <w:t>glue</w:t>
      </w:r>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lubridate</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pur</w:t>
      </w:r>
      <w:r w:rsidR="00A840B0" w:rsidRPr="00DA42F5">
        <w:rPr>
          <w:rFonts w:cs="Times New Roman"/>
          <w:szCs w:val="24"/>
        </w:rPr>
        <w:t>r</w:t>
      </w:r>
      <w:r w:rsidR="007A3384" w:rsidRPr="00DA42F5">
        <w:rPr>
          <w:rFonts w:cs="Times New Roman"/>
          <w:szCs w:val="24"/>
        </w:rPr>
        <w:t>r</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readxl</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forcats</w:t>
      </w:r>
      <w:proofErr w:type="spellEnd"/>
      <w:r w:rsidR="00202238" w:rsidRPr="00DA42F5">
        <w:rPr>
          <w:rFonts w:cs="Times New Roman"/>
          <w:szCs w:val="24"/>
        </w:rPr>
        <w:t>’</w:t>
      </w:r>
      <w:r w:rsidR="007A3384" w:rsidRPr="00DA42F5">
        <w:rPr>
          <w:rFonts w:cs="Times New Roman"/>
          <w:szCs w:val="24"/>
        </w:rPr>
        <w:t xml:space="preserve">, </w:t>
      </w:r>
      <w:r w:rsidR="00202238" w:rsidRPr="00DA42F5">
        <w:rPr>
          <w:rFonts w:cs="Times New Roman"/>
          <w:szCs w:val="24"/>
        </w:rPr>
        <w:t>‘</w:t>
      </w:r>
      <w:proofErr w:type="spellStart"/>
      <w:r w:rsidR="007A3384" w:rsidRPr="00DA42F5">
        <w:rPr>
          <w:rFonts w:cs="Times New Roman"/>
          <w:szCs w:val="24"/>
        </w:rPr>
        <w:t>ggnewscale</w:t>
      </w:r>
      <w:proofErr w:type="spellEnd"/>
      <w:r w:rsidR="00202238" w:rsidRPr="00DA42F5">
        <w:rPr>
          <w:rFonts w:cs="Times New Roman"/>
          <w:szCs w:val="24"/>
        </w:rPr>
        <w:t xml:space="preserve">’, </w:t>
      </w:r>
      <w:r w:rsidR="00A840B0" w:rsidRPr="00DA42F5">
        <w:rPr>
          <w:rFonts w:cs="Times New Roman"/>
          <w:szCs w:val="24"/>
        </w:rPr>
        <w:t xml:space="preserve">and </w:t>
      </w:r>
      <w:r w:rsidR="00202238" w:rsidRPr="00DA42F5">
        <w:rPr>
          <w:rFonts w:cs="Times New Roman"/>
          <w:szCs w:val="24"/>
        </w:rPr>
        <w:t>‘</w:t>
      </w:r>
      <w:proofErr w:type="spellStart"/>
      <w:r w:rsidR="00202238" w:rsidRPr="00DA42F5">
        <w:rPr>
          <w:rFonts w:cs="Times New Roman"/>
          <w:szCs w:val="24"/>
        </w:rPr>
        <w:t>renv</w:t>
      </w:r>
      <w:proofErr w:type="spellEnd"/>
      <w:r w:rsidR="00202238" w:rsidRPr="00DA42F5">
        <w:rPr>
          <w:rFonts w:cs="Times New Roman"/>
          <w:szCs w:val="24"/>
        </w:rPr>
        <w:t xml:space="preserve">’, </w:t>
      </w:r>
      <w:r w:rsidR="00A840B0" w:rsidRPr="00DA42F5">
        <w:rPr>
          <w:rFonts w:cs="Times New Roman"/>
          <w:szCs w:val="24"/>
        </w:rPr>
        <w:t xml:space="preserve">with </w:t>
      </w:r>
      <w:r w:rsidR="00202238" w:rsidRPr="00DA42F5">
        <w:rPr>
          <w:rFonts w:cs="Times New Roman"/>
          <w:szCs w:val="24"/>
        </w:rPr>
        <w:t xml:space="preserve">versions available in the </w:t>
      </w:r>
      <w:proofErr w:type="spellStart"/>
      <w:r w:rsidR="00202238" w:rsidRPr="00DA42F5">
        <w:rPr>
          <w:rFonts w:cs="Times New Roman"/>
          <w:szCs w:val="24"/>
        </w:rPr>
        <w:t>thesis.renv</w:t>
      </w:r>
      <w:proofErr w:type="spellEnd"/>
      <w:r w:rsidR="00202238" w:rsidRPr="00DA42F5">
        <w:rPr>
          <w:rFonts w:cs="Times New Roman"/>
          <w:szCs w:val="24"/>
        </w:rPr>
        <w:t xml:space="preserve"> </w:t>
      </w:r>
      <w:r w:rsidR="00A840B0" w:rsidRPr="00DA42F5">
        <w:rPr>
          <w:rFonts w:cs="Times New Roman"/>
          <w:szCs w:val="24"/>
        </w:rPr>
        <w:t xml:space="preserve">environment </w:t>
      </w:r>
      <w:r w:rsidR="00202238" w:rsidRPr="00DA42F5">
        <w:rPr>
          <w:rFonts w:cs="Times New Roman"/>
          <w:szCs w:val="24"/>
        </w:rPr>
        <w:fldChar w:fldCharType="begin"/>
      </w:r>
      <w:r w:rsidR="00D9297E">
        <w:rPr>
          <w:rFonts w:cs="Times New Roman"/>
          <w:szCs w:val="24"/>
        </w:rPr>
        <w:instrText xml:space="preserve"> ADDIN ZOTERO_ITEM CSL_CITATION {"citationID":"kbpTEA5N","properties":{"formattedCitation":"({\\i{}Ggplot2 Based Publication Ready Plots}, n.d.; {\\i{}Project Environments}, n.d.; {\\i{}R: The R Project for Statistical Computing}, n.d.; {\\i{}Read Excel Files}, n.d.; {\\i{}Scale Functions for Visualization}, n.d.; tidyverse, 2016/2025; Oksanen, n.d.-a, n.d.-b; Oksanen et al., 2022; Wickham et al., 2019)","plainCitation":"(Ggplot2 Based Publication Ready Plots, n.d.; Project Environments, n.d.; R: The R Project for Statistical Computing, n.d.; Read Excel Files, n.d.; Scale Functions for Visualization, n.d.; tidyverse, 2016/2025; Oksanen, n.d.-a, n.d.-b; Oksanen et al., 2022; Wickham et al., 2019)","noteIndex":0},"citationItems":[{"id":3377,"uris":["http://zotero.org/users/8873894/items/R6CZVA3K"],"itemData":{"id":3377,"type":"webpage","abstract":"The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Plots","URL":"https://rpkgs.datanovia.com/ggpubr/","accessed":{"date-parts":[["2025",11,7]]}}},{"id":3382,"uris":["http://zotero.org/users/8873894/items/YUQT254R"],"itemData":{"id":3382,"type":"webpage","abstract":"A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Environments","URL":"https://rstudio.github.io/renv/","accessed":{"date-parts":[["2025",11,7]]}}},{"id":3322,"uris":["http://zotero.org/users/8873894/items/EC46UBHE"],"itemData":{"id":3322,"type":"webpage","title":"R: The R Project for Statistical Computing","URL":"https://www.r-project.org/","accessed":{"date-parts":[["2025",10,21]]}}},{"id":3380,"uris":["http://zotero.org/users/8873894/items/8SBVVBIC"],"itemData":{"id":3380,"type":"webpage","abstract":"Import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Files","URL":"https://readxl.tidyverse.org/","accessed":{"date-parts":[["2025",11,7]]}}},{"id":3375,"uris":["http://zotero.org/users/8873894/items/HBZEQW6Q"],"itemData":{"id":3375,"type":"webpage","abstract":"Graphical scales map data to aesthetics, and provide methods for automatically determining breaks and labels for axes and legends.","language":"en","title":"Scale Functions for Visualization","URL":"https://scales.r-lib.org/","accessed":{"date-parts":[["2025",11,7]]}}},{"id":3379,"uris":["http://zotero.org/users/8873894/items/ZGSV4MT4"],"itemData":{"id":3379,"type":"software","abstract":"Glue strings to data in R. Small, fast, dependency free interpreted string literals.","genre":"R","note":"original-date: 2016-12-23T21:07:25Z","publisher":"tidyverse","source":"GitHub","title":"tidyverse/glue","URL":"https://github.com/tidyverse/glue","accessed":{"date-parts":[["2025",11,7]]},"issued":{"date-parts":[["2025",10,20]]}}},{"id":1853,"uris":["http://zotero.org/users/8873894/items/ALATME27"],"itemData":{"id":1853,"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tutorial","author":[{"family":"Oksanen","given":"Jari"}]}},{"id":229,"uris":["http://zotero.org/users/8873894/items/2YYN6HYX"],"itemData":{"id":229,"type":"article-journal","abstract":"The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sidRPr="00DA42F5">
        <w:rPr>
          <w:rFonts w:cs="Times New Roman"/>
          <w:szCs w:val="24"/>
        </w:rPr>
        <w:fldChar w:fldCharType="separate"/>
      </w:r>
      <w:r w:rsidR="00D9297E" w:rsidRPr="00D9297E">
        <w:rPr>
          <w:rFonts w:cs="Times New Roman"/>
        </w:rPr>
        <w:t>(</w:t>
      </w:r>
      <w:r w:rsidR="00D9297E" w:rsidRPr="00D9297E">
        <w:rPr>
          <w:rFonts w:cs="Times New Roman"/>
          <w:i/>
          <w:iCs/>
        </w:rPr>
        <w:t>Ggplot2 Based Publication Ready Plots</w:t>
      </w:r>
      <w:r w:rsidR="00D9297E" w:rsidRPr="00D9297E">
        <w:rPr>
          <w:rFonts w:cs="Times New Roman"/>
        </w:rPr>
        <w:t xml:space="preserve">, n.d.; </w:t>
      </w:r>
      <w:r w:rsidR="00D9297E" w:rsidRPr="00D9297E">
        <w:rPr>
          <w:rFonts w:cs="Times New Roman"/>
          <w:i/>
          <w:iCs/>
        </w:rPr>
        <w:t>Project Environments</w:t>
      </w:r>
      <w:r w:rsidR="00D9297E" w:rsidRPr="00D9297E">
        <w:rPr>
          <w:rFonts w:cs="Times New Roman"/>
        </w:rPr>
        <w:t xml:space="preserve">, n.d.; </w:t>
      </w:r>
      <w:r w:rsidR="00D9297E" w:rsidRPr="00D9297E">
        <w:rPr>
          <w:rFonts w:cs="Times New Roman"/>
          <w:i/>
          <w:iCs/>
        </w:rPr>
        <w:t>R: The R Project for Statistical Computing</w:t>
      </w:r>
      <w:r w:rsidR="00D9297E" w:rsidRPr="00D9297E">
        <w:rPr>
          <w:rFonts w:cs="Times New Roman"/>
        </w:rPr>
        <w:t xml:space="preserve">, n.d.; </w:t>
      </w:r>
      <w:r w:rsidR="00D9297E" w:rsidRPr="00D9297E">
        <w:rPr>
          <w:rFonts w:cs="Times New Roman"/>
          <w:i/>
          <w:iCs/>
        </w:rPr>
        <w:lastRenderedPageBreak/>
        <w:t>Read Excel Files</w:t>
      </w:r>
      <w:r w:rsidR="00D9297E" w:rsidRPr="00D9297E">
        <w:rPr>
          <w:rFonts w:cs="Times New Roman"/>
        </w:rPr>
        <w:t xml:space="preserve">, n.d.; </w:t>
      </w:r>
      <w:r w:rsidR="00D9297E" w:rsidRPr="00D9297E">
        <w:rPr>
          <w:rFonts w:cs="Times New Roman"/>
          <w:i/>
          <w:iCs/>
        </w:rPr>
        <w:t>Scale Functions for Visualization</w:t>
      </w:r>
      <w:r w:rsidR="00D9297E" w:rsidRPr="00D9297E">
        <w:rPr>
          <w:rFonts w:cs="Times New Roman"/>
        </w:rPr>
        <w:t>, n.d.; tidyverse, 2016/2025; Oksanen, n.d.-a, n.d.-b; Oksanen et al., 2022; Wickham et al., 2019)</w:t>
      </w:r>
      <w:r w:rsidR="00202238" w:rsidRPr="00DA42F5">
        <w:rPr>
          <w:rFonts w:cs="Times New Roman"/>
          <w:szCs w:val="24"/>
        </w:rPr>
        <w:fldChar w:fldCharType="end"/>
      </w:r>
      <w:r w:rsidR="0043153B" w:rsidRPr="00DA42F5">
        <w:rPr>
          <w:rFonts w:cs="Times New Roman"/>
          <w:szCs w:val="24"/>
        </w:rPr>
        <w:t xml:space="preserve">. </w:t>
      </w:r>
    </w:p>
    <w:p w14:paraId="27B5E539" w14:textId="77777777" w:rsidR="00173621" w:rsidRPr="00DA42F5" w:rsidRDefault="00173621" w:rsidP="00CD77AB">
      <w:pPr>
        <w:rPr>
          <w:rFonts w:cs="Times New Roman"/>
          <w:szCs w:val="24"/>
        </w:rPr>
      </w:pPr>
    </w:p>
    <w:p w14:paraId="7B0346CC" w14:textId="52A6980B" w:rsidR="00E32385" w:rsidRPr="00DA42F5" w:rsidRDefault="00133BF6" w:rsidP="00221812">
      <w:pPr>
        <w:pStyle w:val="Heading4"/>
        <w:numPr>
          <w:ilvl w:val="3"/>
          <w:numId w:val="26"/>
        </w:numPr>
      </w:pPr>
      <w:bookmarkStart w:id="97" w:name="_Toc216099726"/>
      <w:bookmarkStart w:id="98" w:name="_Toc220591377"/>
      <w:commentRangeStart w:id="99"/>
      <w:r w:rsidRPr="00DA42F5">
        <w:t>Criteria for d</w:t>
      </w:r>
      <w:r w:rsidR="00D07995" w:rsidRPr="00DA42F5">
        <w:t>etermination of e</w:t>
      </w:r>
      <w:r w:rsidR="00546F35" w:rsidRPr="00DA42F5">
        <w:t xml:space="preserve">thanol resistant and ethanol non-resistant </w:t>
      </w:r>
      <w:r w:rsidRPr="00DA42F5">
        <w:t xml:space="preserve">OTUs </w:t>
      </w:r>
      <w:r w:rsidR="00D07995" w:rsidRPr="00DA42F5">
        <w:t>in the longitudinal study</w:t>
      </w:r>
      <w:bookmarkEnd w:id="97"/>
      <w:commentRangeEnd w:id="99"/>
      <w:r w:rsidR="00227E0D" w:rsidRPr="00DA42F5">
        <w:rPr>
          <w:rStyle w:val="CommentReference"/>
          <w:rFonts w:eastAsiaTheme="minorHAnsi" w:cstheme="minorBidi"/>
          <w:bCs w:val="0"/>
          <w:iCs w:val="0"/>
          <w:color w:val="auto"/>
        </w:rPr>
        <w:commentReference w:id="99"/>
      </w:r>
      <w:bookmarkEnd w:id="98"/>
    </w:p>
    <w:p w14:paraId="1B5AC43F" w14:textId="0AEA0AA4" w:rsidR="00227E0D" w:rsidRPr="00DA42F5" w:rsidRDefault="00A840B0" w:rsidP="00CD77AB">
      <w:pPr>
        <w:rPr>
          <w:ins w:id="100" w:author="Maja Rupnik" w:date="2026-01-08T13:26:00Z" w16du:dateUtc="2026-01-08T12:26:00Z"/>
          <w:rFonts w:cs="Times New Roman"/>
          <w:szCs w:val="24"/>
        </w:rPr>
      </w:pPr>
      <w:r w:rsidRPr="00DA42F5">
        <w:rPr>
          <w:rFonts w:cs="Times New Roman"/>
          <w:szCs w:val="24"/>
        </w:rPr>
        <w:t xml:space="preserve">An individual OTU was determined as a member of the ethanol-resistant community if </w:t>
      </w:r>
      <w:r w:rsidR="00555E2B" w:rsidRPr="00DA42F5">
        <w:rPr>
          <w:rFonts w:cs="Times New Roman"/>
          <w:szCs w:val="24"/>
        </w:rPr>
        <w:t xml:space="preserve">it met </w:t>
      </w:r>
      <w:r w:rsidRPr="00DA42F5">
        <w:rPr>
          <w:rFonts w:cs="Times New Roman"/>
          <w:szCs w:val="24"/>
        </w:rPr>
        <w:t xml:space="preserve">the following criteria: 1) the OTU was present in both the </w:t>
      </w:r>
      <w:del w:id="101" w:author="Urša Miklavčič" w:date="2026-01-29T14:59:00Z" w16du:dateUtc="2026-01-29T13:59:00Z">
        <w:r w:rsidRPr="00DA42F5" w:rsidDel="00B41263">
          <w:rPr>
            <w:rFonts w:cs="Times New Roman"/>
            <w:szCs w:val="24"/>
          </w:rPr>
          <w:delText>bulk microbiota</w:delText>
        </w:r>
      </w:del>
      <w:ins w:id="102" w:author="Urša Miklavčič" w:date="2026-01-29T15:00:00Z" w16du:dateUtc="2026-01-29T14:00:00Z">
        <w:r w:rsidR="00B41263">
          <w:rPr>
            <w:rFonts w:cs="Times New Roman"/>
            <w:szCs w:val="24"/>
          </w:rPr>
          <w:t>untreated</w:t>
        </w:r>
      </w:ins>
      <w:del w:id="103" w:author="Urša Miklavčič" w:date="2026-01-29T15:00:00Z" w16du:dateUtc="2026-01-29T14:00:00Z">
        <w:r w:rsidRPr="00DA42F5" w:rsidDel="00B41263">
          <w:rPr>
            <w:rFonts w:cs="Times New Roman"/>
            <w:szCs w:val="24"/>
          </w:rPr>
          <w:delText xml:space="preserve"> sample</w:delText>
        </w:r>
      </w:del>
      <w:r w:rsidRPr="00DA42F5">
        <w:rPr>
          <w:rFonts w:cs="Times New Roman"/>
          <w:szCs w:val="24"/>
        </w:rPr>
        <w:t xml:space="preserve"> and </w:t>
      </w:r>
      <w:del w:id="104" w:author="Urša Miklavčič" w:date="2026-01-29T15:00:00Z" w16du:dateUtc="2026-01-29T14:00:00Z">
        <w:r w:rsidRPr="00DA42F5" w:rsidDel="00B41263">
          <w:rPr>
            <w:rFonts w:cs="Times New Roman"/>
            <w:szCs w:val="24"/>
          </w:rPr>
          <w:delText xml:space="preserve">the </w:delText>
        </w:r>
      </w:del>
      <w:r w:rsidRPr="00DA42F5">
        <w:rPr>
          <w:rFonts w:cs="Times New Roman"/>
          <w:szCs w:val="24"/>
        </w:rPr>
        <w:t>ethanol</w:t>
      </w:r>
      <w:ins w:id="105" w:author="Urša Miklavčič" w:date="2026-01-29T15:00:00Z" w16du:dateUtc="2026-01-29T14:00:00Z">
        <w:r w:rsidR="00B41263">
          <w:rPr>
            <w:rFonts w:cs="Times New Roman"/>
            <w:szCs w:val="24"/>
          </w:rPr>
          <w:t xml:space="preserve"> </w:t>
        </w:r>
      </w:ins>
      <w:del w:id="106" w:author="Urša Miklavčič" w:date="2026-01-29T15:00:00Z" w16du:dateUtc="2026-01-29T14:00:00Z">
        <w:r w:rsidRPr="00DA42F5" w:rsidDel="00B41263">
          <w:rPr>
            <w:rFonts w:cs="Times New Roman"/>
            <w:szCs w:val="24"/>
          </w:rPr>
          <w:delText>-</w:delText>
        </w:r>
      </w:del>
      <w:r w:rsidRPr="00DA42F5">
        <w:rPr>
          <w:rFonts w:cs="Times New Roman"/>
          <w:szCs w:val="24"/>
        </w:rPr>
        <w:t xml:space="preserve">treated sample from the same stool sample, </w:t>
      </w:r>
      <w:commentRangeStart w:id="107"/>
      <w:commentRangeStart w:id="108"/>
      <w:r w:rsidRPr="00DA42F5">
        <w:rPr>
          <w:rFonts w:cs="Times New Roman"/>
          <w:szCs w:val="24"/>
        </w:rPr>
        <w:t>and</w:t>
      </w:r>
      <w:commentRangeEnd w:id="107"/>
      <w:r w:rsidR="00227E0D" w:rsidRPr="00DA42F5">
        <w:rPr>
          <w:rStyle w:val="CommentReference"/>
        </w:rPr>
        <w:commentReference w:id="107"/>
      </w:r>
      <w:commentRangeEnd w:id="108"/>
      <w:r w:rsidR="00DA42F5">
        <w:rPr>
          <w:rStyle w:val="CommentReference"/>
        </w:rPr>
        <w:commentReference w:id="108"/>
      </w:r>
      <w:r w:rsidRPr="00DA42F5">
        <w:rPr>
          <w:rFonts w:cs="Times New Roman"/>
          <w:szCs w:val="24"/>
        </w:rPr>
        <w:t xml:space="preserve"> 2) it was found at a higher relative abundance in the ethanol-treated sample in at least 5% of samples where criterion 1</w:t>
      </w:r>
      <w:r w:rsidR="00032A34" w:rsidRPr="00DA42F5">
        <w:rPr>
          <w:rFonts w:cs="Times New Roman"/>
          <w:szCs w:val="24"/>
        </w:rPr>
        <w:t>)</w:t>
      </w:r>
      <w:r w:rsidRPr="00DA42F5">
        <w:rPr>
          <w:rFonts w:cs="Times New Roman"/>
          <w:szCs w:val="24"/>
        </w:rPr>
        <w:t xml:space="preserve"> was met. OTUs absent from all ethanol-treated samples were considered ethanol non-resistant.</w:t>
      </w:r>
      <w:r w:rsidR="003E4B71" w:rsidRPr="00DA42F5">
        <w:rPr>
          <w:rFonts w:cs="Times New Roman"/>
          <w:szCs w:val="24"/>
        </w:rPr>
        <w:t xml:space="preserve"> </w:t>
      </w:r>
    </w:p>
    <w:p w14:paraId="0554D3A5" w14:textId="7B55884C" w:rsidR="00663154" w:rsidRPr="00DA42F5" w:rsidDel="00DA42F5" w:rsidRDefault="00A840B0" w:rsidP="00CD77AB">
      <w:pPr>
        <w:rPr>
          <w:del w:id="109" w:author="Urša Miklavčič" w:date="2026-01-21T09:33:00Z" w16du:dateUtc="2026-01-21T08:33:00Z"/>
          <w:rFonts w:cs="Times New Roman"/>
          <w:szCs w:val="24"/>
        </w:rPr>
      </w:pPr>
      <w:r w:rsidRPr="00DA42F5">
        <w:rPr>
          <w:rFonts w:cs="Times New Roman"/>
          <w:szCs w:val="24"/>
        </w:rPr>
        <w:t>OTUs detected in the ethanol-resistant community in less than 5% of the samples (determined uncertain</w:t>
      </w:r>
      <w:r w:rsidR="00032A34" w:rsidRPr="00DA42F5">
        <w:rPr>
          <w:rFonts w:cs="Times New Roman"/>
          <w:szCs w:val="24"/>
        </w:rPr>
        <w:t>, n = 83</w:t>
      </w:r>
      <w:r w:rsidRPr="00DA42F5">
        <w:rPr>
          <w:rFonts w:cs="Times New Roman"/>
          <w:szCs w:val="24"/>
        </w:rPr>
        <w:t xml:space="preserve">), and OTUs detected only in ethanol-treated samples (n = 141), were excluded from </w:t>
      </w:r>
      <w:r w:rsidR="00B304AC" w:rsidRPr="00DA42F5">
        <w:rPr>
          <w:rFonts w:cs="Times New Roman"/>
          <w:szCs w:val="24"/>
        </w:rPr>
        <w:t xml:space="preserve">further </w:t>
      </w:r>
      <w:r w:rsidRPr="00DA42F5">
        <w:rPr>
          <w:rFonts w:cs="Times New Roman"/>
          <w:szCs w:val="24"/>
        </w:rPr>
        <w:t xml:space="preserve">analysis. </w:t>
      </w:r>
    </w:p>
    <w:p w14:paraId="3BA97412" w14:textId="64347AE0" w:rsidR="00B11A96" w:rsidRPr="00DA42F5" w:rsidRDefault="00B11A96" w:rsidP="00DA42F5"/>
    <w:p w14:paraId="1E7FF09C" w14:textId="6AB99189" w:rsidR="004C54E4" w:rsidRPr="00DA42F5" w:rsidRDefault="00575DD2" w:rsidP="00221812">
      <w:pPr>
        <w:pStyle w:val="Heading4"/>
        <w:numPr>
          <w:ilvl w:val="3"/>
          <w:numId w:val="26"/>
        </w:numPr>
        <w:rPr>
          <w:b/>
        </w:rPr>
      </w:pPr>
      <w:bookmarkStart w:id="110" w:name="_Toc216099727"/>
      <w:bookmarkStart w:id="111" w:name="_Toc220591378"/>
      <w:r w:rsidRPr="00DA42F5">
        <w:t>Bacterial diversity and community composition analysis</w:t>
      </w:r>
      <w:bookmarkEnd w:id="110"/>
      <w:bookmarkEnd w:id="111"/>
    </w:p>
    <w:p w14:paraId="51AE3ACE" w14:textId="5F3D0E93" w:rsidR="004C54E4" w:rsidRPr="00DA42F5" w:rsidRDefault="00A840B0" w:rsidP="00CD77AB">
      <w:pPr>
        <w:rPr>
          <w:rFonts w:cs="Times New Roman"/>
          <w:szCs w:val="24"/>
        </w:rPr>
      </w:pPr>
      <w:r w:rsidRPr="00DA42F5">
        <w:rPr>
          <w:rFonts w:cs="Times New Roman"/>
          <w:szCs w:val="24"/>
        </w:rPr>
        <w:t>Community diversity of the ethanol-resistant and ethanol non-resistant communities was calculated using functions from the R package ‘vegan’. For alpha diversity, we used the Shannon index, which measures both the richness and evenness of a sample. Between-sample diversity was assessed using Bray-</w:t>
      </w:r>
      <w:proofErr w:type="gramStart"/>
      <w:r w:rsidRPr="00DA42F5">
        <w:rPr>
          <w:rFonts w:cs="Times New Roman"/>
          <w:szCs w:val="24"/>
        </w:rPr>
        <w:t>Curtis</w:t>
      </w:r>
      <w:proofErr w:type="gramEnd"/>
      <w:r w:rsidRPr="00DA42F5">
        <w:rPr>
          <w:rFonts w:cs="Times New Roman"/>
          <w:szCs w:val="24"/>
        </w:rPr>
        <w:t xml:space="preserve"> dissimilarity and Jaccard distance, considering the number of OTUs and their relative abundance or presence and absence, respectively. Statistical differences in between- and within-person beta diversity distances for all communities were assessed using the Kruskal-</w:t>
      </w:r>
      <w:proofErr w:type="gramStart"/>
      <w:r w:rsidRPr="00DA42F5">
        <w:rPr>
          <w:rFonts w:cs="Times New Roman"/>
          <w:szCs w:val="24"/>
        </w:rPr>
        <w:t>Wallis</w:t>
      </w:r>
      <w:proofErr w:type="gramEnd"/>
      <w:r w:rsidRPr="00DA42F5">
        <w:rPr>
          <w:rFonts w:cs="Times New Roman"/>
          <w:szCs w:val="24"/>
        </w:rPr>
        <w:t xml:space="preserve"> test. For the correlation between time between samples and distance between samples, we used Pearson correlation. The composition of ethanol-resistant and ethanol non-resistant communities was analysed by comparing differences in relative abundance, persistence</w:t>
      </w:r>
      <w:ins w:id="112" w:author="Aleksander Mahnic" w:date="2025-11-29T17:01:00Z" w16du:dateUtc="2025-11-29T16:01:00Z">
        <w:r w:rsidR="007918CE" w:rsidRPr="00DA42F5">
          <w:rPr>
            <w:rFonts w:cs="Times New Roman"/>
            <w:szCs w:val="24"/>
          </w:rPr>
          <w:t xml:space="preserve"> </w:t>
        </w:r>
      </w:ins>
      <w:r w:rsidR="007918CE" w:rsidRPr="00DA42F5">
        <w:rPr>
          <w:rFonts w:cs="Times New Roman"/>
          <w:szCs w:val="24"/>
        </w:rPr>
        <w:t>(number of samples</w:t>
      </w:r>
      <w:r w:rsidR="003E4B71" w:rsidRPr="00DA42F5">
        <w:rPr>
          <w:rFonts w:cs="Times New Roman"/>
          <w:szCs w:val="24"/>
        </w:rPr>
        <w:t xml:space="preserve"> per person</w:t>
      </w:r>
      <w:r w:rsidR="007918CE" w:rsidRPr="00DA42F5">
        <w:rPr>
          <w:rFonts w:cs="Times New Roman"/>
          <w:szCs w:val="24"/>
        </w:rPr>
        <w:t xml:space="preserve"> in which </w:t>
      </w:r>
      <w:r w:rsidR="00BD2E54" w:rsidRPr="00DA42F5">
        <w:rPr>
          <w:rFonts w:cs="Times New Roman"/>
          <w:szCs w:val="24"/>
        </w:rPr>
        <w:t xml:space="preserve">an </w:t>
      </w:r>
      <w:r w:rsidR="007918CE" w:rsidRPr="00DA42F5">
        <w:rPr>
          <w:rFonts w:cs="Times New Roman"/>
          <w:szCs w:val="24"/>
        </w:rPr>
        <w:t>OTU was detected)</w:t>
      </w:r>
      <w:r w:rsidRPr="00DA42F5">
        <w:rPr>
          <w:rFonts w:cs="Times New Roman"/>
          <w:szCs w:val="24"/>
        </w:rPr>
        <w:t xml:space="preserve">, and the number of OTUs belonging to each community. </w:t>
      </w:r>
    </w:p>
    <w:p w14:paraId="68BCBE60" w14:textId="77777777" w:rsidR="00173621" w:rsidRPr="00DA42F5" w:rsidRDefault="00173621" w:rsidP="00CD77AB">
      <w:pPr>
        <w:rPr>
          <w:rFonts w:cs="Times New Roman"/>
          <w:szCs w:val="24"/>
        </w:rPr>
      </w:pPr>
    </w:p>
    <w:p w14:paraId="0E8282E6" w14:textId="1F14446F" w:rsidR="00DA35C9" w:rsidRPr="00DA42F5" w:rsidRDefault="00DA35C9" w:rsidP="00221812">
      <w:pPr>
        <w:pStyle w:val="Heading4"/>
        <w:numPr>
          <w:ilvl w:val="3"/>
          <w:numId w:val="26"/>
        </w:numPr>
        <w:rPr>
          <w:b/>
        </w:rPr>
      </w:pPr>
      <w:bookmarkStart w:id="113" w:name="_Toc216099728"/>
      <w:bookmarkStart w:id="114" w:name="_Toc220591379"/>
      <w:r w:rsidRPr="00DA42F5">
        <w:t>Sporulation frequency calculation and analysis of host, time, and OTU-specific influences</w:t>
      </w:r>
      <w:bookmarkEnd w:id="113"/>
      <w:bookmarkEnd w:id="114"/>
    </w:p>
    <w:p w14:paraId="65206F8F" w14:textId="24832754" w:rsidR="001F2954" w:rsidRPr="00DA42F5" w:rsidRDefault="00A840B0" w:rsidP="00CD77AB">
      <w:pPr>
        <w:rPr>
          <w:rFonts w:cs="Times New Roman"/>
          <w:szCs w:val="24"/>
        </w:rPr>
      </w:pPr>
      <w:bookmarkStart w:id="115" w:name="_Toc184220097"/>
      <w:r w:rsidRPr="00DA42F5">
        <w:rPr>
          <w:rFonts w:cs="Times New Roman"/>
          <w:szCs w:val="24"/>
        </w:rPr>
        <w:t>Sporulation frequency analysis was performed on a subset of OTUs that met two criteria: 1) classification within</w:t>
      </w:r>
      <w:r w:rsidR="003E4B71" w:rsidRPr="00DA42F5">
        <w:rPr>
          <w:rFonts w:cs="Times New Roman"/>
          <w:szCs w:val="24"/>
        </w:rPr>
        <w:t xml:space="preserve"> ethanol-resistant community and belonging to the</w:t>
      </w:r>
      <w:r w:rsidRPr="00DA42F5">
        <w:rPr>
          <w:rFonts w:cs="Times New Roman"/>
          <w:szCs w:val="24"/>
        </w:rPr>
        <w:t xml:space="preserve"> </w:t>
      </w:r>
      <w:r w:rsidR="007918CE" w:rsidRPr="00DA42F5">
        <w:rPr>
          <w:rFonts w:cs="Times New Roman"/>
          <w:szCs w:val="24"/>
        </w:rPr>
        <w:t>phylum</w:t>
      </w:r>
      <w:r w:rsidRPr="00DA42F5">
        <w:rPr>
          <w:rFonts w:cs="Times New Roman"/>
          <w:szCs w:val="24"/>
        </w:rPr>
        <w:t xml:space="preserve"> </w:t>
      </w:r>
      <w:r w:rsidRPr="00DA42F5">
        <w:rPr>
          <w:rFonts w:cs="Times New Roman"/>
          <w:i/>
          <w:iCs/>
          <w:szCs w:val="24"/>
        </w:rPr>
        <w:t>Bacillota</w:t>
      </w:r>
      <w:r w:rsidRPr="00DA42F5">
        <w:rPr>
          <w:rFonts w:cs="Times New Roman"/>
          <w:szCs w:val="24"/>
        </w:rPr>
        <w:t xml:space="preserve">, and 2) detection in at least 80% of both </w:t>
      </w:r>
      <w:del w:id="116" w:author="Urša Miklavčič" w:date="2026-01-29T15:00:00Z" w16du:dateUtc="2026-01-29T14:00:00Z">
        <w:r w:rsidRPr="00DA42F5" w:rsidDel="00B41263">
          <w:rPr>
            <w:rFonts w:cs="Times New Roman"/>
            <w:szCs w:val="24"/>
          </w:rPr>
          <w:delText>bulk microbiota</w:delText>
        </w:r>
      </w:del>
      <w:ins w:id="117" w:author="Urša Miklavčič" w:date="2026-01-29T15:00:00Z" w16du:dateUtc="2026-01-29T14:00:00Z">
        <w:r w:rsidR="00B41263">
          <w:rPr>
            <w:rFonts w:cs="Times New Roman"/>
            <w:szCs w:val="24"/>
          </w:rPr>
          <w:t>untreated</w:t>
        </w:r>
      </w:ins>
      <w:r w:rsidRPr="00DA42F5">
        <w:rPr>
          <w:rFonts w:cs="Times New Roman"/>
          <w:szCs w:val="24"/>
        </w:rPr>
        <w:t xml:space="preserve"> and ethanol</w:t>
      </w:r>
      <w:ins w:id="118" w:author="Urša Miklavčič" w:date="2026-01-29T15:00:00Z" w16du:dateUtc="2026-01-29T14:00:00Z">
        <w:r w:rsidR="00B41263">
          <w:rPr>
            <w:rFonts w:cs="Times New Roman"/>
            <w:szCs w:val="24"/>
          </w:rPr>
          <w:t xml:space="preserve"> </w:t>
        </w:r>
      </w:ins>
      <w:del w:id="119" w:author="Urša Miklavčič" w:date="2026-01-29T15:00:00Z" w16du:dateUtc="2026-01-29T14:00:00Z">
        <w:r w:rsidRPr="00DA42F5" w:rsidDel="00B41263">
          <w:rPr>
            <w:rFonts w:cs="Times New Roman"/>
            <w:szCs w:val="24"/>
          </w:rPr>
          <w:delText>-</w:delText>
        </w:r>
      </w:del>
      <w:r w:rsidRPr="00DA42F5">
        <w:rPr>
          <w:rFonts w:cs="Times New Roman"/>
          <w:szCs w:val="24"/>
        </w:rPr>
        <w:t>treated samples (to ensure robust temporal coverage). For each eligible OTU (</w:t>
      </w:r>
      <w:proofErr w:type="spellStart"/>
      <w:r w:rsidRPr="00DA42F5">
        <w:rPr>
          <w:rFonts w:cs="Times New Roman"/>
          <w:i/>
          <w:iCs/>
          <w:szCs w:val="24"/>
        </w:rPr>
        <w:t>i</w:t>
      </w:r>
      <w:proofErr w:type="spellEnd"/>
      <w:r w:rsidRPr="00DA42F5">
        <w:rPr>
          <w:rFonts w:cs="Times New Roman"/>
          <w:szCs w:val="24"/>
        </w:rPr>
        <w:t>), sporulation frequency was defined as the ratio of the normalised abundance of the OTU in the ethanol-treated sample (</w:t>
      </w:r>
      <w:proofErr w:type="spellStart"/>
      <w:r w:rsidRPr="00DA42F5">
        <w:rPr>
          <w:rFonts w:cs="Times New Roman"/>
          <w:szCs w:val="24"/>
        </w:rPr>
        <w:t>e</w:t>
      </w:r>
      <w:r w:rsidRPr="00DA42F5">
        <w:rPr>
          <w:rFonts w:cs="Times New Roman"/>
          <w:i/>
          <w:iCs/>
          <w:szCs w:val="24"/>
          <w:vertAlign w:val="subscript"/>
        </w:rPr>
        <w:t>i</w:t>
      </w:r>
      <w:proofErr w:type="spellEnd"/>
      <w:r w:rsidRPr="00DA42F5">
        <w:rPr>
          <w:rFonts w:cs="Times New Roman"/>
          <w:szCs w:val="24"/>
        </w:rPr>
        <w:t xml:space="preserve">) to its normalised abundance in the </w:t>
      </w:r>
      <w:del w:id="120" w:author="Urša Miklavčič" w:date="2026-01-29T15:00:00Z" w16du:dateUtc="2026-01-29T14:00:00Z">
        <w:r w:rsidRPr="00DA42F5" w:rsidDel="00B41263">
          <w:rPr>
            <w:rFonts w:cs="Times New Roman"/>
            <w:szCs w:val="24"/>
          </w:rPr>
          <w:delText>bulk microbiota</w:delText>
        </w:r>
      </w:del>
      <w:ins w:id="121" w:author="Urša Miklavčič" w:date="2026-01-29T15:00:00Z" w16du:dateUtc="2026-01-29T14:00:00Z">
        <w:r w:rsidR="00B41263">
          <w:rPr>
            <w:rFonts w:cs="Times New Roman"/>
            <w:szCs w:val="24"/>
          </w:rPr>
          <w:t>untreated sample</w:t>
        </w:r>
      </w:ins>
      <w:r w:rsidRPr="00DA42F5">
        <w:rPr>
          <w:rFonts w:cs="Times New Roman"/>
          <w:szCs w:val="24"/>
        </w:rPr>
        <w:t xml:space="preserve"> (m</w:t>
      </w:r>
      <w:r w:rsidRPr="00DA42F5">
        <w:rPr>
          <w:rFonts w:cs="Times New Roman"/>
          <w:i/>
          <w:iCs/>
          <w:szCs w:val="24"/>
          <w:vertAlign w:val="subscript"/>
        </w:rPr>
        <w:t>i</w:t>
      </w:r>
      <w:r w:rsidRPr="00DA42F5">
        <w:rPr>
          <w:rFonts w:cs="Times New Roman"/>
          <w:szCs w:val="24"/>
        </w:rPr>
        <w:t xml:space="preserve">), i.e., sporulation frequency = </w:t>
      </w:r>
      <w:proofErr w:type="spellStart"/>
      <w:r w:rsidRPr="00DA42F5">
        <w:rPr>
          <w:rFonts w:cs="Times New Roman"/>
          <w:szCs w:val="24"/>
        </w:rPr>
        <w:t>e</w:t>
      </w:r>
      <w:r w:rsidRPr="00DA42F5">
        <w:rPr>
          <w:rFonts w:cs="Times New Roman"/>
          <w:i/>
          <w:iCs/>
          <w:szCs w:val="24"/>
          <w:vertAlign w:val="subscript"/>
        </w:rPr>
        <w:t>i</w:t>
      </w:r>
      <w:proofErr w:type="spellEnd"/>
      <w:r w:rsidRPr="00DA42F5">
        <w:rPr>
          <w:rFonts w:cs="Times New Roman"/>
          <w:szCs w:val="24"/>
        </w:rPr>
        <w:t>/m</w:t>
      </w:r>
      <w:r w:rsidRPr="00DA42F5">
        <w:rPr>
          <w:rFonts w:cs="Times New Roman"/>
          <w:i/>
          <w:iCs/>
          <w:szCs w:val="24"/>
          <w:vertAlign w:val="subscript"/>
        </w:rPr>
        <w:t>i</w:t>
      </w:r>
      <w:r w:rsidRPr="00DA42F5">
        <w:rPr>
          <w:rFonts w:cs="Times New Roman"/>
          <w:szCs w:val="24"/>
        </w:rPr>
        <w:t xml:space="preserve">. </w:t>
      </w:r>
      <w:r w:rsidR="001F2954" w:rsidRPr="00DA42F5">
        <w:rPr>
          <w:rFonts w:cs="Times New Roman"/>
          <w:szCs w:val="24"/>
        </w:rPr>
        <w:t xml:space="preserve">This calculation is supported by a correlation between the relative and/or normalised abundance of </w:t>
      </w:r>
      <w:r w:rsidR="001F2954" w:rsidRPr="00DA42F5">
        <w:rPr>
          <w:rFonts w:cs="Times New Roman"/>
          <w:szCs w:val="24"/>
        </w:rPr>
        <w:lastRenderedPageBreak/>
        <w:t xml:space="preserve">ethanol-resistant </w:t>
      </w:r>
      <w:r w:rsidR="001F2954" w:rsidRPr="00DA42F5">
        <w:rPr>
          <w:rFonts w:cs="Times New Roman"/>
          <w:i/>
          <w:iCs/>
          <w:szCs w:val="24"/>
        </w:rPr>
        <w:t>Bacillota</w:t>
      </w:r>
      <w:r w:rsidR="001F2954" w:rsidRPr="00DA42F5">
        <w:rPr>
          <w:rFonts w:cs="Times New Roman"/>
          <w:szCs w:val="24"/>
        </w:rPr>
        <w:t xml:space="preserve"> between </w:t>
      </w:r>
      <w:del w:id="122" w:author="Urša Miklavčič" w:date="2026-01-29T15:00:00Z" w16du:dateUtc="2026-01-29T14:00:00Z">
        <w:r w:rsidR="001F2954" w:rsidRPr="00DA42F5" w:rsidDel="00B41263">
          <w:rPr>
            <w:rFonts w:cs="Times New Roman"/>
            <w:szCs w:val="24"/>
          </w:rPr>
          <w:delText>bulk microbiota</w:delText>
        </w:r>
      </w:del>
      <w:ins w:id="123" w:author="Urša Miklavčič" w:date="2026-01-29T15:00:00Z" w16du:dateUtc="2026-01-29T14:00:00Z">
        <w:r w:rsidR="00B41263">
          <w:rPr>
            <w:rFonts w:cs="Times New Roman"/>
            <w:szCs w:val="24"/>
          </w:rPr>
          <w:t>untreated</w:t>
        </w:r>
      </w:ins>
      <w:r w:rsidR="001F2954" w:rsidRPr="00DA42F5">
        <w:rPr>
          <w:rFonts w:cs="Times New Roman"/>
          <w:szCs w:val="24"/>
        </w:rPr>
        <w:t xml:space="preserve"> and ethanol treated samples, despite different isolation protocols (Supplement Text </w:t>
      </w:r>
      <w:r w:rsidR="005B0BE4" w:rsidRPr="00DA42F5">
        <w:rPr>
          <w:rFonts w:cs="Times New Roman"/>
          <w:szCs w:val="24"/>
        </w:rPr>
        <w:t>2</w:t>
      </w:r>
      <w:r w:rsidR="001F2954" w:rsidRPr="00DA42F5">
        <w:rPr>
          <w:rFonts w:cs="Times New Roman"/>
          <w:szCs w:val="24"/>
        </w:rPr>
        <w:t xml:space="preserve">). Sporulation frequency thus reflects the fraction of an OTU population in a sporulated state at a given time point </w:t>
      </w:r>
      <w:proofErr w:type="gramStart"/>
      <w:r w:rsidR="001F2954" w:rsidRPr="00DA42F5">
        <w:rPr>
          <w:rFonts w:cs="Times New Roman"/>
          <w:szCs w:val="24"/>
        </w:rPr>
        <w:t>in a given</w:t>
      </w:r>
      <w:proofErr w:type="gramEnd"/>
      <w:r w:rsidR="001F2954" w:rsidRPr="00DA42F5">
        <w:rPr>
          <w:rFonts w:cs="Times New Roman"/>
          <w:szCs w:val="24"/>
        </w:rPr>
        <w:t xml:space="preserve"> host.</w:t>
      </w:r>
    </w:p>
    <w:p w14:paraId="3B3510DA" w14:textId="0CE5F4D4" w:rsidR="00DA35C9" w:rsidRPr="00DA42F5" w:rsidRDefault="00A840B0" w:rsidP="00CD77AB">
      <w:pPr>
        <w:rPr>
          <w:rFonts w:cs="Times New Roman"/>
          <w:szCs w:val="24"/>
        </w:rPr>
      </w:pPr>
      <w:r w:rsidRPr="00DA42F5">
        <w:rPr>
          <w:rFonts w:cs="Times New Roman"/>
          <w:szCs w:val="24"/>
        </w:rPr>
        <w:t>To assess whether the temporal order of sampling influences sporulation dynamics, we compared two scenarios for each host. First, within-individual sporulation frequency was calculated for each OTU from chronologically ordered time points and second, time points were randomly shuffled before calculating within-individual sporulation frequency for each OTU. Pearson correlation coefficients were then computed between ordered and reshuffled sporulation frequency values for each OTU-host pair to quantify the influence of temporal structure.</w:t>
      </w:r>
    </w:p>
    <w:p w14:paraId="53013A08" w14:textId="2B419FD4" w:rsidR="004C54E4" w:rsidRPr="00DA42F5" w:rsidRDefault="00A840B0" w:rsidP="00CD77AB">
      <w:pPr>
        <w:rPr>
          <w:rFonts w:cs="Times New Roman"/>
          <w:szCs w:val="24"/>
        </w:rPr>
      </w:pPr>
      <w:r w:rsidRPr="00DA42F5">
        <w:rPr>
          <w:rFonts w:cs="Times New Roman"/>
          <w:szCs w:val="24"/>
        </w:rPr>
        <w:t>To characterise sporulation variability, we calculated the within-individual variance in sporulation frequency for each OTU and the population-wide variance for the same OTU. Differences in the distribution of these variance values across hosts and OTUs were assessed using the Kruskal–</w:t>
      </w:r>
      <w:proofErr w:type="gramStart"/>
      <w:r w:rsidRPr="00DA42F5">
        <w:rPr>
          <w:rFonts w:cs="Times New Roman"/>
          <w:szCs w:val="24"/>
        </w:rPr>
        <w:t>Wallis</w:t>
      </w:r>
      <w:proofErr w:type="gramEnd"/>
      <w:r w:rsidRPr="00DA42F5">
        <w:rPr>
          <w:rFonts w:cs="Times New Roman"/>
          <w:szCs w:val="24"/>
        </w:rPr>
        <w:t xml:space="preserve"> test. To evaluate the degree of synchronisation in sporulation dynamics across OTUs within individual hosts, we also computed pairwise Pearson correlation coefficients between sporulation frequencies of all OTUs within </w:t>
      </w:r>
      <w:proofErr w:type="gramStart"/>
      <w:r w:rsidRPr="00DA42F5">
        <w:rPr>
          <w:rFonts w:cs="Times New Roman"/>
          <w:szCs w:val="24"/>
        </w:rPr>
        <w:t>each individual</w:t>
      </w:r>
      <w:proofErr w:type="gramEnd"/>
      <w:r w:rsidRPr="00DA42F5">
        <w:rPr>
          <w:rFonts w:cs="Times New Roman"/>
          <w:szCs w:val="24"/>
        </w:rPr>
        <w:t xml:space="preserve">. </w:t>
      </w:r>
    </w:p>
    <w:p w14:paraId="2EFD0F03" w14:textId="77777777" w:rsidR="00173621" w:rsidRPr="00DA42F5" w:rsidRDefault="00173621" w:rsidP="00CD77AB">
      <w:pPr>
        <w:rPr>
          <w:rFonts w:cs="Times New Roman"/>
          <w:szCs w:val="24"/>
        </w:rPr>
      </w:pPr>
    </w:p>
    <w:p w14:paraId="7EA1A2D9" w14:textId="748B3096" w:rsidR="00945370" w:rsidRPr="00DA42F5" w:rsidRDefault="0076647F" w:rsidP="00945370">
      <w:pPr>
        <w:pStyle w:val="Heading3"/>
        <w:numPr>
          <w:ilvl w:val="2"/>
          <w:numId w:val="26"/>
        </w:numPr>
      </w:pPr>
      <w:bookmarkStart w:id="124" w:name="_Toc212712207"/>
      <w:bookmarkStart w:id="125" w:name="_Toc216099729"/>
      <w:bookmarkStart w:id="126" w:name="_Toc220591380"/>
      <w:r w:rsidRPr="00DA42F5">
        <w:t xml:space="preserve">Shotgun </w:t>
      </w:r>
      <w:r w:rsidR="525B7A0E" w:rsidRPr="00DA42F5">
        <w:t xml:space="preserve">metagenomic </w:t>
      </w:r>
      <w:bookmarkEnd w:id="115"/>
      <w:r w:rsidR="005B0BE4" w:rsidRPr="00DA42F5">
        <w:t>data</w:t>
      </w:r>
      <w:r w:rsidR="525B7A0E" w:rsidRPr="00DA42F5">
        <w:t xml:space="preserve"> </w:t>
      </w:r>
      <w:r w:rsidR="00CF3097" w:rsidRPr="00DA42F5">
        <w:t>analysis</w:t>
      </w:r>
      <w:bookmarkEnd w:id="124"/>
      <w:bookmarkEnd w:id="125"/>
      <w:bookmarkEnd w:id="126"/>
    </w:p>
    <w:p w14:paraId="0E6CB86B" w14:textId="1CFFD6AC" w:rsidR="00945370" w:rsidRPr="00DA42F5" w:rsidRDefault="00945370" w:rsidP="00221812">
      <w:pPr>
        <w:pStyle w:val="Heading4"/>
        <w:numPr>
          <w:ilvl w:val="3"/>
          <w:numId w:val="26"/>
        </w:numPr>
        <w:rPr>
          <w:bCs w:val="0"/>
        </w:rPr>
      </w:pPr>
      <w:bookmarkStart w:id="127" w:name="_Toc216099730"/>
      <w:bookmarkStart w:id="128" w:name="_Toc220591381"/>
      <w:r w:rsidRPr="00DA42F5">
        <w:rPr>
          <w:bCs w:val="0"/>
        </w:rPr>
        <w:t>Preprocessing</w:t>
      </w:r>
      <w:bookmarkEnd w:id="127"/>
      <w:bookmarkEnd w:id="128"/>
      <w:r w:rsidRPr="00DA42F5">
        <w:rPr>
          <w:bCs w:val="0"/>
        </w:rPr>
        <w:t xml:space="preserve"> </w:t>
      </w:r>
    </w:p>
    <w:p w14:paraId="5262FBBA" w14:textId="0434646F" w:rsidR="00945370" w:rsidRPr="00DA42F5" w:rsidRDefault="00945370" w:rsidP="00945370">
      <w:pPr>
        <w:rPr>
          <w:rFonts w:cs="Times New Roman"/>
          <w:szCs w:val="24"/>
        </w:rPr>
      </w:pPr>
      <w:r w:rsidRPr="00DA42F5">
        <w:rPr>
          <w:rFonts w:cs="Times New Roman"/>
          <w:szCs w:val="24"/>
        </w:rPr>
        <w:t xml:space="preserve">Raw metagenomic reads were filtered and trimmed </w:t>
      </w:r>
      <w:r w:rsidR="00A840B0" w:rsidRPr="00DA42F5">
        <w:rPr>
          <w:rFonts w:cs="Times New Roman"/>
          <w:szCs w:val="24"/>
        </w:rPr>
        <w:t xml:space="preserve">using the </w:t>
      </w:r>
      <w:proofErr w:type="spellStart"/>
      <w:r w:rsidR="00A840B0" w:rsidRPr="00DA42F5">
        <w:rPr>
          <w:rFonts w:cs="Times New Roman"/>
          <w:szCs w:val="24"/>
        </w:rPr>
        <w:t>S</w:t>
      </w:r>
      <w:r w:rsidRPr="00DA42F5">
        <w:rPr>
          <w:rFonts w:cs="Times New Roman"/>
          <w:szCs w:val="24"/>
        </w:rPr>
        <w:t>OAPnuke</w:t>
      </w:r>
      <w:proofErr w:type="spellEnd"/>
      <w:r w:rsidR="00A840B0" w:rsidRPr="00DA42F5">
        <w:rPr>
          <w:rFonts w:cs="Times New Roman"/>
          <w:szCs w:val="24"/>
        </w:rPr>
        <w:t xml:space="preserve"> programme</w:t>
      </w:r>
      <w:r w:rsidRPr="00DA42F5">
        <w:rPr>
          <w:rFonts w:cs="Times New Roman"/>
          <w:szCs w:val="24"/>
        </w:rPr>
        <w:t xml:space="preserve"> </w:t>
      </w:r>
      <w:r w:rsidRPr="00DA42F5">
        <w:rPr>
          <w:rFonts w:cs="Times New Roman"/>
          <w:szCs w:val="24"/>
        </w:rPr>
        <w:fldChar w:fldCharType="begin"/>
      </w:r>
      <w:r w:rsidR="00D9297E">
        <w:rPr>
          <w:rFonts w:cs="Times New Roman"/>
          <w:szCs w:val="24"/>
        </w:rPr>
        <w:instrText xml:space="preserve"> ADDIN ZOTERO_ITEM CSL_CITATION {"citationID":"tQw3crm1","properties":{"formattedCitation":"(Chen et al., 2018)","plainCitation":"(Chen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00D9297E">
        <w:rPr>
          <w:rFonts w:ascii="Cambria Math" w:hAnsi="Cambria Math" w:cs="Cambria Math"/>
          <w:szCs w:val="24"/>
        </w:rPr>
        <w:instrText>∼</w:instrText>
      </w:r>
      <w:r w:rsidR="00D9297E">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00D9297E">
        <w:rPr>
          <w:rFonts w:ascii="Cambria Math" w:hAnsi="Cambria Math" w:cs="Cambria Math"/>
          <w:szCs w:val="24"/>
        </w:rPr>
        <w:instrText>∼</w:instrText>
      </w:r>
      <w:r w:rsidR="00D9297E">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DA42F5">
        <w:rPr>
          <w:rFonts w:cs="Times New Roman"/>
          <w:szCs w:val="24"/>
        </w:rPr>
        <w:fldChar w:fldCharType="separate"/>
      </w:r>
      <w:r w:rsidR="00D9297E" w:rsidRPr="00D9297E">
        <w:rPr>
          <w:rFonts w:cs="Times New Roman"/>
        </w:rPr>
        <w:t>(Chen et al., 2018)</w:t>
      </w:r>
      <w:r w:rsidRPr="00DA42F5">
        <w:rPr>
          <w:rFonts w:cs="Times New Roman"/>
          <w:szCs w:val="24"/>
        </w:rPr>
        <w:fldChar w:fldCharType="end"/>
      </w:r>
      <w:r w:rsidRPr="00DA42F5">
        <w:rPr>
          <w:rFonts w:cs="Times New Roman"/>
          <w:szCs w:val="24"/>
        </w:rPr>
        <w:t xml:space="preserve">. </w:t>
      </w:r>
      <w:r w:rsidR="00BD2E54" w:rsidRPr="00DA42F5">
        <w:rPr>
          <w:rFonts w:cs="Times New Roman"/>
          <w:szCs w:val="24"/>
        </w:rPr>
        <w:t>Reads</w:t>
      </w:r>
      <w:r w:rsidRPr="00DA42F5">
        <w:rPr>
          <w:rFonts w:cs="Times New Roman"/>
          <w:szCs w:val="24"/>
        </w:rPr>
        <w:t xml:space="preserve"> containing 10% </w:t>
      </w:r>
      <w:r w:rsidR="002079AE" w:rsidRPr="00DA42F5">
        <w:rPr>
          <w:rFonts w:cs="Times New Roman"/>
          <w:szCs w:val="24"/>
        </w:rPr>
        <w:t xml:space="preserve">or more </w:t>
      </w:r>
      <w:r w:rsidRPr="00DA42F5">
        <w:rPr>
          <w:rFonts w:cs="Times New Roman"/>
          <w:szCs w:val="24"/>
        </w:rPr>
        <w:t>of uncertain bases, adapter sequences</w:t>
      </w:r>
      <w:r w:rsidR="002079AE" w:rsidRPr="00DA42F5">
        <w:rPr>
          <w:rFonts w:cs="Times New Roman"/>
          <w:szCs w:val="24"/>
        </w:rPr>
        <w:t>,</w:t>
      </w:r>
      <w:r w:rsidRPr="00DA42F5">
        <w:rPr>
          <w:rFonts w:cs="Times New Roman"/>
          <w:szCs w:val="24"/>
        </w:rPr>
        <w:t xml:space="preserve"> or low-quality bases (Q &lt; 20) were removed</w:t>
      </w:r>
      <w:r w:rsidR="004502A6" w:rsidRPr="00DA42F5">
        <w:rPr>
          <w:rFonts w:cs="Times New Roman"/>
          <w:szCs w:val="24"/>
        </w:rPr>
        <w:t xml:space="preserve">. </w:t>
      </w:r>
      <w:r w:rsidR="00BD2E54" w:rsidRPr="00DA42F5">
        <w:rPr>
          <w:rFonts w:cs="Times New Roman"/>
          <w:szCs w:val="24"/>
        </w:rPr>
        <w:t>A</w:t>
      </w:r>
      <w:r w:rsidR="004502A6" w:rsidRPr="00DA42F5">
        <w:rPr>
          <w:rFonts w:cs="Times New Roman"/>
          <w:szCs w:val="24"/>
        </w:rPr>
        <w:t>ll read</w:t>
      </w:r>
      <w:r w:rsidR="002079AE" w:rsidRPr="00DA42F5">
        <w:rPr>
          <w:rFonts w:cs="Times New Roman"/>
          <w:szCs w:val="24"/>
        </w:rPr>
        <w:t>s</w:t>
      </w:r>
      <w:r w:rsidR="004502A6" w:rsidRPr="00DA42F5">
        <w:rPr>
          <w:rFonts w:cs="Times New Roman"/>
          <w:szCs w:val="24"/>
        </w:rPr>
        <w:t xml:space="preserve"> with </w:t>
      </w:r>
      <w:r w:rsidR="002079AE" w:rsidRPr="00DA42F5">
        <w:rPr>
          <w:rFonts w:cs="Times New Roman"/>
          <w:szCs w:val="24"/>
        </w:rPr>
        <w:t xml:space="preserve">more than </w:t>
      </w:r>
      <w:r w:rsidR="004502A6" w:rsidRPr="00DA42F5">
        <w:rPr>
          <w:rFonts w:cs="Times New Roman"/>
          <w:szCs w:val="24"/>
        </w:rPr>
        <w:t xml:space="preserve">90% identity to host DNA using the </w:t>
      </w:r>
      <w:r w:rsidRPr="00DA42F5">
        <w:rPr>
          <w:rFonts w:cs="Times New Roman"/>
          <w:szCs w:val="24"/>
        </w:rPr>
        <w:t xml:space="preserve">reference genome </w:t>
      </w:r>
      <w:proofErr w:type="spellStart"/>
      <w:r w:rsidRPr="00DA42F5">
        <w:rPr>
          <w:rFonts w:cs="Times New Roman"/>
          <w:szCs w:val="24"/>
        </w:rPr>
        <w:t>GRCh38.p14</w:t>
      </w:r>
      <w:proofErr w:type="spellEnd"/>
      <w:r w:rsidR="00BD2E54" w:rsidRPr="00DA42F5">
        <w:rPr>
          <w:rFonts w:cs="Times New Roman"/>
          <w:szCs w:val="24"/>
        </w:rPr>
        <w:t>, were also removed</w:t>
      </w:r>
      <w:r w:rsidRPr="00DA42F5">
        <w:rPr>
          <w:rFonts w:cs="Times New Roman"/>
          <w:szCs w:val="24"/>
        </w:rPr>
        <w:t xml:space="preserve">. </w:t>
      </w:r>
    </w:p>
    <w:p w14:paraId="6D117D2F" w14:textId="77777777" w:rsidR="00945370" w:rsidRPr="00DA42F5" w:rsidRDefault="00945370" w:rsidP="00945370">
      <w:pPr>
        <w:rPr>
          <w:rFonts w:cs="Times New Roman"/>
          <w:szCs w:val="24"/>
        </w:rPr>
      </w:pPr>
    </w:p>
    <w:p w14:paraId="69DFA251" w14:textId="34455469" w:rsidR="00216A2B" w:rsidRPr="00DA42F5" w:rsidRDefault="00D07995" w:rsidP="00221812">
      <w:pPr>
        <w:pStyle w:val="Heading4"/>
        <w:numPr>
          <w:ilvl w:val="3"/>
          <w:numId w:val="26"/>
        </w:numPr>
        <w:rPr>
          <w:b/>
        </w:rPr>
      </w:pPr>
      <w:bookmarkStart w:id="129" w:name="_Toc216099731"/>
      <w:bookmarkStart w:id="130" w:name="_Toc220591382"/>
      <w:r w:rsidRPr="00DA42F5">
        <w:t>Bacterial</w:t>
      </w:r>
      <w:r w:rsidR="00C02586" w:rsidRPr="00DA42F5">
        <w:t>,</w:t>
      </w:r>
      <w:r w:rsidR="003125AC" w:rsidRPr="00DA42F5">
        <w:t xml:space="preserve"> eukaryotic, archaeal and viral </w:t>
      </w:r>
      <w:r w:rsidRPr="00DA42F5">
        <w:t xml:space="preserve">community </w:t>
      </w:r>
      <w:r w:rsidR="003125AC" w:rsidRPr="00DA42F5">
        <w:t xml:space="preserve">composition </w:t>
      </w:r>
      <w:r w:rsidRPr="00DA42F5">
        <w:t>analysis</w:t>
      </w:r>
      <w:bookmarkEnd w:id="129"/>
      <w:bookmarkEnd w:id="130"/>
    </w:p>
    <w:p w14:paraId="243DBFDF" w14:textId="555F4D2A" w:rsidR="008624F9" w:rsidRPr="00DA42F5" w:rsidRDefault="00663154" w:rsidP="00CD77AB">
      <w:pPr>
        <w:rPr>
          <w:rFonts w:cs="Times New Roman"/>
          <w:szCs w:val="24"/>
        </w:rPr>
      </w:pPr>
      <w:r w:rsidRPr="00DA42F5">
        <w:rPr>
          <w:rFonts w:cs="Times New Roman"/>
          <w:szCs w:val="24"/>
        </w:rPr>
        <w:t xml:space="preserve">Microbial composition was determined </w:t>
      </w:r>
      <w:r w:rsidR="002079AE" w:rsidRPr="00DA42F5">
        <w:rPr>
          <w:rFonts w:cs="Times New Roman"/>
          <w:szCs w:val="24"/>
        </w:rPr>
        <w:t>using</w:t>
      </w:r>
      <w:r w:rsidRPr="00DA42F5">
        <w:rPr>
          <w:rFonts w:cs="Times New Roman"/>
          <w:szCs w:val="24"/>
        </w:rPr>
        <w:t xml:space="preserve"> </w:t>
      </w:r>
      <w:r w:rsidR="004502A6" w:rsidRPr="00DA42F5">
        <w:rPr>
          <w:rFonts w:cs="Times New Roman"/>
          <w:szCs w:val="24"/>
        </w:rPr>
        <w:t xml:space="preserve">DIAMOND and </w:t>
      </w:r>
      <w:r w:rsidR="002079AE" w:rsidRPr="00DA42F5">
        <w:rPr>
          <w:rFonts w:cs="Times New Roman"/>
          <w:szCs w:val="24"/>
        </w:rPr>
        <w:t xml:space="preserve">the </w:t>
      </w:r>
      <w:r w:rsidR="00DB6904" w:rsidRPr="00DA42F5">
        <w:rPr>
          <w:rFonts w:cs="Times New Roman"/>
          <w:szCs w:val="24"/>
        </w:rPr>
        <w:t>last common ancestor (</w:t>
      </w:r>
      <w:proofErr w:type="spellStart"/>
      <w:r w:rsidR="00DB6904" w:rsidRPr="00DA42F5">
        <w:rPr>
          <w:rFonts w:cs="Times New Roman"/>
          <w:szCs w:val="24"/>
        </w:rPr>
        <w:t>LCA</w:t>
      </w:r>
      <w:proofErr w:type="spellEnd"/>
      <w:r w:rsidR="00DB6904" w:rsidRPr="00DA42F5">
        <w:rPr>
          <w:rFonts w:cs="Times New Roman"/>
          <w:szCs w:val="24"/>
        </w:rPr>
        <w:t>)</w:t>
      </w:r>
      <w:r w:rsidR="004502A6" w:rsidRPr="00DA42F5">
        <w:rPr>
          <w:rFonts w:cs="Times New Roman"/>
          <w:szCs w:val="24"/>
        </w:rPr>
        <w:t xml:space="preserve"> algorithm in the </w:t>
      </w:r>
      <w:proofErr w:type="spellStart"/>
      <w:r w:rsidR="004502A6" w:rsidRPr="00DA42F5">
        <w:rPr>
          <w:rFonts w:cs="Times New Roman"/>
          <w:szCs w:val="24"/>
        </w:rPr>
        <w:t>SqueezeMeta</w:t>
      </w:r>
      <w:proofErr w:type="spellEnd"/>
      <w:r w:rsidR="004502A6" w:rsidRPr="00DA42F5">
        <w:rPr>
          <w:rFonts w:cs="Times New Roman"/>
          <w:szCs w:val="24"/>
        </w:rPr>
        <w:t xml:space="preserve"> pipeline</w:t>
      </w:r>
      <w:r w:rsidR="002079AE" w:rsidRPr="00DA42F5">
        <w:rPr>
          <w:rFonts w:cs="Times New Roman"/>
          <w:szCs w:val="24"/>
        </w:rPr>
        <w:t xml:space="preserve">, </w:t>
      </w:r>
      <w:r w:rsidR="005B0BE4" w:rsidRPr="00DA42F5">
        <w:rPr>
          <w:rFonts w:cs="Times New Roman"/>
          <w:szCs w:val="24"/>
        </w:rPr>
        <w:t>and using</w:t>
      </w:r>
      <w:r w:rsidR="002079AE" w:rsidRPr="00DA42F5">
        <w:rPr>
          <w:rFonts w:cs="Times New Roman"/>
          <w:szCs w:val="24"/>
        </w:rPr>
        <w:t xml:space="preserve"> </w:t>
      </w:r>
      <w:proofErr w:type="spellStart"/>
      <w:r w:rsidRPr="00DA42F5">
        <w:rPr>
          <w:rFonts w:cs="Times New Roman"/>
          <w:szCs w:val="24"/>
        </w:rPr>
        <w:t>MetaPhlAn</w:t>
      </w:r>
      <w:proofErr w:type="spellEnd"/>
      <w:r w:rsidRPr="00DA42F5">
        <w:rPr>
          <w:rFonts w:cs="Times New Roman"/>
          <w:szCs w:val="24"/>
        </w:rPr>
        <w:t xml:space="preserve"> </w:t>
      </w:r>
      <w:proofErr w:type="spellStart"/>
      <w:r w:rsidR="00274F2E" w:rsidRPr="00DA42F5">
        <w:rPr>
          <w:rFonts w:cs="Times New Roman"/>
          <w:szCs w:val="24"/>
        </w:rPr>
        <w:t>v</w:t>
      </w:r>
      <w:r w:rsidRPr="00DA42F5">
        <w:rPr>
          <w:rFonts w:cs="Times New Roman"/>
          <w:szCs w:val="24"/>
        </w:rPr>
        <w:t>4.2.2</w:t>
      </w:r>
      <w:proofErr w:type="spellEnd"/>
      <w:r w:rsidRPr="00DA42F5">
        <w:rPr>
          <w:rFonts w:cs="Times New Roman"/>
          <w:szCs w:val="24"/>
        </w:rPr>
        <w:t xml:space="preserve">, database </w:t>
      </w:r>
      <w:proofErr w:type="spellStart"/>
      <w:r w:rsidRPr="00DA42F5">
        <w:rPr>
          <w:rFonts w:cs="Times New Roman"/>
          <w:szCs w:val="24"/>
        </w:rPr>
        <w:t>vJan25_202503</w:t>
      </w:r>
      <w:proofErr w:type="spellEnd"/>
      <w:r w:rsidR="002079AE" w:rsidRPr="00DA42F5">
        <w:rPr>
          <w:rFonts w:cs="Times New Roman"/>
          <w:szCs w:val="24"/>
        </w:rPr>
        <w:t>,</w:t>
      </w:r>
      <w:r w:rsidR="00A571C2" w:rsidRPr="00DA42F5">
        <w:rPr>
          <w:rFonts w:cs="Times New Roman"/>
          <w:szCs w:val="24"/>
        </w:rPr>
        <w:t xml:space="preserve"> with default settings</w:t>
      </w:r>
      <w:r w:rsidR="005B0BE4" w:rsidRPr="00DA42F5">
        <w:rPr>
          <w:rFonts w:cs="Times New Roman"/>
          <w:szCs w:val="24"/>
        </w:rPr>
        <w:t xml:space="preserve">, but the </w:t>
      </w:r>
      <w:r w:rsidR="00A571C2" w:rsidRPr="00DA42F5">
        <w:rPr>
          <w:rFonts w:cs="Times New Roman"/>
          <w:szCs w:val="24"/>
        </w:rPr>
        <w:t>calculation of relative abundance</w:t>
      </w:r>
      <w:r w:rsidR="002079AE" w:rsidRPr="00DA42F5">
        <w:rPr>
          <w:rFonts w:cs="Times New Roman"/>
          <w:szCs w:val="24"/>
        </w:rPr>
        <w:t xml:space="preserve"> </w:t>
      </w:r>
      <w:r w:rsidR="005B0BE4" w:rsidRPr="00DA42F5">
        <w:rPr>
          <w:rFonts w:cs="Times New Roman"/>
          <w:szCs w:val="24"/>
        </w:rPr>
        <w:t>also included</w:t>
      </w:r>
      <w:r w:rsidR="002079AE" w:rsidRPr="00DA42F5">
        <w:rPr>
          <w:rFonts w:cs="Times New Roman"/>
          <w:szCs w:val="24"/>
        </w:rPr>
        <w:t xml:space="preserve"> unclassified taxa</w:t>
      </w:r>
      <w:r w:rsidR="00607519" w:rsidRPr="00DA42F5">
        <w:rPr>
          <w:rFonts w:cs="Times New Roman"/>
          <w:szCs w:val="24"/>
        </w:rPr>
        <w:t xml:space="preserve"> </w:t>
      </w:r>
      <w:r w:rsidR="00607519" w:rsidRPr="00DA42F5">
        <w:rPr>
          <w:rFonts w:cs="Times New Roman"/>
          <w:szCs w:val="24"/>
        </w:rPr>
        <w:fldChar w:fldCharType="begin"/>
      </w:r>
      <w:r w:rsidR="00D9297E">
        <w:rPr>
          <w:rFonts w:cs="Times New Roman"/>
          <w:szCs w:val="24"/>
        </w:rPr>
        <w:instrText xml:space="preserve"> ADDIN ZOTERO_ITEM CSL_CITATION {"citationID":"2pPeP1T2","properties":{"formattedCitation":"(Aho et al., 1973; Blanco-M\\uc0\\u237{}guez et al., 2023a; Buchfink et al., 2021; Tamames &amp; Puente-S\\uc0\\u225{}nchez, 2019)","plainCitation":"(Aho et al., 1973; Blanco-Míguez et al., 2023a; Buchfink et al., 2021; Tamames &amp; Puente-Sánchez, 2019)","noteIndex":0},"citationItems":[{"id":"czuEiJWK/tde3ix9c","uris":["http://zotero.org/users/8873894/items/GKMEU4U4"],"itemData":{"id":3387,"type":"paper-conference","abstract":"Trees in an n node forest are to be merged according to instructions in a given sequence, while other instructions in the sequence ask for the lowest common ancestor of pairs of nodes. We show that any sequence of O(n) instructions can be processed “on line” in O(n log n) steps on a random access computer.If we can accept our answer “off-line”, that is, no answers need to be produced until the entire sequence of instructions has been seen seen, then we may perform the task in O(n G(n)) steps, where G(n) is the number of times we must apply log2 to n to obtain a number less than or equal to zero.A third algorithm solves a problem of intermediate complexity. We require the answers on line, but we suppose that all tree merging instructions precede the information requests. This algorithm requires O(n log log n) time.We apply the first on line algorithm to a problem in code optimization, that of computing immediate dominators in a reducible flow graph. We show how this computation can be performed in O(n log n) steps.","collection-title":"STOC '73","container-title":"Proceedings of the fifth annual ACM symposium on Theory of computing","DOI":"10.1145/800125.804056","event-place":"New York, NY, USA","ISBN":"978-1-4503-7430-9","page":"253–265","publisher":"Association for Computing Machinery","publisher-place":"New York, NY, USA","source":"ACM Digital Library","title":"On finding lowest common ancestors in trees","URL":"https://dl.acm.org/doi/10.1145/800125.804056","author":[{"family":"Aho","given":"A. V."},{"family":"Hopcroft","given":"J. E."},{"family":"Ullman","given":"J. D."}],"accessed":{"date-parts":[["2025",11,7]]},"issued":{"date-parts":[["1973",4,30]]}}},{"id":3283,"uris":["http://zotero.org/users/8873894/items/38JJ9IGH"],"itemData":{"id":3283,"type":"article-journal","abstract":"Metagenomic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Author(s)","page":"1633-1644","publisher":"Nature Publishing Group","source":"www.nature.com","title":"Extending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id":3383,"uris":["http://zotero.org/users/8873894/items/ZQKVNUWT"],"itemData":{"id":3383,"type":"article-journal","abstract":"We are at the beginning of a genomic revolution in which all known species are planned to be sequenced. Accessing such data for comparative analyses is crucial in this new age of data-driven biology. Here, we introduce an improved version of DIAMOND that greatly exceeds previous search performances and harnesses supercomputing to perform tree-of-life scale protein alignments in hours, while matching the sensitivity of the gold standard BLASTP.","container-title":"Nature Methods","DOI":"10.1038/s41592-021-01101-x","ISSN":"1548-7105","issue":"4","journalAbbreviation":"Nat Methods","language":"en","license":"2021 The Author(s)","page":"366-368","publisher":"Nature Publishing Group","source":"www.nature.com","title":"Sensitive protein alignments at tree-of-life scale using DIAMOND","volume":"18","author":[{"family":"Buchfink","given":"Benjamin"},{"family":"Reuter","given":"Klaus"},{"family":"Drost","given":"Hajk-Georg"}],"issued":{"date-parts":[["2021",4]]}}},{"id":2804,"uris":["http://zotero.org/users/8873894/items/LICYAV7E"],"itemData":{"id":2804,"type":"article-journal","abstract":"&lt;p&gt;The improvement of sequencing technologies has facilitated generalization of metagenomic sequencing, which has become a standard procedure for analyzing the structure and functionality of microbiomes. Bioinformatic analysis of sequencing results poses a challenge because it involves many different complex steps. SqueezeMeta is a fully automatic pipeline for metagenomics/metatranscriptomics, covering all steps of the analysis. SqueezeMeta includes multi-metagenome support that enables co-assembly of related metagenomes and retrieval of individual genomes via binning procedures. SqueezeMeta features several unique characteristics: co-assembly procedure or co-assembly of unlimited number of metagenomes via merging of individual assembled metagenomes, both with read mapping for estimation of the abundances of genes in each metagenome. It also includes binning and bin checking for retrieving individual genomes. Internal checks for the assembly and binning steps provide information about the consistency of contigs and bins. Moreover, results are stored in a MySQL database, where they can be easily exported and shared, and can be inspected anywhere using a flexible web interface that allows simple creation of complex queries. We illustrate the potential of SqueezeMeta by analyzing 32 gut metagenomes in a fully automatic way, enabling retrieval of several million genes and several hundreds of genomic bins. One of the motivations in the development of SqueezeMeta was producing a software capable of running in small desktop computers and thus amenable to all users and settings. We were also able to co-assemble two of these metagenomes and complete the full analysis in less than one day using a simple laptop computer. This reveals the capacity of SqueezeMeta to run without high-performance computing infrastructure and in absence of any network connectivity. It is therefore adequate for &lt;italic&gt;in situ&lt;/italic&gt;, real time analysis of metagenomes produced by nanopore sequencing. SqueezeMeta can be downloaded from &lt;ext-link ext-link-type=\"uri\" xlink:href=\"https://github.com/jtamames/SqueezeMeta\" xmlns:xlink=\"http://www.w3.org/1999/xlink\"&gt;https://github.com/jtamames/SqueezeMeta&lt;/ext-link&gt;.&lt;/p&gt;","container-title":"Frontiers in Microbiology","DOI":"10.3389/fmicb.2018.03349","ISSN":"1664-302X","journalAbbreviation":"Front. Microbiol.","language":"English","publisher":"Frontiers","source":"Frontiers","title":"SqueezeMeta, A Highly Portable, Fully Automatic Metagenomic Analysis Pipeline","URL":"https://www.frontiersin.org/journals/microbiology/articles/10.3389/fmicb.2018.03349/full","volume":"9","author":[{"family":"Tamames","given":"Javier"},{"family":"Puente-Sánchez","given":"Fernando"}],"accessed":{"date-parts":[["2024",3,8]]},"issued":{"date-parts":[["2019",1,24]]}}}],"schema":"https://github.com/citation-style-language/schema/raw/master/csl-citation.json"} </w:instrText>
      </w:r>
      <w:r w:rsidR="00607519" w:rsidRPr="00DA42F5">
        <w:rPr>
          <w:rFonts w:cs="Times New Roman"/>
          <w:szCs w:val="24"/>
        </w:rPr>
        <w:fldChar w:fldCharType="separate"/>
      </w:r>
      <w:r w:rsidR="00D9297E" w:rsidRPr="00D9297E">
        <w:rPr>
          <w:rFonts w:cs="Times New Roman"/>
        </w:rPr>
        <w:t>(Aho et al., 1973; Blanco-Míguez et al., 2023a; Buchfink et al., 2021; Tamames &amp; Puente-Sánchez, 2019)</w:t>
      </w:r>
      <w:r w:rsidR="00607519" w:rsidRPr="00DA42F5">
        <w:rPr>
          <w:rFonts w:cs="Times New Roman"/>
          <w:szCs w:val="24"/>
        </w:rPr>
        <w:fldChar w:fldCharType="end"/>
      </w:r>
      <w:r w:rsidRPr="00DA42F5">
        <w:rPr>
          <w:rFonts w:cs="Times New Roman"/>
          <w:szCs w:val="24"/>
        </w:rPr>
        <w:t xml:space="preserve">. </w:t>
      </w:r>
      <w:r w:rsidR="004502A6" w:rsidRPr="00DA42F5">
        <w:rPr>
          <w:rFonts w:cs="Times New Roman"/>
          <w:szCs w:val="24"/>
        </w:rPr>
        <w:t xml:space="preserve">These are two </w:t>
      </w:r>
      <w:r w:rsidR="00BD2E54" w:rsidRPr="00DA42F5">
        <w:rPr>
          <w:rFonts w:cs="Times New Roman"/>
          <w:szCs w:val="24"/>
        </w:rPr>
        <w:t>distinct</w:t>
      </w:r>
      <w:r w:rsidR="004502A6" w:rsidRPr="00DA42F5">
        <w:rPr>
          <w:rFonts w:cs="Times New Roman"/>
          <w:szCs w:val="24"/>
        </w:rPr>
        <w:t xml:space="preserve"> approaches</w:t>
      </w:r>
      <w:r w:rsidR="002079AE" w:rsidRPr="00DA42F5">
        <w:rPr>
          <w:rFonts w:cs="Times New Roman"/>
          <w:szCs w:val="24"/>
        </w:rPr>
        <w:t>,</w:t>
      </w:r>
      <w:r w:rsidR="004502A6" w:rsidRPr="00DA42F5">
        <w:rPr>
          <w:rFonts w:cs="Times New Roman"/>
          <w:szCs w:val="24"/>
        </w:rPr>
        <w:t xml:space="preserve"> each with its </w:t>
      </w:r>
      <w:r w:rsidR="002079AE" w:rsidRPr="00DA42F5">
        <w:rPr>
          <w:rFonts w:cs="Times New Roman"/>
          <w:szCs w:val="24"/>
        </w:rPr>
        <w:t xml:space="preserve">own </w:t>
      </w:r>
      <w:r w:rsidR="00BD2E54" w:rsidRPr="00DA42F5">
        <w:rPr>
          <w:rFonts w:cs="Times New Roman"/>
          <w:szCs w:val="24"/>
        </w:rPr>
        <w:t>advantages and disadvantages</w:t>
      </w:r>
      <w:r w:rsidR="004502A6" w:rsidRPr="00DA42F5">
        <w:rPr>
          <w:rFonts w:cs="Times New Roman"/>
          <w:szCs w:val="24"/>
        </w:rPr>
        <w:t xml:space="preserve">. </w:t>
      </w:r>
      <w:r w:rsidR="00DB6904" w:rsidRPr="00DA42F5">
        <w:rPr>
          <w:rFonts w:cs="Times New Roman"/>
          <w:szCs w:val="24"/>
        </w:rPr>
        <w:t>The first approach requires read assembly</w:t>
      </w:r>
      <w:r w:rsidR="002079AE" w:rsidRPr="00DA42F5">
        <w:rPr>
          <w:rFonts w:cs="Times New Roman"/>
          <w:szCs w:val="24"/>
        </w:rPr>
        <w:t xml:space="preserve"> </w:t>
      </w:r>
      <w:r w:rsidR="00DB6904" w:rsidRPr="00DA42F5">
        <w:rPr>
          <w:rFonts w:cs="Times New Roman"/>
          <w:szCs w:val="24"/>
        </w:rPr>
        <w:t xml:space="preserve">and </w:t>
      </w:r>
      <w:r w:rsidR="002079AE" w:rsidRPr="00DA42F5">
        <w:rPr>
          <w:rFonts w:cs="Times New Roman"/>
          <w:szCs w:val="24"/>
        </w:rPr>
        <w:t>gene prediction</w:t>
      </w:r>
      <w:r w:rsidR="00DB6904" w:rsidRPr="00DA42F5">
        <w:rPr>
          <w:rFonts w:cs="Times New Roman"/>
          <w:szCs w:val="24"/>
        </w:rPr>
        <w:t xml:space="preserve"> on each contig. </w:t>
      </w:r>
      <w:r w:rsidR="002079AE" w:rsidRPr="00DA42F5">
        <w:rPr>
          <w:rFonts w:cs="Times New Roman"/>
          <w:szCs w:val="24"/>
        </w:rPr>
        <w:t>T</w:t>
      </w:r>
      <w:r w:rsidR="00BD2E54" w:rsidRPr="00DA42F5">
        <w:rPr>
          <w:rFonts w:cs="Times New Roman"/>
          <w:szCs w:val="24"/>
        </w:rPr>
        <w:t>he t</w:t>
      </w:r>
      <w:r w:rsidR="002079AE" w:rsidRPr="00DA42F5">
        <w:rPr>
          <w:rFonts w:cs="Times New Roman"/>
          <w:szCs w:val="24"/>
        </w:rPr>
        <w:t>axonomy of each gene is determined by</w:t>
      </w:r>
      <w:r w:rsidR="008624F9" w:rsidRPr="00DA42F5">
        <w:rPr>
          <w:rFonts w:cs="Times New Roman"/>
          <w:szCs w:val="24"/>
        </w:rPr>
        <w:t xml:space="preserve"> the most common taxon </w:t>
      </w:r>
      <w:r w:rsidR="00BD2E54" w:rsidRPr="00DA42F5">
        <w:rPr>
          <w:rFonts w:cs="Times New Roman"/>
          <w:szCs w:val="24"/>
        </w:rPr>
        <w:t>among</w:t>
      </w:r>
      <w:r w:rsidR="008624F9" w:rsidRPr="00DA42F5">
        <w:rPr>
          <w:rFonts w:cs="Times New Roman"/>
          <w:szCs w:val="24"/>
        </w:rPr>
        <w:t xml:space="preserve"> the </w:t>
      </w:r>
      <w:r w:rsidR="002079AE" w:rsidRPr="00DA42F5">
        <w:rPr>
          <w:rFonts w:cs="Times New Roman"/>
          <w:szCs w:val="24"/>
        </w:rPr>
        <w:t>top</w:t>
      </w:r>
      <w:r w:rsidR="008624F9" w:rsidRPr="00DA42F5">
        <w:rPr>
          <w:rFonts w:cs="Times New Roman"/>
          <w:szCs w:val="24"/>
        </w:rPr>
        <w:t xml:space="preserve"> 10 </w:t>
      </w:r>
      <w:r w:rsidR="00BD2E54" w:rsidRPr="00DA42F5">
        <w:rPr>
          <w:rFonts w:cs="Times New Roman"/>
          <w:szCs w:val="24"/>
        </w:rPr>
        <w:t>BLAST</w:t>
      </w:r>
      <w:r w:rsidR="002079AE" w:rsidRPr="00DA42F5">
        <w:rPr>
          <w:rFonts w:cs="Times New Roman"/>
          <w:szCs w:val="24"/>
        </w:rPr>
        <w:t xml:space="preserve"> </w:t>
      </w:r>
      <w:r w:rsidR="008624F9" w:rsidRPr="00DA42F5">
        <w:rPr>
          <w:rFonts w:cs="Times New Roman"/>
          <w:szCs w:val="24"/>
        </w:rPr>
        <w:t>hits. Additional</w:t>
      </w:r>
      <w:r w:rsidR="00DB6904" w:rsidRPr="00DA42F5">
        <w:rPr>
          <w:rFonts w:cs="Times New Roman"/>
          <w:szCs w:val="24"/>
        </w:rPr>
        <w:t xml:space="preserve"> </w:t>
      </w:r>
      <w:r w:rsidR="002079AE" w:rsidRPr="00DA42F5">
        <w:rPr>
          <w:rFonts w:cs="Times New Roman"/>
          <w:szCs w:val="24"/>
        </w:rPr>
        <w:t>contig regions</w:t>
      </w:r>
      <w:r w:rsidR="00DB6904" w:rsidRPr="00DA42F5">
        <w:rPr>
          <w:rFonts w:cs="Times New Roman"/>
          <w:szCs w:val="24"/>
        </w:rPr>
        <w:t xml:space="preserve"> without gene prediction</w:t>
      </w:r>
      <w:r w:rsidR="002079AE" w:rsidRPr="00DA42F5">
        <w:rPr>
          <w:rFonts w:cs="Times New Roman"/>
          <w:szCs w:val="24"/>
        </w:rPr>
        <w:t>s</w:t>
      </w:r>
      <w:r w:rsidR="00DB6904" w:rsidRPr="00DA42F5">
        <w:rPr>
          <w:rFonts w:cs="Times New Roman"/>
          <w:szCs w:val="24"/>
        </w:rPr>
        <w:t xml:space="preserve"> are </w:t>
      </w:r>
      <w:r w:rsidR="002079AE" w:rsidRPr="00DA42F5">
        <w:rPr>
          <w:rFonts w:cs="Times New Roman"/>
          <w:szCs w:val="24"/>
        </w:rPr>
        <w:t>analysed</w:t>
      </w:r>
      <w:r w:rsidR="00DB6904" w:rsidRPr="00DA42F5">
        <w:rPr>
          <w:rFonts w:cs="Times New Roman"/>
          <w:szCs w:val="24"/>
        </w:rPr>
        <w:t xml:space="preserve"> with </w:t>
      </w:r>
      <w:proofErr w:type="spellStart"/>
      <w:r w:rsidR="00DB6904" w:rsidRPr="00DA42F5">
        <w:rPr>
          <w:rFonts w:cs="Times New Roman"/>
          <w:szCs w:val="24"/>
        </w:rPr>
        <w:t>blastx</w:t>
      </w:r>
      <w:proofErr w:type="spellEnd"/>
      <w:r w:rsidR="00DB6904" w:rsidRPr="00DA42F5">
        <w:rPr>
          <w:rFonts w:cs="Times New Roman"/>
          <w:szCs w:val="24"/>
        </w:rPr>
        <w:t xml:space="preserve"> using the non-redundant </w:t>
      </w:r>
      <w:proofErr w:type="spellStart"/>
      <w:r w:rsidR="00DB6904" w:rsidRPr="00DA42F5">
        <w:rPr>
          <w:rFonts w:cs="Times New Roman"/>
          <w:szCs w:val="24"/>
        </w:rPr>
        <w:t>NCBI</w:t>
      </w:r>
      <w:proofErr w:type="spellEnd"/>
      <w:r w:rsidR="00DB6904" w:rsidRPr="00DA42F5">
        <w:rPr>
          <w:rFonts w:cs="Times New Roman"/>
          <w:szCs w:val="24"/>
        </w:rPr>
        <w:t xml:space="preserve"> database </w:t>
      </w:r>
      <w:r w:rsidR="00DB6904" w:rsidRPr="00DA42F5">
        <w:rPr>
          <w:rFonts w:cs="Times New Roman"/>
          <w:szCs w:val="24"/>
        </w:rPr>
        <w:fldChar w:fldCharType="begin"/>
      </w:r>
      <w:r w:rsidR="00494014">
        <w:rPr>
          <w:rFonts w:cs="Times New Roman"/>
          <w:szCs w:val="24"/>
        </w:rPr>
        <w:instrText xml:space="preserve"> ADDIN ZOTERO_ITEM CSL_CITATION {"citationID":"eLPGHvgh","properties":{"formattedCitation":"(Camacho et al., 2009)","plainCitation":"(Camacho et al., 2009)","noteIndex":0},"citationItems":[{"id":3332,"uris":["http://zotero.org/users/8873894/items/CBS3P4K9"],"itemData":{"id":3332,"type":"article-journal","abstract":"BACKGROUND: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L."}],"issued":{"date-parts":[["2009",12,15]]}}}],"schema":"https://github.com/citation-style-language/schema/raw/master/csl-citation.json"} </w:instrText>
      </w:r>
      <w:r w:rsidR="00DB6904" w:rsidRPr="00DA42F5">
        <w:rPr>
          <w:rFonts w:cs="Times New Roman"/>
          <w:szCs w:val="24"/>
        </w:rPr>
        <w:fldChar w:fldCharType="separate"/>
      </w:r>
      <w:r w:rsidR="00DB6904" w:rsidRPr="00DA42F5">
        <w:rPr>
          <w:rFonts w:cs="Times New Roman"/>
        </w:rPr>
        <w:t>(Camacho et al., 2009)</w:t>
      </w:r>
      <w:r w:rsidR="00DB6904" w:rsidRPr="00DA42F5">
        <w:rPr>
          <w:rFonts w:cs="Times New Roman"/>
          <w:szCs w:val="24"/>
        </w:rPr>
        <w:fldChar w:fldCharType="end"/>
      </w:r>
      <w:r w:rsidR="00DB6904" w:rsidRPr="00DA42F5">
        <w:rPr>
          <w:rFonts w:cs="Times New Roman"/>
          <w:szCs w:val="24"/>
        </w:rPr>
        <w:t xml:space="preserve">. Taxonomic classification is </w:t>
      </w:r>
      <w:r w:rsidR="002079AE" w:rsidRPr="00DA42F5">
        <w:rPr>
          <w:rFonts w:cs="Times New Roman"/>
          <w:szCs w:val="24"/>
        </w:rPr>
        <w:t xml:space="preserve">then </w:t>
      </w:r>
      <w:r w:rsidR="00DB6904" w:rsidRPr="00DA42F5">
        <w:rPr>
          <w:rFonts w:cs="Times New Roman"/>
          <w:szCs w:val="24"/>
        </w:rPr>
        <w:t xml:space="preserve">determined </w:t>
      </w:r>
      <w:r w:rsidR="002079AE" w:rsidRPr="00DA42F5">
        <w:rPr>
          <w:rFonts w:cs="Times New Roman"/>
          <w:szCs w:val="24"/>
        </w:rPr>
        <w:t>by</w:t>
      </w:r>
      <w:r w:rsidR="00DB6904" w:rsidRPr="00DA42F5">
        <w:rPr>
          <w:rFonts w:cs="Times New Roman"/>
          <w:szCs w:val="24"/>
        </w:rPr>
        <w:t xml:space="preserve"> consensus among the top hits </w:t>
      </w:r>
      <w:r w:rsidR="002079AE" w:rsidRPr="00DA42F5">
        <w:rPr>
          <w:rFonts w:cs="Times New Roman"/>
          <w:szCs w:val="24"/>
        </w:rPr>
        <w:t>using the</w:t>
      </w:r>
      <w:r w:rsidR="00DB6904" w:rsidRPr="00DA42F5">
        <w:rPr>
          <w:rFonts w:cs="Times New Roman"/>
          <w:szCs w:val="24"/>
        </w:rPr>
        <w:t xml:space="preserve"> </w:t>
      </w:r>
      <w:proofErr w:type="spellStart"/>
      <w:r w:rsidR="00DB6904" w:rsidRPr="00DA42F5">
        <w:rPr>
          <w:rFonts w:cs="Times New Roman"/>
          <w:szCs w:val="24"/>
        </w:rPr>
        <w:t>LCA</w:t>
      </w:r>
      <w:proofErr w:type="spellEnd"/>
      <w:r w:rsidR="00DB6904" w:rsidRPr="00DA42F5">
        <w:rPr>
          <w:rFonts w:cs="Times New Roman"/>
          <w:szCs w:val="24"/>
        </w:rPr>
        <w:t xml:space="preserve"> algorithm. </w:t>
      </w:r>
    </w:p>
    <w:p w14:paraId="1B12E611" w14:textId="33E3C789" w:rsidR="00DB6904" w:rsidRPr="00DA42F5" w:rsidRDefault="00ED29DA" w:rsidP="00CD77AB">
      <w:pPr>
        <w:rPr>
          <w:rFonts w:cs="Times New Roman"/>
          <w:szCs w:val="24"/>
        </w:rPr>
      </w:pPr>
      <w:proofErr w:type="spellStart"/>
      <w:r w:rsidRPr="00DA42F5">
        <w:rPr>
          <w:rFonts w:cs="Times New Roman"/>
          <w:szCs w:val="24"/>
        </w:rPr>
        <w:lastRenderedPageBreak/>
        <w:t>MetaPhlAn</w:t>
      </w:r>
      <w:proofErr w:type="spellEnd"/>
      <w:r w:rsidRPr="00DA42F5">
        <w:rPr>
          <w:rFonts w:cs="Times New Roman"/>
          <w:szCs w:val="24"/>
        </w:rPr>
        <w:t xml:space="preserve"> profiles microbial communities by mapping reads to a curated database of unique species-level marker genes derived from </w:t>
      </w:r>
      <w:r w:rsidR="005B0BE4" w:rsidRPr="00DA42F5">
        <w:rPr>
          <w:rFonts w:cs="Times New Roman"/>
          <w:szCs w:val="24"/>
        </w:rPr>
        <w:t>single-genome bins (</w:t>
      </w:r>
      <w:proofErr w:type="spellStart"/>
      <w:r w:rsidR="005B0BE4" w:rsidRPr="00DA42F5">
        <w:rPr>
          <w:rFonts w:cs="Times New Roman"/>
          <w:szCs w:val="24"/>
        </w:rPr>
        <w:t>SGBs</w:t>
      </w:r>
      <w:proofErr w:type="spellEnd"/>
      <w:r w:rsidR="005B0BE4" w:rsidRPr="00DA42F5">
        <w:rPr>
          <w:rFonts w:cs="Times New Roman"/>
          <w:szCs w:val="24"/>
        </w:rPr>
        <w:t xml:space="preserve">) from </w:t>
      </w:r>
      <w:r w:rsidRPr="00DA42F5">
        <w:rPr>
          <w:rFonts w:cs="Times New Roman"/>
          <w:szCs w:val="24"/>
        </w:rPr>
        <w:t>isolate genomes and metagenome-assembled genomes</w:t>
      </w:r>
      <w:r w:rsidR="00D253B0" w:rsidRPr="00DA42F5">
        <w:rPr>
          <w:rFonts w:cs="Times New Roman"/>
          <w:szCs w:val="24"/>
        </w:rPr>
        <w:t xml:space="preserve"> of </w:t>
      </w:r>
      <w:r w:rsidRPr="00DA42F5">
        <w:rPr>
          <w:rFonts w:cs="Times New Roman"/>
          <w:szCs w:val="24"/>
        </w:rPr>
        <w:t>bacteria, archaea, and eukaryotes</w:t>
      </w:r>
      <w:r w:rsidR="00D253B0" w:rsidRPr="00DA42F5">
        <w:rPr>
          <w:rFonts w:cs="Times New Roman"/>
          <w:szCs w:val="24"/>
        </w:rPr>
        <w:t xml:space="preserve">. </w:t>
      </w:r>
    </w:p>
    <w:p w14:paraId="04C66EC9" w14:textId="1CEED0CE" w:rsidR="00D16657" w:rsidRPr="00DA42F5" w:rsidRDefault="00EE659B" w:rsidP="00CD77AB">
      <w:pPr>
        <w:rPr>
          <w:rFonts w:cs="Times New Roman"/>
          <w:color w:val="70AD47" w:themeColor="accent6"/>
          <w:szCs w:val="24"/>
        </w:rPr>
      </w:pPr>
      <w:r w:rsidRPr="00DA42F5">
        <w:rPr>
          <w:rFonts w:cs="Times New Roman"/>
          <w:szCs w:val="24"/>
        </w:rPr>
        <w:t xml:space="preserve">For </w:t>
      </w:r>
      <w:r w:rsidR="00A571C2" w:rsidRPr="00DA42F5">
        <w:rPr>
          <w:rFonts w:cs="Times New Roman"/>
          <w:szCs w:val="24"/>
        </w:rPr>
        <w:t xml:space="preserve">the </w:t>
      </w:r>
      <w:r w:rsidRPr="00DA42F5">
        <w:rPr>
          <w:rFonts w:cs="Times New Roman"/>
          <w:szCs w:val="24"/>
        </w:rPr>
        <w:t>analysis of viral communit</w:t>
      </w:r>
      <w:r w:rsidR="002079AE" w:rsidRPr="00DA42F5">
        <w:rPr>
          <w:rFonts w:cs="Times New Roman"/>
          <w:szCs w:val="24"/>
        </w:rPr>
        <w:t>ies</w:t>
      </w:r>
      <w:r w:rsidRPr="00DA42F5">
        <w:rPr>
          <w:rFonts w:cs="Times New Roman"/>
          <w:szCs w:val="24"/>
        </w:rPr>
        <w:t xml:space="preserve"> in the shotgun metagenomic </w:t>
      </w:r>
      <w:r w:rsidR="00960FC0" w:rsidRPr="00DA42F5">
        <w:rPr>
          <w:rFonts w:cs="Times New Roman"/>
          <w:szCs w:val="24"/>
        </w:rPr>
        <w:t>samples</w:t>
      </w:r>
      <w:r w:rsidR="002079AE" w:rsidRPr="00DA42F5">
        <w:rPr>
          <w:rFonts w:cs="Times New Roman"/>
          <w:szCs w:val="24"/>
        </w:rPr>
        <w:t>,</w:t>
      </w:r>
      <w:r w:rsidRPr="00DA42F5">
        <w:rPr>
          <w:rFonts w:cs="Times New Roman"/>
          <w:szCs w:val="24"/>
        </w:rPr>
        <w:t xml:space="preserve"> w</w:t>
      </w:r>
      <w:r w:rsidR="00EB228B" w:rsidRPr="00DA42F5">
        <w:rPr>
          <w:rFonts w:cs="Times New Roman"/>
          <w:szCs w:val="24"/>
        </w:rPr>
        <w:t xml:space="preserve">e used </w:t>
      </w:r>
      <w:proofErr w:type="spellStart"/>
      <w:r w:rsidR="00EB228B" w:rsidRPr="00DA42F5">
        <w:rPr>
          <w:rFonts w:cs="Times New Roman"/>
          <w:szCs w:val="24"/>
        </w:rPr>
        <w:t>geNo</w:t>
      </w:r>
      <w:r w:rsidR="00607519" w:rsidRPr="00DA42F5">
        <w:rPr>
          <w:rFonts w:cs="Times New Roman"/>
          <w:szCs w:val="24"/>
        </w:rPr>
        <w:t>mad</w:t>
      </w:r>
      <w:proofErr w:type="spellEnd"/>
      <w:r w:rsidR="00607519" w:rsidRPr="00DA42F5">
        <w:rPr>
          <w:rFonts w:cs="Times New Roman"/>
          <w:szCs w:val="24"/>
        </w:rPr>
        <w:t xml:space="preserve"> </w:t>
      </w:r>
      <w:r w:rsidR="00607519" w:rsidRPr="00DA42F5">
        <w:rPr>
          <w:rFonts w:cs="Times New Roman"/>
          <w:szCs w:val="24"/>
        </w:rPr>
        <w:fldChar w:fldCharType="begin"/>
      </w:r>
      <w:r w:rsidR="00494014">
        <w:rPr>
          <w:rFonts w:cs="Times New Roman"/>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apply","page":"1303-1312","publisher":"Nature Publishing Group","source":"www.nature.com","title":"Identification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DA42F5">
        <w:rPr>
          <w:rFonts w:cs="Times New Roman"/>
          <w:szCs w:val="24"/>
        </w:rPr>
        <w:fldChar w:fldCharType="separate"/>
      </w:r>
      <w:r w:rsidR="00607519" w:rsidRPr="00DA42F5">
        <w:rPr>
          <w:rFonts w:cs="Times New Roman"/>
          <w:szCs w:val="24"/>
        </w:rPr>
        <w:t>(Camargo et al., 2024)</w:t>
      </w:r>
      <w:r w:rsidR="00607519" w:rsidRPr="00DA42F5">
        <w:rPr>
          <w:rFonts w:cs="Times New Roman"/>
          <w:szCs w:val="24"/>
        </w:rPr>
        <w:fldChar w:fldCharType="end"/>
      </w:r>
      <w:r w:rsidR="00EB228B" w:rsidRPr="00DA42F5">
        <w:rPr>
          <w:rFonts w:cs="Times New Roman"/>
          <w:szCs w:val="24"/>
        </w:rPr>
        <w:t xml:space="preserve">. </w:t>
      </w:r>
      <w:proofErr w:type="spellStart"/>
      <w:r w:rsidR="00EB228B" w:rsidRPr="00DA42F5">
        <w:rPr>
          <w:rFonts w:cs="Times New Roman"/>
          <w:szCs w:val="24"/>
        </w:rPr>
        <w:t>geNomad</w:t>
      </w:r>
      <w:proofErr w:type="spellEnd"/>
      <w:r w:rsidR="00EB228B" w:rsidRPr="00DA42F5">
        <w:rPr>
          <w:rFonts w:cs="Times New Roman"/>
          <w:szCs w:val="24"/>
        </w:rPr>
        <w:t xml:space="preserve"> combine</w:t>
      </w:r>
      <w:r w:rsidR="00A571C2" w:rsidRPr="00DA42F5">
        <w:rPr>
          <w:rFonts w:cs="Times New Roman"/>
          <w:szCs w:val="24"/>
        </w:rPr>
        <w:t>s</w:t>
      </w:r>
      <w:r w:rsidR="00EB228B" w:rsidRPr="00DA42F5">
        <w:rPr>
          <w:rFonts w:cs="Times New Roman"/>
          <w:szCs w:val="24"/>
        </w:rPr>
        <w:t xml:space="preserve"> alignment-free and gene-based classifier</w:t>
      </w:r>
      <w:r w:rsidR="002079AE" w:rsidRPr="00DA42F5">
        <w:rPr>
          <w:rFonts w:cs="Times New Roman"/>
          <w:szCs w:val="24"/>
        </w:rPr>
        <w:t>s</w:t>
      </w:r>
      <w:r w:rsidR="00EB228B" w:rsidRPr="00DA42F5">
        <w:rPr>
          <w:rFonts w:cs="Times New Roman"/>
          <w:szCs w:val="24"/>
        </w:rPr>
        <w:t xml:space="preserve"> to improve </w:t>
      </w:r>
      <w:r w:rsidR="002079AE" w:rsidRPr="00DA42F5">
        <w:rPr>
          <w:rFonts w:cs="Times New Roman"/>
          <w:szCs w:val="24"/>
        </w:rPr>
        <w:t xml:space="preserve">the </w:t>
      </w:r>
      <w:r w:rsidR="00EB228B" w:rsidRPr="00DA42F5">
        <w:rPr>
          <w:rFonts w:cs="Times New Roman"/>
          <w:szCs w:val="24"/>
        </w:rPr>
        <w:t>classification performance</w:t>
      </w:r>
      <w:r w:rsidR="00607519" w:rsidRPr="00DA42F5">
        <w:rPr>
          <w:rFonts w:cs="Times New Roman"/>
          <w:szCs w:val="24"/>
        </w:rPr>
        <w:t xml:space="preserve"> of viral sequences. Viral sequences were analysed at the </w:t>
      </w:r>
      <w:r w:rsidR="002079AE" w:rsidRPr="00DA42F5">
        <w:rPr>
          <w:rFonts w:cs="Times New Roman"/>
          <w:szCs w:val="24"/>
        </w:rPr>
        <w:t>c</w:t>
      </w:r>
      <w:r w:rsidR="00607519" w:rsidRPr="00DA42F5">
        <w:rPr>
          <w:rFonts w:cs="Times New Roman"/>
          <w:szCs w:val="24"/>
        </w:rPr>
        <w:t xml:space="preserve">lass and </w:t>
      </w:r>
      <w:r w:rsidR="002079AE" w:rsidRPr="00DA42F5">
        <w:rPr>
          <w:rFonts w:cs="Times New Roman"/>
          <w:szCs w:val="24"/>
        </w:rPr>
        <w:t>f</w:t>
      </w:r>
      <w:r w:rsidR="00607519" w:rsidRPr="00DA42F5">
        <w:rPr>
          <w:rFonts w:cs="Times New Roman"/>
          <w:szCs w:val="24"/>
        </w:rPr>
        <w:t>amily level</w:t>
      </w:r>
      <w:r w:rsidR="002079AE" w:rsidRPr="00DA42F5">
        <w:rPr>
          <w:rFonts w:cs="Times New Roman"/>
          <w:szCs w:val="24"/>
        </w:rPr>
        <w:t>s</w:t>
      </w:r>
      <w:r w:rsidR="00607519" w:rsidRPr="00DA42F5">
        <w:rPr>
          <w:rFonts w:cs="Times New Roman"/>
          <w:szCs w:val="24"/>
        </w:rPr>
        <w:t xml:space="preserve"> where possible, to explore abundance, diversity</w:t>
      </w:r>
      <w:r w:rsidR="002079AE" w:rsidRPr="00DA42F5">
        <w:rPr>
          <w:rFonts w:cs="Times New Roman"/>
          <w:szCs w:val="24"/>
        </w:rPr>
        <w:t>,</w:t>
      </w:r>
      <w:r w:rsidR="00607519" w:rsidRPr="00DA42F5">
        <w:rPr>
          <w:rFonts w:cs="Times New Roman"/>
          <w:szCs w:val="24"/>
        </w:rPr>
        <w:t xml:space="preserve"> and persistence within and across individuals</w:t>
      </w:r>
      <w:r w:rsidR="00A571C2" w:rsidRPr="00DA42F5">
        <w:rPr>
          <w:rFonts w:cs="Times New Roman"/>
          <w:szCs w:val="24"/>
        </w:rPr>
        <w:t>.</w:t>
      </w:r>
      <w:r w:rsidR="00575DD2" w:rsidRPr="00DA42F5">
        <w:rPr>
          <w:rFonts w:cs="Times New Roman"/>
          <w:color w:val="70AD47" w:themeColor="accent6"/>
          <w:szCs w:val="24"/>
        </w:rPr>
        <w:t xml:space="preserve"> </w:t>
      </w:r>
    </w:p>
    <w:p w14:paraId="55279070" w14:textId="5BCD3241" w:rsidR="00DB6904" w:rsidRPr="00DA42F5" w:rsidRDefault="00DB6904" w:rsidP="00CD77AB">
      <w:pPr>
        <w:rPr>
          <w:rFonts w:cs="Times New Roman"/>
          <w:color w:val="70AD47" w:themeColor="accent6"/>
          <w:szCs w:val="24"/>
        </w:rPr>
      </w:pPr>
      <w:r w:rsidRPr="00DA42F5">
        <w:rPr>
          <w:rFonts w:cs="Times New Roman"/>
          <w:szCs w:val="24"/>
        </w:rPr>
        <w:t>Alpha and beta diversity, composition</w:t>
      </w:r>
      <w:r w:rsidR="002079AE" w:rsidRPr="00DA42F5">
        <w:rPr>
          <w:rFonts w:cs="Times New Roman"/>
          <w:szCs w:val="24"/>
        </w:rPr>
        <w:t>,</w:t>
      </w:r>
      <w:r w:rsidRPr="00DA42F5">
        <w:rPr>
          <w:rFonts w:cs="Times New Roman"/>
          <w:szCs w:val="24"/>
        </w:rPr>
        <w:t xml:space="preserve"> and other graphical representations were calculated </w:t>
      </w:r>
      <w:r w:rsidR="002079AE" w:rsidRPr="00DA42F5">
        <w:rPr>
          <w:rFonts w:cs="Times New Roman"/>
          <w:szCs w:val="24"/>
        </w:rPr>
        <w:t>using</w:t>
      </w:r>
      <w:r w:rsidRPr="00DA42F5">
        <w:rPr>
          <w:rFonts w:cs="Times New Roman"/>
          <w:szCs w:val="24"/>
        </w:rPr>
        <w:t xml:space="preserve"> functions in the R package ‘vegan’ at the </w:t>
      </w:r>
      <w:proofErr w:type="spellStart"/>
      <w:r w:rsidR="005B0BE4" w:rsidRPr="00DA42F5">
        <w:rPr>
          <w:rFonts w:cs="Times New Roman"/>
          <w:szCs w:val="24"/>
        </w:rPr>
        <w:t>SGB</w:t>
      </w:r>
      <w:proofErr w:type="spellEnd"/>
      <w:r w:rsidR="005B0BE4" w:rsidRPr="00DA42F5">
        <w:rPr>
          <w:rFonts w:cs="Times New Roman"/>
          <w:szCs w:val="24"/>
        </w:rPr>
        <w:t xml:space="preserve"> level </w:t>
      </w:r>
      <w:r w:rsidR="00506EB8" w:rsidRPr="00DA42F5">
        <w:rPr>
          <w:rFonts w:cs="Times New Roman"/>
          <w:szCs w:val="24"/>
        </w:rPr>
        <w:t>for bacterial, archaeal</w:t>
      </w:r>
      <w:r w:rsidR="002079AE" w:rsidRPr="00DA42F5">
        <w:rPr>
          <w:rFonts w:cs="Times New Roman"/>
          <w:szCs w:val="24"/>
        </w:rPr>
        <w:t xml:space="preserve">, </w:t>
      </w:r>
      <w:r w:rsidR="00506EB8" w:rsidRPr="00DA42F5">
        <w:rPr>
          <w:rFonts w:cs="Times New Roman"/>
          <w:szCs w:val="24"/>
        </w:rPr>
        <w:t>and eukaryotic data</w:t>
      </w:r>
      <w:r w:rsidR="002079AE" w:rsidRPr="00DA42F5">
        <w:rPr>
          <w:rFonts w:cs="Times New Roman"/>
          <w:szCs w:val="24"/>
        </w:rPr>
        <w:t>,</w:t>
      </w:r>
      <w:r w:rsidR="00506EB8" w:rsidRPr="00DA42F5">
        <w:rPr>
          <w:rFonts w:cs="Times New Roman"/>
          <w:szCs w:val="24"/>
        </w:rPr>
        <w:t xml:space="preserve"> and at</w:t>
      </w:r>
      <w:r w:rsidRPr="00DA42F5">
        <w:rPr>
          <w:rFonts w:cs="Times New Roman"/>
          <w:szCs w:val="24"/>
        </w:rPr>
        <w:t xml:space="preserve"> </w:t>
      </w:r>
      <w:r w:rsidR="00BD2E54" w:rsidRPr="00DA42F5">
        <w:rPr>
          <w:rFonts w:cs="Times New Roman"/>
          <w:szCs w:val="24"/>
        </w:rPr>
        <w:t xml:space="preserve">the </w:t>
      </w:r>
      <w:r w:rsidR="00506EB8" w:rsidRPr="00DA42F5">
        <w:rPr>
          <w:rFonts w:cs="Times New Roman"/>
          <w:szCs w:val="24"/>
        </w:rPr>
        <w:t xml:space="preserve">family and </w:t>
      </w:r>
      <w:r w:rsidRPr="00DA42F5">
        <w:rPr>
          <w:rFonts w:cs="Times New Roman"/>
          <w:szCs w:val="24"/>
        </w:rPr>
        <w:t>class</w:t>
      </w:r>
      <w:r w:rsidR="002079AE" w:rsidRPr="00DA42F5">
        <w:rPr>
          <w:rFonts w:cs="Times New Roman"/>
          <w:szCs w:val="24"/>
        </w:rPr>
        <w:t xml:space="preserve"> </w:t>
      </w:r>
      <w:r w:rsidRPr="00DA42F5">
        <w:rPr>
          <w:rFonts w:cs="Times New Roman"/>
          <w:szCs w:val="24"/>
        </w:rPr>
        <w:t>level</w:t>
      </w:r>
      <w:r w:rsidR="002079AE" w:rsidRPr="00DA42F5">
        <w:rPr>
          <w:rFonts w:cs="Times New Roman"/>
          <w:szCs w:val="24"/>
        </w:rPr>
        <w:t>s</w:t>
      </w:r>
      <w:r w:rsidRPr="00DA42F5">
        <w:rPr>
          <w:rFonts w:cs="Times New Roman"/>
          <w:szCs w:val="24"/>
        </w:rPr>
        <w:t xml:space="preserve"> for viral sequences. </w:t>
      </w:r>
    </w:p>
    <w:p w14:paraId="4204B97F" w14:textId="77777777" w:rsidR="00173621" w:rsidRPr="00DA42F5" w:rsidRDefault="00173621" w:rsidP="00CD77AB">
      <w:pPr>
        <w:rPr>
          <w:rFonts w:cs="Times New Roman"/>
          <w:szCs w:val="24"/>
        </w:rPr>
      </w:pPr>
    </w:p>
    <w:p w14:paraId="395B1019" w14:textId="23E2F263" w:rsidR="005B2B25" w:rsidRPr="00DA42F5" w:rsidRDefault="005C0775" w:rsidP="00221812">
      <w:pPr>
        <w:pStyle w:val="Heading4"/>
        <w:numPr>
          <w:ilvl w:val="3"/>
          <w:numId w:val="26"/>
        </w:numPr>
        <w:rPr>
          <w:b/>
        </w:rPr>
      </w:pPr>
      <w:bookmarkStart w:id="131" w:name="_Toc216099732"/>
      <w:bookmarkStart w:id="132" w:name="_Toc220591383"/>
      <w:r w:rsidRPr="00DA42F5">
        <w:t>Gene</w:t>
      </w:r>
      <w:r w:rsidR="003125AC" w:rsidRPr="00DA42F5">
        <w:t>-</w:t>
      </w:r>
      <w:r w:rsidR="003467DA" w:rsidRPr="00DA42F5">
        <w:t>based d</w:t>
      </w:r>
      <w:r w:rsidR="00ED29DA" w:rsidRPr="00DA42F5">
        <w:t xml:space="preserve">etermination of sporulation </w:t>
      </w:r>
      <w:r w:rsidR="00494014">
        <w:t>capacity</w:t>
      </w:r>
      <w:r w:rsidR="00ED29DA" w:rsidRPr="00DA42F5">
        <w:t xml:space="preserve"> </w:t>
      </w:r>
      <w:r w:rsidR="003125AC" w:rsidRPr="00DA42F5">
        <w:t>for bacterial species</w:t>
      </w:r>
      <w:bookmarkEnd w:id="131"/>
      <w:bookmarkEnd w:id="132"/>
    </w:p>
    <w:p w14:paraId="4C4A9A07" w14:textId="274BC657" w:rsidR="00D16657" w:rsidRPr="00DA42F5" w:rsidRDefault="00A81532" w:rsidP="00CD77AB">
      <w:pPr>
        <w:rPr>
          <w:rFonts w:cs="Times New Roman"/>
          <w:szCs w:val="24"/>
        </w:rPr>
      </w:pPr>
      <w:r w:rsidRPr="00DA42F5">
        <w:rPr>
          <w:rFonts w:cs="Times New Roman"/>
          <w:szCs w:val="24"/>
        </w:rPr>
        <w:t xml:space="preserve">Sporulation </w:t>
      </w:r>
      <w:r w:rsidR="00494014">
        <w:rPr>
          <w:rFonts w:cs="Times New Roman"/>
          <w:szCs w:val="24"/>
        </w:rPr>
        <w:t>capacity</w:t>
      </w:r>
      <w:r w:rsidRPr="00DA42F5">
        <w:rPr>
          <w:rFonts w:cs="Times New Roman"/>
          <w:szCs w:val="24"/>
        </w:rPr>
        <w:t xml:space="preserve"> was determined for all bacterial species detected in </w:t>
      </w:r>
      <w:del w:id="133" w:author="Urša Miklavčič" w:date="2026-01-29T15:00:00Z" w16du:dateUtc="2026-01-29T14:00:00Z">
        <w:r w:rsidRPr="00DA42F5" w:rsidDel="00B41263">
          <w:rPr>
            <w:rFonts w:cs="Times New Roman"/>
            <w:szCs w:val="24"/>
          </w:rPr>
          <w:delText>bulk microbiota</w:delText>
        </w:r>
      </w:del>
      <w:ins w:id="134" w:author="Urša Miklavčič" w:date="2026-01-29T15:00:00Z" w16du:dateUtc="2026-01-29T14:00:00Z">
        <w:r w:rsidR="00B41263">
          <w:rPr>
            <w:rFonts w:cs="Times New Roman"/>
            <w:szCs w:val="24"/>
          </w:rPr>
          <w:t>untreated</w:t>
        </w:r>
      </w:ins>
      <w:r w:rsidRPr="00DA42F5">
        <w:rPr>
          <w:rFonts w:cs="Times New Roman"/>
          <w:szCs w:val="24"/>
        </w:rPr>
        <w:t xml:space="preserve"> and ethanol treated samples</w:t>
      </w:r>
      <w:r w:rsidR="005B0BE4" w:rsidRPr="00DA42F5">
        <w:rPr>
          <w:rFonts w:cs="Times New Roman"/>
          <w:szCs w:val="24"/>
        </w:rPr>
        <w:t xml:space="preserve"> where the single-genome bin also had an </w:t>
      </w:r>
      <w:proofErr w:type="spellStart"/>
      <w:r w:rsidR="005B0BE4" w:rsidRPr="00DA42F5">
        <w:rPr>
          <w:rFonts w:cs="Times New Roman"/>
          <w:szCs w:val="24"/>
        </w:rPr>
        <w:t>NCBI</w:t>
      </w:r>
      <w:proofErr w:type="spellEnd"/>
      <w:r w:rsidR="005B0BE4" w:rsidRPr="00DA42F5">
        <w:rPr>
          <w:rFonts w:cs="Times New Roman"/>
          <w:szCs w:val="24"/>
        </w:rPr>
        <w:t xml:space="preserve"> species-level classification</w:t>
      </w:r>
      <w:r w:rsidR="00D16657" w:rsidRPr="00DA42F5">
        <w:rPr>
          <w:rFonts w:cs="Times New Roman"/>
          <w:szCs w:val="24"/>
        </w:rPr>
        <w:t xml:space="preserve">. </w:t>
      </w:r>
      <w:r w:rsidR="001D04C4" w:rsidRPr="00DA42F5">
        <w:rPr>
          <w:rFonts w:cs="Times New Roman"/>
          <w:szCs w:val="24"/>
        </w:rPr>
        <w:t>The g</w:t>
      </w:r>
      <w:r w:rsidR="00D16657" w:rsidRPr="00DA42F5">
        <w:rPr>
          <w:rFonts w:cs="Times New Roman"/>
          <w:szCs w:val="24"/>
        </w:rPr>
        <w:t xml:space="preserve">ene signature </w:t>
      </w:r>
      <w:r w:rsidR="001D04C4" w:rsidRPr="00DA42F5">
        <w:rPr>
          <w:rFonts w:cs="Times New Roman"/>
          <w:szCs w:val="24"/>
        </w:rPr>
        <w:t>comprised</w:t>
      </w:r>
      <w:r w:rsidR="00D16657" w:rsidRPr="00DA42F5">
        <w:rPr>
          <w:rFonts w:cs="Times New Roman"/>
          <w:szCs w:val="24"/>
        </w:rPr>
        <w:t xml:space="preserve"> </w:t>
      </w:r>
      <w:r w:rsidR="005B2B25" w:rsidRPr="00DA42F5">
        <w:rPr>
          <w:rFonts w:cs="Times New Roman"/>
          <w:szCs w:val="24"/>
        </w:rPr>
        <w:t>66 conserved genes</w:t>
      </w:r>
      <w:r w:rsidR="00D16657" w:rsidRPr="00DA42F5">
        <w:rPr>
          <w:rFonts w:cs="Times New Roman"/>
          <w:szCs w:val="24"/>
        </w:rPr>
        <w:t xml:space="preserve"> </w:t>
      </w:r>
      <w:r w:rsidR="005B2B25" w:rsidRPr="00DA42F5">
        <w:rPr>
          <w:rFonts w:cs="Times New Roman"/>
          <w:szCs w:val="24"/>
        </w:rPr>
        <w:t>(</w:t>
      </w:r>
      <w:r w:rsidR="005C0775" w:rsidRPr="00DA42F5">
        <w:rPr>
          <w:rFonts w:cs="Times New Roman"/>
          <w:szCs w:val="24"/>
        </w:rPr>
        <w:t xml:space="preserve">Supplement Table </w:t>
      </w:r>
      <w:r w:rsidR="005B0BE4" w:rsidRPr="00DA42F5">
        <w:rPr>
          <w:rFonts w:cs="Times New Roman"/>
          <w:szCs w:val="24"/>
        </w:rPr>
        <w:t>6</w:t>
      </w:r>
      <w:r w:rsidR="005B2B25" w:rsidRPr="00DA42F5">
        <w:rPr>
          <w:rFonts w:cs="Times New Roman"/>
          <w:szCs w:val="24"/>
        </w:rPr>
        <w:t>) previously shown to predict</w:t>
      </w:r>
      <w:r w:rsidR="001D04C4" w:rsidRPr="00DA42F5">
        <w:rPr>
          <w:rFonts w:cs="Times New Roman"/>
          <w:szCs w:val="24"/>
        </w:rPr>
        <w:t xml:space="preserve"> the</w:t>
      </w:r>
      <w:r w:rsidR="005B2B25" w:rsidRPr="00DA42F5">
        <w:rPr>
          <w:rFonts w:cs="Times New Roman"/>
          <w:szCs w:val="24"/>
        </w:rPr>
        <w:t xml:space="preserve"> </w:t>
      </w:r>
      <w:r w:rsidR="00494014">
        <w:rPr>
          <w:rFonts w:cs="Times New Roman"/>
          <w:szCs w:val="24"/>
        </w:rPr>
        <w:t>sporulation capacity</w:t>
      </w:r>
      <w:r w:rsidR="005B2B25" w:rsidRPr="00DA42F5">
        <w:rPr>
          <w:rFonts w:cs="Times New Roman"/>
          <w:szCs w:val="24"/>
        </w:rPr>
        <w:t xml:space="preserve"> of bacterial species isolated from diverse environments with high accuracy </w:t>
      </w:r>
      <w:r w:rsidR="00607519" w:rsidRPr="00DA42F5">
        <w:rPr>
          <w:rFonts w:cs="Times New Roman"/>
          <w:szCs w:val="24"/>
        </w:rPr>
        <w:fldChar w:fldCharType="begin"/>
      </w:r>
      <w:r w:rsidR="00494014">
        <w:rPr>
          <w:rFonts w:cs="Times New Roman"/>
          <w:szCs w:val="24"/>
        </w:rPr>
        <w:instrText xml:space="preserve"> ADDIN ZOTERO_ITEM CSL_CITATION {"citationID":"laokekbz","properties":{"formattedCitation":"(Browne et al., 2016a, 2021)","plainCitation":"(Browne et al., 2016a,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DA42F5">
        <w:rPr>
          <w:rFonts w:cs="Times New Roman"/>
          <w:szCs w:val="24"/>
        </w:rPr>
        <w:fldChar w:fldCharType="separate"/>
      </w:r>
      <w:r w:rsidR="00494014" w:rsidRPr="00494014">
        <w:rPr>
          <w:rFonts w:cs="Times New Roman"/>
        </w:rPr>
        <w:t>(Browne et al., 2016a, 2021)</w:t>
      </w:r>
      <w:r w:rsidR="00607519" w:rsidRPr="00DA42F5">
        <w:rPr>
          <w:rFonts w:cs="Times New Roman"/>
          <w:szCs w:val="24"/>
        </w:rPr>
        <w:fldChar w:fldCharType="end"/>
      </w:r>
      <w:r w:rsidRPr="00DA42F5">
        <w:rPr>
          <w:rFonts w:cs="Times New Roman"/>
          <w:szCs w:val="24"/>
        </w:rPr>
        <w:t xml:space="preserve">. </w:t>
      </w:r>
      <w:r w:rsidR="00575DD2" w:rsidRPr="00DA42F5">
        <w:rPr>
          <w:rFonts w:cs="Times New Roman"/>
          <w:szCs w:val="24"/>
        </w:rPr>
        <w:t>Reference genome</w:t>
      </w:r>
      <w:r w:rsidR="001D04C4" w:rsidRPr="00DA42F5">
        <w:rPr>
          <w:rFonts w:cs="Times New Roman"/>
          <w:szCs w:val="24"/>
        </w:rPr>
        <w:t>s</w:t>
      </w:r>
      <w:r w:rsidR="00575DD2" w:rsidRPr="00DA42F5">
        <w:rPr>
          <w:rFonts w:cs="Times New Roman"/>
          <w:szCs w:val="24"/>
        </w:rPr>
        <w:t xml:space="preserve"> for detected species were retrieved from the </w:t>
      </w:r>
      <w:proofErr w:type="spellStart"/>
      <w:r w:rsidR="00575DD2" w:rsidRPr="00DA42F5">
        <w:rPr>
          <w:rFonts w:cs="Times New Roman"/>
          <w:szCs w:val="24"/>
        </w:rPr>
        <w:t>NCBI</w:t>
      </w:r>
      <w:proofErr w:type="spellEnd"/>
      <w:r w:rsidR="003125AC" w:rsidRPr="00DA42F5">
        <w:rPr>
          <w:rFonts w:cs="Times New Roman"/>
          <w:szCs w:val="24"/>
        </w:rPr>
        <w:t>, based on representative genome</w:t>
      </w:r>
      <w:r w:rsidR="001D04C4" w:rsidRPr="00DA42F5">
        <w:rPr>
          <w:rFonts w:cs="Times New Roman"/>
          <w:szCs w:val="24"/>
        </w:rPr>
        <w:t>s</w:t>
      </w:r>
      <w:r w:rsidR="003125AC" w:rsidRPr="00DA42F5">
        <w:rPr>
          <w:rFonts w:cs="Times New Roman"/>
          <w:szCs w:val="24"/>
        </w:rPr>
        <w:t xml:space="preserve"> from </w:t>
      </w:r>
      <w:proofErr w:type="spellStart"/>
      <w:r w:rsidR="003125AC" w:rsidRPr="00DA42F5">
        <w:rPr>
          <w:rFonts w:cs="Times New Roman"/>
          <w:szCs w:val="24"/>
        </w:rPr>
        <w:t>GTDB</w:t>
      </w:r>
      <w:proofErr w:type="spellEnd"/>
      <w:r w:rsidR="003125AC" w:rsidRPr="00DA42F5">
        <w:rPr>
          <w:rFonts w:cs="Times New Roman"/>
          <w:szCs w:val="24"/>
        </w:rPr>
        <w:t>. For each s</w:t>
      </w:r>
      <w:r w:rsidR="00D16657" w:rsidRPr="00DA42F5">
        <w:rPr>
          <w:rFonts w:cs="Times New Roman"/>
          <w:szCs w:val="24"/>
        </w:rPr>
        <w:t>pecies</w:t>
      </w:r>
      <w:r w:rsidR="001D04C4" w:rsidRPr="00DA42F5">
        <w:rPr>
          <w:rFonts w:cs="Times New Roman"/>
          <w:szCs w:val="24"/>
        </w:rPr>
        <w:t>,</w:t>
      </w:r>
      <w:r w:rsidR="00D16657" w:rsidRPr="00DA42F5">
        <w:rPr>
          <w:rFonts w:cs="Times New Roman"/>
          <w:szCs w:val="24"/>
        </w:rPr>
        <w:t xml:space="preserve"> </w:t>
      </w:r>
      <w:r w:rsidR="003125AC" w:rsidRPr="00DA42F5">
        <w:rPr>
          <w:rFonts w:cs="Times New Roman"/>
          <w:szCs w:val="24"/>
        </w:rPr>
        <w:t>gene presence</w:t>
      </w:r>
      <w:r w:rsidR="00D16657" w:rsidRPr="00DA42F5">
        <w:rPr>
          <w:rFonts w:cs="Times New Roman"/>
          <w:szCs w:val="24"/>
        </w:rPr>
        <w:t xml:space="preserve"> was </w:t>
      </w:r>
      <w:r w:rsidR="001D04C4" w:rsidRPr="00DA42F5">
        <w:rPr>
          <w:rFonts w:cs="Times New Roman"/>
          <w:szCs w:val="24"/>
        </w:rPr>
        <w:t>assessed</w:t>
      </w:r>
      <w:r w:rsidR="00D16657" w:rsidRPr="00DA42F5">
        <w:rPr>
          <w:rFonts w:cs="Times New Roman"/>
          <w:szCs w:val="24"/>
        </w:rPr>
        <w:t xml:space="preserve"> using BLAST-based gene detection</w:t>
      </w:r>
      <w:r w:rsidR="005C0775" w:rsidRPr="00DA42F5">
        <w:rPr>
          <w:rFonts w:cs="Times New Roman"/>
          <w:szCs w:val="24"/>
        </w:rPr>
        <w:t xml:space="preserve"> (e-value &lt; 1</w:t>
      </w:r>
      <w:r w:rsidR="00BD2E54" w:rsidRPr="00DA42F5">
        <w:rPr>
          <w:rFonts w:cs="Times New Roman"/>
          <w:szCs w:val="24"/>
        </w:rPr>
        <w:t xml:space="preserve"> × 10</w:t>
      </w:r>
      <w:r w:rsidR="0007616D" w:rsidRPr="00DA42F5">
        <w:rPr>
          <w:rFonts w:cs="Times New Roman"/>
          <w:szCs w:val="24"/>
          <w:vertAlign w:val="superscript"/>
        </w:rPr>
        <w:t>-5</w:t>
      </w:r>
      <w:r w:rsidR="005C0775" w:rsidRPr="00DA42F5">
        <w:rPr>
          <w:rFonts w:cs="Times New Roman"/>
          <w:szCs w:val="24"/>
        </w:rPr>
        <w:t xml:space="preserve"> and identity &gt; 30%)</w:t>
      </w:r>
      <w:r w:rsidR="00330798" w:rsidRPr="00DA42F5">
        <w:rPr>
          <w:rFonts w:cs="Times New Roman"/>
          <w:szCs w:val="24"/>
        </w:rPr>
        <w:t xml:space="preserve"> </w:t>
      </w:r>
      <w:r w:rsidR="00330798" w:rsidRPr="00DA42F5">
        <w:rPr>
          <w:rFonts w:cs="Times New Roman"/>
          <w:szCs w:val="24"/>
        </w:rPr>
        <w:fldChar w:fldCharType="begin"/>
      </w:r>
      <w:r w:rsidR="00494014">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Res","page":"D20-D29","PMID":"39526373","PMCID":"PMC11701734","source":"PubMed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DA42F5">
        <w:rPr>
          <w:rFonts w:cs="Times New Roman"/>
          <w:szCs w:val="24"/>
        </w:rPr>
        <w:fldChar w:fldCharType="separate"/>
      </w:r>
      <w:r w:rsidR="00330798" w:rsidRPr="00DA42F5">
        <w:rPr>
          <w:rFonts w:cs="Times New Roman"/>
          <w:szCs w:val="24"/>
        </w:rPr>
        <w:t>(Camacho et al., 2009; Sayers et al., 2024)</w:t>
      </w:r>
      <w:r w:rsidR="00330798" w:rsidRPr="00DA42F5">
        <w:rPr>
          <w:rFonts w:cs="Times New Roman"/>
          <w:szCs w:val="24"/>
        </w:rPr>
        <w:fldChar w:fldCharType="end"/>
      </w:r>
      <w:r w:rsidR="00330798" w:rsidRPr="00DA42F5">
        <w:rPr>
          <w:rFonts w:cs="Times New Roman"/>
          <w:szCs w:val="24"/>
        </w:rPr>
        <w:t>.</w:t>
      </w:r>
      <w:r w:rsidR="005C0775" w:rsidRPr="00DA42F5">
        <w:rPr>
          <w:rFonts w:cs="Times New Roman"/>
          <w:szCs w:val="24"/>
        </w:rPr>
        <w:t xml:space="preserve"> If a genome had more than 33 genes present</w:t>
      </w:r>
      <w:r w:rsidR="001D04C4" w:rsidRPr="00DA42F5">
        <w:rPr>
          <w:rFonts w:cs="Times New Roman"/>
          <w:szCs w:val="24"/>
        </w:rPr>
        <w:t>,</w:t>
      </w:r>
      <w:r w:rsidR="005C0775" w:rsidRPr="00DA42F5">
        <w:rPr>
          <w:rFonts w:cs="Times New Roman"/>
          <w:szCs w:val="24"/>
        </w:rPr>
        <w:t xml:space="preserve"> </w:t>
      </w:r>
      <w:r w:rsidR="00BD2E54" w:rsidRPr="00DA42F5">
        <w:rPr>
          <w:rFonts w:cs="Times New Roman"/>
          <w:szCs w:val="24"/>
        </w:rPr>
        <w:t>including</w:t>
      </w:r>
      <w:r w:rsidR="005C0775" w:rsidRPr="00DA42F5">
        <w:rPr>
          <w:rFonts w:cs="Times New Roman"/>
          <w:szCs w:val="24"/>
        </w:rPr>
        <w:t xml:space="preserve"> the </w:t>
      </w:r>
      <w:proofErr w:type="spellStart"/>
      <w:r w:rsidR="005C0775" w:rsidRPr="00DA42F5">
        <w:rPr>
          <w:rFonts w:cs="Times New Roman"/>
          <w:szCs w:val="24"/>
        </w:rPr>
        <w:t>spo0A</w:t>
      </w:r>
      <w:proofErr w:type="spellEnd"/>
      <w:r w:rsidR="005C0775" w:rsidRPr="00DA42F5">
        <w:rPr>
          <w:rFonts w:cs="Times New Roman"/>
          <w:szCs w:val="24"/>
        </w:rPr>
        <w:t xml:space="preserve"> gene, </w:t>
      </w:r>
      <w:r w:rsidR="001D04C4" w:rsidRPr="00DA42F5">
        <w:rPr>
          <w:rFonts w:cs="Times New Roman"/>
          <w:szCs w:val="24"/>
        </w:rPr>
        <w:t xml:space="preserve">the </w:t>
      </w:r>
      <w:r w:rsidR="005C0775" w:rsidRPr="00DA42F5">
        <w:rPr>
          <w:rFonts w:cs="Times New Roman"/>
          <w:szCs w:val="24"/>
        </w:rPr>
        <w:t>species was classified as spore-forming.</w:t>
      </w:r>
      <w:r w:rsidR="00575DD2" w:rsidRPr="00DA42F5">
        <w:rPr>
          <w:rFonts w:cs="Times New Roman"/>
          <w:szCs w:val="24"/>
        </w:rPr>
        <w:t xml:space="preserve"> The method is </w:t>
      </w:r>
      <w:r w:rsidR="001D04C4" w:rsidRPr="00DA42F5">
        <w:rPr>
          <w:rFonts w:cs="Times New Roman"/>
          <w:szCs w:val="24"/>
        </w:rPr>
        <w:t>supported</w:t>
      </w:r>
      <w:r w:rsidR="00575DD2" w:rsidRPr="00DA42F5">
        <w:rPr>
          <w:rFonts w:cs="Times New Roman"/>
          <w:szCs w:val="24"/>
        </w:rPr>
        <w:t xml:space="preserve"> by the distribution of the number of genes present in </w:t>
      </w:r>
      <w:r w:rsidR="001D04C4" w:rsidRPr="00DA42F5">
        <w:rPr>
          <w:rFonts w:cs="Times New Roman"/>
          <w:szCs w:val="24"/>
        </w:rPr>
        <w:t xml:space="preserve">a </w:t>
      </w:r>
      <w:r w:rsidR="00575DD2" w:rsidRPr="00DA42F5">
        <w:rPr>
          <w:rFonts w:cs="Times New Roman"/>
          <w:szCs w:val="24"/>
        </w:rPr>
        <w:t>diverse set of genomes, with a clear break at 30 genes</w:t>
      </w:r>
      <w:r w:rsidR="001D04C4" w:rsidRPr="00DA42F5">
        <w:rPr>
          <w:rFonts w:cs="Times New Roman"/>
          <w:szCs w:val="24"/>
        </w:rPr>
        <w:t xml:space="preserve"> (Supplement Figure </w:t>
      </w:r>
      <w:r w:rsidR="005B0BE4" w:rsidRPr="00DA42F5">
        <w:rPr>
          <w:rFonts w:cs="Times New Roman"/>
          <w:szCs w:val="24"/>
        </w:rPr>
        <w:t>6</w:t>
      </w:r>
      <w:r w:rsidR="001D04C4" w:rsidRPr="00DA42F5">
        <w:rPr>
          <w:rFonts w:cs="Times New Roman"/>
          <w:szCs w:val="24"/>
        </w:rPr>
        <w:t>),</w:t>
      </w:r>
      <w:r w:rsidR="00575DD2" w:rsidRPr="00DA42F5">
        <w:rPr>
          <w:rFonts w:cs="Times New Roman"/>
          <w:szCs w:val="24"/>
        </w:rPr>
        <w:t xml:space="preserve"> and </w:t>
      </w:r>
      <w:r w:rsidR="001D04C4" w:rsidRPr="00DA42F5">
        <w:rPr>
          <w:rFonts w:cs="Times New Roman"/>
          <w:szCs w:val="24"/>
        </w:rPr>
        <w:t>by</w:t>
      </w:r>
      <w:r w:rsidR="00575DD2" w:rsidRPr="00DA42F5">
        <w:rPr>
          <w:rFonts w:cs="Times New Roman"/>
          <w:szCs w:val="24"/>
        </w:rPr>
        <w:t xml:space="preserve"> previous transmission electron microscopy of spores from species determined as spore-forming</w:t>
      </w:r>
      <w:r w:rsidR="003125AC" w:rsidRPr="00DA42F5">
        <w:rPr>
          <w:rFonts w:cs="Times New Roman"/>
          <w:szCs w:val="24"/>
        </w:rPr>
        <w:t xml:space="preserve"> </w:t>
      </w:r>
      <w:r w:rsidR="003125AC" w:rsidRPr="00DA42F5">
        <w:rPr>
          <w:rFonts w:cs="Times New Roman"/>
          <w:szCs w:val="24"/>
        </w:rPr>
        <w:fldChar w:fldCharType="begin"/>
      </w:r>
      <w:r w:rsidR="003125AC" w:rsidRPr="00DA42F5">
        <w:rPr>
          <w:rFonts w:cs="Times New Roman"/>
          <w:szCs w:val="24"/>
        </w:rPr>
        <w:instrText xml:space="preserve"> ADDIN ZOTERO_ITEM CSL_CITATION {"citationID":"D3M7Gq9f","properties":{"formattedCitation":"(Browne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sidRPr="00DA42F5">
        <w:rPr>
          <w:rFonts w:cs="Times New Roman"/>
          <w:szCs w:val="24"/>
        </w:rPr>
        <w:fldChar w:fldCharType="separate"/>
      </w:r>
      <w:r w:rsidR="003125AC" w:rsidRPr="00DA42F5">
        <w:rPr>
          <w:rFonts w:cs="Times New Roman"/>
        </w:rPr>
        <w:t>(Browne et al., 2021)</w:t>
      </w:r>
      <w:r w:rsidR="003125AC" w:rsidRPr="00DA42F5">
        <w:rPr>
          <w:rFonts w:cs="Times New Roman"/>
          <w:szCs w:val="24"/>
        </w:rPr>
        <w:fldChar w:fldCharType="end"/>
      </w:r>
      <w:r w:rsidR="00575DD2" w:rsidRPr="00DA42F5">
        <w:rPr>
          <w:rFonts w:cs="Times New Roman"/>
          <w:szCs w:val="24"/>
        </w:rPr>
        <w:t>.</w:t>
      </w:r>
    </w:p>
    <w:p w14:paraId="292010DD" w14:textId="77777777" w:rsidR="00173621" w:rsidRPr="00DA42F5" w:rsidRDefault="00173621" w:rsidP="00CD77AB">
      <w:pPr>
        <w:rPr>
          <w:rFonts w:cs="Times New Roman"/>
          <w:szCs w:val="24"/>
        </w:rPr>
      </w:pPr>
    </w:p>
    <w:p w14:paraId="6571F425" w14:textId="14339D68" w:rsidR="00636461" w:rsidRPr="00DA42F5" w:rsidRDefault="003F3118" w:rsidP="00221812">
      <w:pPr>
        <w:pStyle w:val="Heading4"/>
        <w:numPr>
          <w:ilvl w:val="3"/>
          <w:numId w:val="26"/>
        </w:numPr>
        <w:rPr>
          <w:b/>
        </w:rPr>
      </w:pPr>
      <w:bookmarkStart w:id="135" w:name="_Toc216099733"/>
      <w:bookmarkStart w:id="136" w:name="_Toc220591384"/>
      <w:r w:rsidRPr="00DA42F5">
        <w:t>Determination</w:t>
      </w:r>
      <w:r w:rsidR="007D52EA" w:rsidRPr="00DA42F5">
        <w:t xml:space="preserve"> of ethanol</w:t>
      </w:r>
      <w:r w:rsidR="003125AC" w:rsidRPr="00DA42F5">
        <w:t>-resistant bacterial species</w:t>
      </w:r>
      <w:bookmarkEnd w:id="135"/>
      <w:bookmarkEnd w:id="136"/>
    </w:p>
    <w:p w14:paraId="02525741" w14:textId="72DEAA05" w:rsidR="00696A64" w:rsidRPr="00DA42F5" w:rsidRDefault="00696A64" w:rsidP="00CD77AB">
      <w:pPr>
        <w:rPr>
          <w:rFonts w:cs="Times New Roman"/>
          <w:szCs w:val="24"/>
        </w:rPr>
      </w:pPr>
      <w:r w:rsidRPr="00DA42F5">
        <w:rPr>
          <w:rFonts w:cs="Times New Roman"/>
          <w:szCs w:val="24"/>
        </w:rPr>
        <w:t xml:space="preserve">Ethanol resistance was determined for all bacterial species detected in </w:t>
      </w:r>
      <w:del w:id="137" w:author="Urša Miklavčič" w:date="2026-01-29T15:00:00Z" w16du:dateUtc="2026-01-29T14:00:00Z">
        <w:r w:rsidRPr="00DA42F5" w:rsidDel="00B41263">
          <w:rPr>
            <w:rFonts w:cs="Times New Roman"/>
            <w:szCs w:val="24"/>
          </w:rPr>
          <w:delText>bulk microbiota</w:delText>
        </w:r>
      </w:del>
      <w:ins w:id="138" w:author="Urša Miklavčič" w:date="2026-01-29T15:00:00Z" w16du:dateUtc="2026-01-29T14:00:00Z">
        <w:r w:rsidR="00B41263">
          <w:rPr>
            <w:rFonts w:cs="Times New Roman"/>
            <w:szCs w:val="24"/>
          </w:rPr>
          <w:t>un</w:t>
        </w:r>
      </w:ins>
      <w:ins w:id="139" w:author="Urša Miklavčič" w:date="2026-01-29T15:01:00Z" w16du:dateUtc="2026-01-29T14:01:00Z">
        <w:r w:rsidR="00B41263">
          <w:rPr>
            <w:rFonts w:cs="Times New Roman"/>
            <w:szCs w:val="24"/>
          </w:rPr>
          <w:t>treated</w:t>
        </w:r>
      </w:ins>
      <w:r w:rsidRPr="00DA42F5">
        <w:rPr>
          <w:rFonts w:cs="Times New Roman"/>
          <w:szCs w:val="24"/>
        </w:rPr>
        <w:t xml:space="preserve"> and ethanol treated samples</w:t>
      </w:r>
      <w:r w:rsidR="003125AC" w:rsidRPr="00DA42F5">
        <w:rPr>
          <w:rFonts w:cs="Times New Roman"/>
          <w:szCs w:val="24"/>
        </w:rPr>
        <w:t xml:space="preserve"> </w:t>
      </w:r>
      <w:r w:rsidR="00DA53D7" w:rsidRPr="00DA42F5">
        <w:rPr>
          <w:rFonts w:cs="Times New Roman"/>
          <w:szCs w:val="24"/>
        </w:rPr>
        <w:t>using</w:t>
      </w:r>
      <w:r w:rsidR="003125AC" w:rsidRPr="00DA42F5">
        <w:rPr>
          <w:rFonts w:cs="Times New Roman"/>
          <w:szCs w:val="24"/>
        </w:rPr>
        <w:t xml:space="preserve"> the same criteria as for the OTUs (</w:t>
      </w:r>
      <w:r w:rsidR="00DA53D7" w:rsidRPr="00DA42F5">
        <w:rPr>
          <w:rFonts w:cs="Times New Roman"/>
          <w:szCs w:val="24"/>
        </w:rPr>
        <w:t>s</w:t>
      </w:r>
      <w:r w:rsidR="003125AC" w:rsidRPr="00DA42F5">
        <w:rPr>
          <w:rFonts w:cs="Times New Roman"/>
          <w:szCs w:val="24"/>
        </w:rPr>
        <w:t>ee Chapter 3.6.1.4)</w:t>
      </w:r>
      <w:r w:rsidRPr="00DA42F5">
        <w:rPr>
          <w:rFonts w:cs="Times New Roman"/>
          <w:szCs w:val="24"/>
        </w:rPr>
        <w:t xml:space="preserve">. </w:t>
      </w:r>
    </w:p>
    <w:p w14:paraId="2CCAA399" w14:textId="77777777" w:rsidR="00173621" w:rsidRPr="00DA42F5" w:rsidRDefault="00173621" w:rsidP="00CD77AB">
      <w:pPr>
        <w:rPr>
          <w:rFonts w:cs="Times New Roman"/>
          <w:szCs w:val="24"/>
        </w:rPr>
      </w:pPr>
    </w:p>
    <w:p w14:paraId="5D573337" w14:textId="761CEAC8" w:rsidR="00780C9D" w:rsidRPr="00DA42F5" w:rsidRDefault="00780C9D" w:rsidP="00221812">
      <w:pPr>
        <w:pStyle w:val="Heading4"/>
        <w:numPr>
          <w:ilvl w:val="3"/>
          <w:numId w:val="26"/>
        </w:numPr>
        <w:rPr>
          <w:b/>
        </w:rPr>
      </w:pPr>
      <w:bookmarkStart w:id="140" w:name="_Toc216099734"/>
      <w:bookmarkStart w:id="141" w:name="_Toc220591385"/>
      <w:r w:rsidRPr="00DA42F5">
        <w:t xml:space="preserve">Antibiotic resistance gene </w:t>
      </w:r>
      <w:r w:rsidR="000B4DCB" w:rsidRPr="00DA42F5">
        <w:t>analysis</w:t>
      </w:r>
      <w:bookmarkEnd w:id="140"/>
      <w:bookmarkEnd w:id="141"/>
    </w:p>
    <w:p w14:paraId="349C13EB" w14:textId="4B47D09F" w:rsidR="003125AC" w:rsidRPr="00DA42F5" w:rsidRDefault="00B10359" w:rsidP="00CD77AB">
      <w:pPr>
        <w:rPr>
          <w:rFonts w:cs="Times New Roman"/>
          <w:szCs w:val="24"/>
        </w:rPr>
      </w:pPr>
      <w:r w:rsidRPr="00DA42F5">
        <w:rPr>
          <w:rFonts w:cs="Times New Roman"/>
          <w:szCs w:val="24"/>
        </w:rPr>
        <w:t>W</w:t>
      </w:r>
      <w:r w:rsidR="00780C9D" w:rsidRPr="00DA42F5">
        <w:rPr>
          <w:rFonts w:cs="Times New Roman"/>
          <w:szCs w:val="24"/>
        </w:rPr>
        <w:t xml:space="preserve">e used </w:t>
      </w:r>
      <w:proofErr w:type="spellStart"/>
      <w:r w:rsidR="00780C9D" w:rsidRPr="00DA42F5">
        <w:rPr>
          <w:rFonts w:cs="Times New Roman"/>
          <w:szCs w:val="24"/>
        </w:rPr>
        <w:t>AMRfinder</w:t>
      </w:r>
      <w:proofErr w:type="spellEnd"/>
      <w:r w:rsidR="00780C9D" w:rsidRPr="00DA42F5">
        <w:rPr>
          <w:rFonts w:cs="Times New Roman"/>
          <w:szCs w:val="24"/>
        </w:rPr>
        <w:t xml:space="preserve"> </w:t>
      </w:r>
      <w:proofErr w:type="spellStart"/>
      <w:r w:rsidR="008A2B5E" w:rsidRPr="00DA42F5">
        <w:rPr>
          <w:rFonts w:cs="Times New Roman"/>
          <w:szCs w:val="24"/>
        </w:rPr>
        <w:t>v4.0.3</w:t>
      </w:r>
      <w:proofErr w:type="spellEnd"/>
      <w:r w:rsidR="008A2B5E" w:rsidRPr="00DA42F5">
        <w:rPr>
          <w:rFonts w:cs="Times New Roman"/>
          <w:szCs w:val="24"/>
        </w:rPr>
        <w:t xml:space="preserve">, </w:t>
      </w:r>
      <w:proofErr w:type="spellStart"/>
      <w:r w:rsidR="008A2B5E" w:rsidRPr="00DA42F5">
        <w:rPr>
          <w:rFonts w:cs="Times New Roman"/>
          <w:szCs w:val="24"/>
        </w:rPr>
        <w:t>db</w:t>
      </w:r>
      <w:r w:rsidR="00025252" w:rsidRPr="00DA42F5">
        <w:rPr>
          <w:rFonts w:cs="Times New Roman"/>
          <w:szCs w:val="24"/>
        </w:rPr>
        <w:t>2025</w:t>
      </w:r>
      <w:proofErr w:type="spellEnd"/>
      <w:r w:rsidR="00025252" w:rsidRPr="00DA42F5">
        <w:rPr>
          <w:rFonts w:cs="Times New Roman"/>
          <w:szCs w:val="24"/>
        </w:rPr>
        <w:t>-07-16.1</w:t>
      </w:r>
      <w:r w:rsidR="00DA53D7" w:rsidRPr="00DA42F5">
        <w:rPr>
          <w:rFonts w:cs="Times New Roman"/>
          <w:szCs w:val="24"/>
        </w:rPr>
        <w:t>,</w:t>
      </w:r>
      <w:r w:rsidR="008A2B5E" w:rsidRPr="00DA42F5">
        <w:rPr>
          <w:rFonts w:cs="Times New Roman"/>
          <w:szCs w:val="24"/>
        </w:rPr>
        <w:t xml:space="preserve"> </w:t>
      </w:r>
      <w:r w:rsidR="00780C9D" w:rsidRPr="00DA42F5">
        <w:rPr>
          <w:rFonts w:cs="Times New Roman"/>
          <w:szCs w:val="24"/>
        </w:rPr>
        <w:t xml:space="preserve">which </w:t>
      </w:r>
      <w:r w:rsidR="00DA53D7" w:rsidRPr="00DA42F5">
        <w:rPr>
          <w:rFonts w:cs="Times New Roman"/>
          <w:szCs w:val="24"/>
        </w:rPr>
        <w:t>identifies</w:t>
      </w:r>
      <w:r w:rsidR="00780C9D" w:rsidRPr="00DA42F5">
        <w:rPr>
          <w:rFonts w:cs="Times New Roman"/>
          <w:szCs w:val="24"/>
        </w:rPr>
        <w:t xml:space="preserve"> antimicrobial resistance genes </w:t>
      </w:r>
      <w:r w:rsidR="00DA53D7" w:rsidRPr="00DA42F5">
        <w:rPr>
          <w:rFonts w:cs="Times New Roman"/>
          <w:szCs w:val="24"/>
        </w:rPr>
        <w:t>using</w:t>
      </w:r>
      <w:r w:rsidR="00780C9D" w:rsidRPr="00DA42F5">
        <w:rPr>
          <w:rFonts w:cs="Times New Roman"/>
          <w:szCs w:val="24"/>
        </w:rPr>
        <w:t xml:space="preserve"> basic local alignment to known sequences </w:t>
      </w:r>
      <w:r w:rsidR="00696A64" w:rsidRPr="00DA42F5">
        <w:rPr>
          <w:rFonts w:cs="Times New Roman"/>
          <w:szCs w:val="24"/>
        </w:rPr>
        <w:fldChar w:fldCharType="begin"/>
      </w:r>
      <w:r w:rsidR="00494014">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DA42F5">
        <w:rPr>
          <w:rFonts w:cs="Times New Roman"/>
          <w:szCs w:val="24"/>
        </w:rPr>
        <w:fldChar w:fldCharType="separate"/>
      </w:r>
      <w:r w:rsidR="00696A64" w:rsidRPr="00DA42F5">
        <w:rPr>
          <w:rFonts w:cs="Times New Roman"/>
          <w:szCs w:val="24"/>
        </w:rPr>
        <w:t>(Feldgarden et al., 2019, 2021)</w:t>
      </w:r>
      <w:r w:rsidR="00696A64" w:rsidRPr="00DA42F5">
        <w:rPr>
          <w:rFonts w:cs="Times New Roman"/>
          <w:szCs w:val="24"/>
        </w:rPr>
        <w:fldChar w:fldCharType="end"/>
      </w:r>
      <w:r w:rsidR="008941CE" w:rsidRPr="00DA42F5">
        <w:rPr>
          <w:rFonts w:cs="Times New Roman"/>
          <w:szCs w:val="24"/>
        </w:rPr>
        <w:t xml:space="preserve">. </w:t>
      </w:r>
      <w:proofErr w:type="spellStart"/>
      <w:r w:rsidR="00696A64" w:rsidRPr="00DA42F5">
        <w:rPr>
          <w:rFonts w:cs="Times New Roman"/>
          <w:szCs w:val="24"/>
        </w:rPr>
        <w:t>AMRfinder</w:t>
      </w:r>
      <w:proofErr w:type="spellEnd"/>
      <w:r w:rsidR="00696A64" w:rsidRPr="00DA42F5">
        <w:rPr>
          <w:rFonts w:cs="Times New Roman"/>
          <w:szCs w:val="24"/>
        </w:rPr>
        <w:t xml:space="preserve"> reports exact BLAST matches over the full length of the reference protein or</w:t>
      </w:r>
      <w:r w:rsidR="00DA53D7" w:rsidRPr="00DA42F5">
        <w:rPr>
          <w:rFonts w:cs="Times New Roman"/>
          <w:szCs w:val="24"/>
        </w:rPr>
        <w:t>,</w:t>
      </w:r>
      <w:r w:rsidR="00696A64" w:rsidRPr="00DA42F5">
        <w:rPr>
          <w:rFonts w:cs="Times New Roman"/>
          <w:szCs w:val="24"/>
        </w:rPr>
        <w:t xml:space="preserve"> if there </w:t>
      </w:r>
      <w:r w:rsidR="00DA53D7" w:rsidRPr="00DA42F5">
        <w:rPr>
          <w:rFonts w:cs="Times New Roman"/>
          <w:szCs w:val="24"/>
        </w:rPr>
        <w:t>is no</w:t>
      </w:r>
      <w:r w:rsidR="00696A64" w:rsidRPr="00DA42F5">
        <w:rPr>
          <w:rFonts w:cs="Times New Roman"/>
          <w:szCs w:val="24"/>
        </w:rPr>
        <w:t xml:space="preserve"> exact match, </w:t>
      </w:r>
      <w:r w:rsidR="00DA53D7" w:rsidRPr="00DA42F5">
        <w:rPr>
          <w:rFonts w:cs="Times New Roman"/>
          <w:szCs w:val="24"/>
        </w:rPr>
        <w:t>reports</w:t>
      </w:r>
      <w:r w:rsidR="00696A64" w:rsidRPr="00DA42F5">
        <w:rPr>
          <w:rFonts w:cs="Times New Roman"/>
          <w:szCs w:val="24"/>
        </w:rPr>
        <w:t xml:space="preserve"> </w:t>
      </w:r>
      <w:r w:rsidR="005B0BE4" w:rsidRPr="00DA42F5">
        <w:rPr>
          <w:rFonts w:cs="Times New Roman"/>
          <w:szCs w:val="24"/>
        </w:rPr>
        <w:t>match</w:t>
      </w:r>
      <w:r w:rsidR="00696A64" w:rsidRPr="00DA42F5">
        <w:rPr>
          <w:rFonts w:cs="Times New Roman"/>
          <w:szCs w:val="24"/>
        </w:rPr>
        <w:t xml:space="preserve"> with </w:t>
      </w:r>
      <w:r w:rsidR="00DA53D7" w:rsidRPr="00DA42F5">
        <w:rPr>
          <w:rFonts w:cs="Times New Roman"/>
          <w:szCs w:val="24"/>
        </w:rPr>
        <w:t>greater than</w:t>
      </w:r>
      <w:r w:rsidR="00780C9D" w:rsidRPr="00DA42F5">
        <w:rPr>
          <w:rFonts w:cs="Times New Roman"/>
          <w:szCs w:val="24"/>
        </w:rPr>
        <w:t xml:space="preserve"> 90% identity or with </w:t>
      </w:r>
      <w:r w:rsidR="00DA53D7" w:rsidRPr="00DA42F5">
        <w:rPr>
          <w:rFonts w:cs="Times New Roman"/>
          <w:szCs w:val="24"/>
        </w:rPr>
        <w:t xml:space="preserve">greater </w:t>
      </w:r>
      <w:r w:rsidR="00BD2E54" w:rsidRPr="00DA42F5">
        <w:rPr>
          <w:rFonts w:cs="Times New Roman"/>
          <w:szCs w:val="24"/>
        </w:rPr>
        <w:t>than</w:t>
      </w:r>
      <w:r w:rsidR="00696A64" w:rsidRPr="00DA42F5">
        <w:rPr>
          <w:rFonts w:cs="Times New Roman"/>
          <w:szCs w:val="24"/>
        </w:rPr>
        <w:t xml:space="preserve"> </w:t>
      </w:r>
      <w:r w:rsidR="00780C9D" w:rsidRPr="00DA42F5">
        <w:rPr>
          <w:rFonts w:cs="Times New Roman"/>
          <w:szCs w:val="24"/>
        </w:rPr>
        <w:t xml:space="preserve">50% coverage of the </w:t>
      </w:r>
      <w:r w:rsidR="00780C9D" w:rsidRPr="00DA42F5">
        <w:rPr>
          <w:rFonts w:cs="Times New Roman"/>
          <w:szCs w:val="24"/>
        </w:rPr>
        <w:lastRenderedPageBreak/>
        <w:t xml:space="preserve">protein. </w:t>
      </w:r>
      <w:r w:rsidRPr="00DA42F5">
        <w:rPr>
          <w:rFonts w:cs="Times New Roman"/>
          <w:szCs w:val="24"/>
        </w:rPr>
        <w:t>Results were imported into R for visualisation and statistical analysis</w:t>
      </w:r>
      <w:r w:rsidR="005C0775" w:rsidRPr="00DA42F5">
        <w:rPr>
          <w:rFonts w:cs="Times New Roman"/>
          <w:szCs w:val="24"/>
        </w:rPr>
        <w:t xml:space="preserve"> </w:t>
      </w:r>
      <w:r w:rsidR="00696A64" w:rsidRPr="00DA42F5">
        <w:rPr>
          <w:rFonts w:cs="Times New Roman"/>
          <w:szCs w:val="24"/>
        </w:rPr>
        <w:t>to report abundance, diversity, taxonomy</w:t>
      </w:r>
      <w:r w:rsidR="00DA53D7" w:rsidRPr="00DA42F5">
        <w:rPr>
          <w:rFonts w:cs="Times New Roman"/>
          <w:szCs w:val="24"/>
        </w:rPr>
        <w:t>,</w:t>
      </w:r>
      <w:r w:rsidR="00696A64" w:rsidRPr="00DA42F5">
        <w:rPr>
          <w:rFonts w:cs="Times New Roman"/>
          <w:szCs w:val="24"/>
        </w:rPr>
        <w:t xml:space="preserve"> and persistence of these genes </w:t>
      </w:r>
      <w:r w:rsidR="00DA53D7" w:rsidRPr="00DA42F5">
        <w:rPr>
          <w:rFonts w:cs="Times New Roman"/>
          <w:szCs w:val="24"/>
        </w:rPr>
        <w:t>over</w:t>
      </w:r>
      <w:r w:rsidR="00696A64" w:rsidRPr="00DA42F5">
        <w:rPr>
          <w:rFonts w:cs="Times New Roman"/>
          <w:szCs w:val="24"/>
        </w:rPr>
        <w:t xml:space="preserve"> time within individual</w:t>
      </w:r>
      <w:r w:rsidR="00DA53D7" w:rsidRPr="00DA42F5">
        <w:rPr>
          <w:rFonts w:cs="Times New Roman"/>
          <w:szCs w:val="24"/>
        </w:rPr>
        <w:t>s</w:t>
      </w:r>
      <w:r w:rsidR="00696A64" w:rsidRPr="00DA42F5">
        <w:rPr>
          <w:rFonts w:cs="Times New Roman"/>
          <w:szCs w:val="24"/>
        </w:rPr>
        <w:t xml:space="preserve">. </w:t>
      </w:r>
    </w:p>
    <w:p w14:paraId="658ADAAC" w14:textId="77777777" w:rsidR="003125AC" w:rsidRPr="00DA42F5" w:rsidRDefault="003125AC" w:rsidP="00CD77AB">
      <w:pPr>
        <w:rPr>
          <w:rFonts w:cs="Times New Roman"/>
          <w:szCs w:val="24"/>
        </w:rPr>
      </w:pPr>
    </w:p>
    <w:p w14:paraId="56443B01" w14:textId="0815FFF3" w:rsidR="00213B80" w:rsidRPr="00DA42F5" w:rsidRDefault="002F2009" w:rsidP="00221812">
      <w:pPr>
        <w:pStyle w:val="Heading2"/>
        <w:numPr>
          <w:ilvl w:val="1"/>
          <w:numId w:val="26"/>
        </w:numPr>
      </w:pPr>
      <w:bookmarkStart w:id="142" w:name="_Toc212712208"/>
      <w:bookmarkStart w:id="143" w:name="_Toc216099735"/>
      <w:bookmarkStart w:id="144" w:name="_Toc220591386"/>
      <w:r w:rsidRPr="00DA42F5">
        <w:t>C</w:t>
      </w:r>
      <w:r w:rsidR="00173621" w:rsidRPr="00DA42F5">
        <w:t>ULTIVATION AND MOLECULAR CHARACTERISATION OF SELECTED SPORE-FORMING BACTERIA FROM HUMAN STOOL SAMPLES</w:t>
      </w:r>
      <w:bookmarkEnd w:id="142"/>
      <w:bookmarkEnd w:id="143"/>
      <w:bookmarkEnd w:id="144"/>
      <w:r w:rsidR="00173621" w:rsidRPr="00DA42F5">
        <w:t xml:space="preserve"> </w:t>
      </w:r>
    </w:p>
    <w:p w14:paraId="6CA3488A" w14:textId="20BC21D4" w:rsidR="00213B80" w:rsidRPr="00DA42F5" w:rsidRDefault="00B10359" w:rsidP="00221812">
      <w:pPr>
        <w:pStyle w:val="Heading3"/>
        <w:numPr>
          <w:ilvl w:val="2"/>
          <w:numId w:val="26"/>
        </w:numPr>
      </w:pPr>
      <w:bookmarkStart w:id="145" w:name="_Toc212712209"/>
      <w:bookmarkStart w:id="146" w:name="_Toc216099736"/>
      <w:bookmarkStart w:id="147" w:name="_Toc220591387"/>
      <w:r w:rsidRPr="00DA42F5">
        <w:t>Isolat</w:t>
      </w:r>
      <w:r w:rsidR="00173621" w:rsidRPr="00DA42F5">
        <w:t>ion of selected spore-forming bacteria from ethanol treated stool samples</w:t>
      </w:r>
      <w:bookmarkEnd w:id="145"/>
      <w:bookmarkEnd w:id="146"/>
      <w:bookmarkEnd w:id="147"/>
      <w:r w:rsidR="00213B80" w:rsidRPr="00DA42F5">
        <w:rPr>
          <w:rStyle w:val="Heading2Char"/>
          <w:rFonts w:eastAsiaTheme="majorEastAsia"/>
          <w:szCs w:val="24"/>
        </w:rPr>
        <w:t xml:space="preserve"> </w:t>
      </w:r>
    </w:p>
    <w:p w14:paraId="6D2FD0FA" w14:textId="2051C50D" w:rsidR="00B10359" w:rsidRPr="00DA42F5" w:rsidRDefault="00242307" w:rsidP="00CD77AB">
      <w:pPr>
        <w:rPr>
          <w:rFonts w:cs="Times New Roman"/>
          <w:szCs w:val="24"/>
        </w:rPr>
      </w:pPr>
      <w:bookmarkStart w:id="148" w:name="_Hlk207883674"/>
      <w:r w:rsidRPr="00DA42F5">
        <w:rPr>
          <w:rFonts w:cs="Times New Roman"/>
          <w:szCs w:val="24"/>
        </w:rPr>
        <w:t xml:space="preserve">Individual H was selected for this analysis. Based on </w:t>
      </w:r>
      <w:r w:rsidR="00B10359" w:rsidRPr="00DA42F5">
        <w:rPr>
          <w:rFonts w:cs="Times New Roman"/>
          <w:szCs w:val="24"/>
        </w:rPr>
        <w:t xml:space="preserve">amplicon data from </w:t>
      </w:r>
      <w:del w:id="149" w:author="Urša Miklavčič" w:date="2026-01-29T15:01:00Z" w16du:dateUtc="2026-01-29T14:01:00Z">
        <w:r w:rsidR="00B10359" w:rsidRPr="00DA42F5" w:rsidDel="00B41263">
          <w:rPr>
            <w:rFonts w:cs="Times New Roman"/>
            <w:szCs w:val="24"/>
          </w:rPr>
          <w:delText>bulk microbiota</w:delText>
        </w:r>
      </w:del>
      <w:ins w:id="150" w:author="Urša Miklavčič" w:date="2026-01-29T15:01:00Z" w16du:dateUtc="2026-01-29T14:01:00Z">
        <w:r w:rsidR="00B41263">
          <w:rPr>
            <w:rFonts w:cs="Times New Roman"/>
            <w:szCs w:val="24"/>
          </w:rPr>
          <w:t>untreated</w:t>
        </w:r>
      </w:ins>
      <w:r w:rsidR="00B10359" w:rsidRPr="00DA42F5">
        <w:rPr>
          <w:rFonts w:cs="Times New Roman"/>
          <w:szCs w:val="24"/>
        </w:rPr>
        <w:t xml:space="preserve"> and ethanol treated samples, we </w:t>
      </w:r>
      <w:r w:rsidR="00DA53D7" w:rsidRPr="00DA42F5">
        <w:rPr>
          <w:rFonts w:cs="Times New Roman"/>
          <w:szCs w:val="24"/>
        </w:rPr>
        <w:t>observed</w:t>
      </w:r>
      <w:r w:rsidR="00B10359" w:rsidRPr="00DA42F5">
        <w:rPr>
          <w:rFonts w:cs="Times New Roman"/>
          <w:szCs w:val="24"/>
        </w:rPr>
        <w:t xml:space="preserve"> a reduction in diversity and </w:t>
      </w:r>
      <w:r w:rsidR="00213B80" w:rsidRPr="00DA42F5">
        <w:rPr>
          <w:rFonts w:cs="Times New Roman"/>
          <w:szCs w:val="24"/>
        </w:rPr>
        <w:t>normalised</w:t>
      </w:r>
      <w:r w:rsidR="00B10359" w:rsidRPr="00DA42F5">
        <w:rPr>
          <w:rFonts w:cs="Times New Roman"/>
          <w:szCs w:val="24"/>
        </w:rPr>
        <w:t xml:space="preserve"> abundance of bacteria during </w:t>
      </w:r>
      <w:r w:rsidR="008941CE" w:rsidRPr="00DA42F5">
        <w:rPr>
          <w:rFonts w:cs="Times New Roman"/>
          <w:szCs w:val="24"/>
        </w:rPr>
        <w:t>a</w:t>
      </w:r>
      <w:r w:rsidR="00B10359" w:rsidRPr="00DA42F5">
        <w:rPr>
          <w:rFonts w:cs="Times New Roman"/>
          <w:szCs w:val="24"/>
        </w:rPr>
        <w:t xml:space="preserve"> period</w:t>
      </w:r>
      <w:r w:rsidR="008941CE" w:rsidRPr="00DA42F5">
        <w:rPr>
          <w:rFonts w:cs="Times New Roman"/>
          <w:szCs w:val="24"/>
        </w:rPr>
        <w:t xml:space="preserve"> in individual H that coincided with antibiotic </w:t>
      </w:r>
      <w:r w:rsidR="005B0BE4" w:rsidRPr="00DA42F5">
        <w:rPr>
          <w:rFonts w:cs="Times New Roman"/>
          <w:szCs w:val="24"/>
        </w:rPr>
        <w:t>use</w:t>
      </w:r>
      <w:r w:rsidR="008941CE" w:rsidRPr="00DA42F5">
        <w:rPr>
          <w:rFonts w:cs="Times New Roman"/>
          <w:szCs w:val="24"/>
        </w:rPr>
        <w:t xml:space="preserve"> (amoxicillin)</w:t>
      </w:r>
      <w:r w:rsidR="00B10359" w:rsidRPr="00DA42F5">
        <w:rPr>
          <w:rFonts w:cs="Times New Roman"/>
          <w:szCs w:val="24"/>
        </w:rPr>
        <w:t xml:space="preserve">. </w:t>
      </w:r>
      <w:r w:rsidRPr="00DA42F5">
        <w:rPr>
          <w:rFonts w:cs="Times New Roman"/>
          <w:szCs w:val="24"/>
        </w:rPr>
        <w:t>Stool samples from one month before, during and after antibiotic use were used for isolation of spore-forming bacteria.</w:t>
      </w:r>
    </w:p>
    <w:bookmarkEnd w:id="148"/>
    <w:p w14:paraId="5E70FB8F" w14:textId="679EA161" w:rsidR="00B10359" w:rsidRPr="00DA42F5" w:rsidRDefault="005B0BE4" w:rsidP="00CD77AB">
      <w:pPr>
        <w:rPr>
          <w:rFonts w:cs="Times New Roman"/>
          <w:szCs w:val="24"/>
        </w:rPr>
      </w:pPr>
      <w:r w:rsidRPr="00DA42F5">
        <w:rPr>
          <w:rFonts w:cs="Times New Roman"/>
          <w:szCs w:val="24"/>
        </w:rPr>
        <w:t xml:space="preserve">To isolate selected spore-forming bacteria we treated stool samples with ethanol shock. </w:t>
      </w:r>
      <w:commentRangeStart w:id="151"/>
      <w:r w:rsidRPr="00DA42F5">
        <w:rPr>
          <w:rFonts w:cs="Times New Roman"/>
          <w:szCs w:val="24"/>
        </w:rPr>
        <w:t>Ethanol shock included 24 h incubation of stool at ambient temperature (23 °C) with 70% ethanol</w:t>
      </w:r>
      <w:commentRangeEnd w:id="151"/>
      <w:r w:rsidR="00242307" w:rsidRPr="00DA42F5">
        <w:rPr>
          <w:rStyle w:val="CommentReference"/>
        </w:rPr>
        <w:commentReference w:id="151"/>
      </w:r>
      <w:ins w:id="152" w:author="Urša Miklavčič" w:date="2026-01-21T09:46:00Z" w16du:dateUtc="2026-01-21T08:46:00Z">
        <w:r w:rsidR="00494014">
          <w:rPr>
            <w:rFonts w:cs="Times New Roman"/>
            <w:szCs w:val="24"/>
          </w:rPr>
          <w:t xml:space="preserve"> with mixing</w:t>
        </w:r>
      </w:ins>
      <w:r w:rsidRPr="00DA42F5">
        <w:rPr>
          <w:rFonts w:cs="Times New Roman"/>
          <w:szCs w:val="24"/>
        </w:rPr>
        <w:t xml:space="preserve">. Samples were then </w:t>
      </w:r>
      <w:r w:rsidR="00B10359" w:rsidRPr="00DA42F5">
        <w:rPr>
          <w:rFonts w:cs="Times New Roman"/>
          <w:szCs w:val="24"/>
        </w:rPr>
        <w:t>serially diluted to 1</w:t>
      </w:r>
      <w:r w:rsidR="00DA53D7" w:rsidRPr="00DA42F5">
        <w:rPr>
          <w:rFonts w:cs="Times New Roman"/>
          <w:szCs w:val="24"/>
        </w:rPr>
        <w:t>0</w:t>
      </w:r>
      <w:r w:rsidR="00B10359" w:rsidRPr="00DA42F5">
        <w:rPr>
          <w:rFonts w:cs="Times New Roman"/>
          <w:szCs w:val="24"/>
          <w:vertAlign w:val="superscript"/>
        </w:rPr>
        <w:t>-</w:t>
      </w:r>
      <w:r w:rsidR="003125AC" w:rsidRPr="00DA42F5">
        <w:rPr>
          <w:rFonts w:cs="Times New Roman"/>
          <w:szCs w:val="24"/>
          <w:vertAlign w:val="superscript"/>
        </w:rPr>
        <w:t>5</w:t>
      </w:r>
      <w:r w:rsidRPr="00DA42F5">
        <w:rPr>
          <w:rFonts w:cs="Times New Roman"/>
          <w:szCs w:val="24"/>
        </w:rPr>
        <w:t xml:space="preserve">, 100 </w:t>
      </w:r>
      <w:proofErr w:type="spellStart"/>
      <w:r w:rsidRPr="00DA42F5">
        <w:rPr>
          <w:rFonts w:cs="Times New Roman"/>
          <w:szCs w:val="24"/>
        </w:rPr>
        <w:t>μl</w:t>
      </w:r>
      <w:proofErr w:type="spellEnd"/>
      <w:r w:rsidRPr="00DA42F5">
        <w:rPr>
          <w:rFonts w:cs="Times New Roman"/>
          <w:szCs w:val="24"/>
        </w:rPr>
        <w:t xml:space="preserve"> of</w:t>
      </w:r>
      <w:r w:rsidR="00213B80" w:rsidRPr="00DA42F5">
        <w:rPr>
          <w:rFonts w:cs="Times New Roman"/>
          <w:szCs w:val="24"/>
        </w:rPr>
        <w:t xml:space="preserve"> u</w:t>
      </w:r>
      <w:r w:rsidR="008941CE" w:rsidRPr="00DA42F5">
        <w:rPr>
          <w:rFonts w:cs="Times New Roman"/>
          <w:szCs w:val="24"/>
        </w:rPr>
        <w:t xml:space="preserve">ndiluted sample and </w:t>
      </w:r>
      <w:r w:rsidR="00213B80" w:rsidRPr="00DA42F5">
        <w:rPr>
          <w:rFonts w:cs="Times New Roman"/>
          <w:szCs w:val="24"/>
        </w:rPr>
        <w:t xml:space="preserve">its 10-fold </w:t>
      </w:r>
      <w:r w:rsidR="008941CE" w:rsidRPr="00DA42F5">
        <w:rPr>
          <w:rFonts w:cs="Times New Roman"/>
          <w:szCs w:val="24"/>
        </w:rPr>
        <w:t xml:space="preserve">serial dilutions </w:t>
      </w:r>
      <w:r w:rsidR="00B10359" w:rsidRPr="00DA42F5">
        <w:rPr>
          <w:rFonts w:cs="Times New Roman"/>
          <w:szCs w:val="24"/>
        </w:rPr>
        <w:t>were plated on oxygen</w:t>
      </w:r>
      <w:r w:rsidR="00DA53D7" w:rsidRPr="00DA42F5">
        <w:rPr>
          <w:rFonts w:cs="Times New Roman"/>
          <w:szCs w:val="24"/>
        </w:rPr>
        <w:t>-</w:t>
      </w:r>
      <w:r w:rsidR="00B10359" w:rsidRPr="00DA42F5">
        <w:rPr>
          <w:rFonts w:cs="Times New Roman"/>
          <w:szCs w:val="24"/>
        </w:rPr>
        <w:t>reduced Wilkins-</w:t>
      </w:r>
      <w:proofErr w:type="spellStart"/>
      <w:r w:rsidR="00B10359" w:rsidRPr="00DA42F5">
        <w:rPr>
          <w:rFonts w:cs="Times New Roman"/>
          <w:szCs w:val="24"/>
        </w:rPr>
        <w:t>Chalgren</w:t>
      </w:r>
      <w:proofErr w:type="spellEnd"/>
      <w:r w:rsidR="00B10359" w:rsidRPr="00DA42F5">
        <w:rPr>
          <w:rFonts w:cs="Times New Roman"/>
          <w:szCs w:val="24"/>
        </w:rPr>
        <w:t xml:space="preserve"> Anaerobe agar </w:t>
      </w:r>
      <w:r w:rsidR="00DA53D7" w:rsidRPr="00DA42F5">
        <w:rPr>
          <w:rFonts w:cs="Times New Roman"/>
          <w:szCs w:val="24"/>
        </w:rPr>
        <w:t>(</w:t>
      </w:r>
      <w:proofErr w:type="spellStart"/>
      <w:r w:rsidR="00B10359" w:rsidRPr="00DA42F5">
        <w:rPr>
          <w:rFonts w:cs="Times New Roman"/>
          <w:szCs w:val="24"/>
        </w:rPr>
        <w:t>WCA</w:t>
      </w:r>
      <w:proofErr w:type="spellEnd"/>
      <w:r w:rsidR="00DA53D7" w:rsidRPr="00DA42F5">
        <w:rPr>
          <w:rFonts w:cs="Times New Roman"/>
          <w:szCs w:val="24"/>
        </w:rPr>
        <w:t xml:space="preserve">; </w:t>
      </w:r>
      <w:proofErr w:type="spellStart"/>
      <w:r w:rsidR="00B10359" w:rsidRPr="00DA42F5">
        <w:rPr>
          <w:rFonts w:cs="Times New Roman"/>
          <w:szCs w:val="24"/>
        </w:rPr>
        <w:t>Thermo</w:t>
      </w:r>
      <w:proofErr w:type="spellEnd"/>
      <w:r w:rsidR="00B10359" w:rsidRPr="00DA42F5">
        <w:rPr>
          <w:rFonts w:cs="Times New Roman"/>
          <w:szCs w:val="24"/>
        </w:rPr>
        <w:t xml:space="preserve"> Fisher Scientific, USA) with </w:t>
      </w:r>
      <w:r w:rsidR="00DA53D7" w:rsidRPr="00DA42F5">
        <w:rPr>
          <w:rFonts w:cs="Times New Roman"/>
          <w:szCs w:val="24"/>
        </w:rPr>
        <w:t xml:space="preserve">the </w:t>
      </w:r>
      <w:r w:rsidR="00B10359" w:rsidRPr="00DA42F5">
        <w:rPr>
          <w:rFonts w:cs="Times New Roman"/>
          <w:szCs w:val="24"/>
        </w:rPr>
        <w:t xml:space="preserve">addition of bile acids </w:t>
      </w:r>
      <w:r w:rsidR="005C0775" w:rsidRPr="00DA42F5">
        <w:rPr>
          <w:rFonts w:cs="Times New Roman"/>
          <w:szCs w:val="24"/>
        </w:rPr>
        <w:t>(</w:t>
      </w:r>
      <w:r w:rsidR="00B10359" w:rsidRPr="00DA42F5">
        <w:rPr>
          <w:rFonts w:cs="Times New Roman"/>
          <w:szCs w:val="24"/>
        </w:rPr>
        <w:t>BA</w:t>
      </w:r>
      <w:r w:rsidR="00DA53D7" w:rsidRPr="00DA42F5">
        <w:rPr>
          <w:rFonts w:cs="Times New Roman"/>
          <w:szCs w:val="24"/>
        </w:rPr>
        <w:t>;</w:t>
      </w:r>
      <w:r w:rsidR="005C0775" w:rsidRPr="00DA42F5">
        <w:rPr>
          <w:rFonts w:cs="Times New Roman"/>
          <w:szCs w:val="24"/>
        </w:rPr>
        <w:t xml:space="preserve"> </w:t>
      </w:r>
      <w:r w:rsidR="00B10359" w:rsidRPr="00DA42F5">
        <w:rPr>
          <w:rFonts w:cs="Times New Roman"/>
          <w:szCs w:val="24"/>
        </w:rPr>
        <w:t xml:space="preserve">Merck, USA), </w:t>
      </w:r>
      <w:r w:rsidR="00DA53D7" w:rsidRPr="00DA42F5">
        <w:rPr>
          <w:rFonts w:cs="Times New Roman"/>
          <w:szCs w:val="24"/>
        </w:rPr>
        <w:t xml:space="preserve">and incubated </w:t>
      </w:r>
      <w:r w:rsidR="00B10359" w:rsidRPr="00DA42F5">
        <w:rPr>
          <w:rFonts w:cs="Times New Roman"/>
          <w:szCs w:val="24"/>
        </w:rPr>
        <w:t xml:space="preserve">for </w:t>
      </w:r>
      <w:r w:rsidR="003125AC" w:rsidRPr="00DA42F5">
        <w:rPr>
          <w:rFonts w:cs="Times New Roman"/>
          <w:szCs w:val="24"/>
        </w:rPr>
        <w:t>2</w:t>
      </w:r>
      <w:r w:rsidR="00B10359" w:rsidRPr="00DA42F5">
        <w:rPr>
          <w:rFonts w:cs="Times New Roman"/>
          <w:szCs w:val="24"/>
        </w:rPr>
        <w:t xml:space="preserve"> days at 37 °C in </w:t>
      </w:r>
      <w:r w:rsidR="00DA53D7" w:rsidRPr="00DA42F5">
        <w:rPr>
          <w:rFonts w:cs="Times New Roman"/>
          <w:szCs w:val="24"/>
        </w:rPr>
        <w:t xml:space="preserve">an </w:t>
      </w:r>
      <w:r w:rsidR="007A0B34" w:rsidRPr="00DA42F5">
        <w:rPr>
          <w:rFonts w:cs="Times New Roman"/>
          <w:szCs w:val="24"/>
        </w:rPr>
        <w:t>anaerobic</w:t>
      </w:r>
      <w:r w:rsidR="00B10359" w:rsidRPr="00DA42F5">
        <w:rPr>
          <w:rFonts w:cs="Times New Roman"/>
          <w:szCs w:val="24"/>
        </w:rPr>
        <w:t xml:space="preserve"> </w:t>
      </w:r>
      <w:r w:rsidR="007A0B34" w:rsidRPr="00DA42F5">
        <w:rPr>
          <w:rFonts w:cs="Times New Roman"/>
          <w:szCs w:val="24"/>
        </w:rPr>
        <w:t>w</w:t>
      </w:r>
      <w:r w:rsidR="00B10359" w:rsidRPr="00DA42F5">
        <w:rPr>
          <w:rFonts w:cs="Times New Roman"/>
          <w:szCs w:val="24"/>
        </w:rPr>
        <w:t>orkstation (</w:t>
      </w:r>
      <w:r w:rsidR="007A0B34" w:rsidRPr="00DA42F5">
        <w:rPr>
          <w:rFonts w:cs="Times New Roman"/>
          <w:szCs w:val="24"/>
        </w:rPr>
        <w:t xml:space="preserve">Whitley </w:t>
      </w:r>
      <w:proofErr w:type="spellStart"/>
      <w:r w:rsidR="007A0B34" w:rsidRPr="00DA42F5">
        <w:rPr>
          <w:rFonts w:cs="Times New Roman"/>
          <w:szCs w:val="24"/>
        </w:rPr>
        <w:t>A35</w:t>
      </w:r>
      <w:proofErr w:type="spellEnd"/>
      <w:r w:rsidR="007A0B34" w:rsidRPr="00DA42F5">
        <w:rPr>
          <w:rFonts w:cs="Times New Roman"/>
          <w:szCs w:val="24"/>
        </w:rPr>
        <w:t xml:space="preserve"> Workstation, </w:t>
      </w:r>
      <w:r w:rsidR="00B10359" w:rsidRPr="00DA42F5">
        <w:rPr>
          <w:rFonts w:cs="Times New Roman"/>
          <w:szCs w:val="24"/>
        </w:rPr>
        <w:t>Don</w:t>
      </w:r>
      <w:r w:rsidR="007A0B34" w:rsidRPr="00DA42F5">
        <w:rPr>
          <w:rFonts w:cs="Times New Roman"/>
          <w:szCs w:val="24"/>
        </w:rPr>
        <w:t xml:space="preserve"> </w:t>
      </w:r>
      <w:r w:rsidR="00B10359" w:rsidRPr="00DA42F5">
        <w:rPr>
          <w:rFonts w:cs="Times New Roman"/>
          <w:szCs w:val="24"/>
        </w:rPr>
        <w:t>Whitley</w:t>
      </w:r>
      <w:r w:rsidR="007A0B34" w:rsidRPr="00DA42F5">
        <w:rPr>
          <w:rFonts w:cs="Times New Roman"/>
          <w:szCs w:val="24"/>
        </w:rPr>
        <w:t xml:space="preserve"> </w:t>
      </w:r>
      <w:r w:rsidR="00B10359" w:rsidRPr="00DA42F5">
        <w:rPr>
          <w:rFonts w:cs="Times New Roman"/>
          <w:szCs w:val="24"/>
        </w:rPr>
        <w:t>Scientific, UK)</w:t>
      </w:r>
      <w:r w:rsidR="008941CE" w:rsidRPr="00DA42F5">
        <w:rPr>
          <w:rFonts w:cs="Times New Roman"/>
          <w:szCs w:val="24"/>
        </w:rPr>
        <w:t xml:space="preserve">. </w:t>
      </w:r>
      <w:r w:rsidR="007A0B34" w:rsidRPr="00DA42F5">
        <w:rPr>
          <w:rFonts w:cs="Times New Roman"/>
          <w:szCs w:val="24"/>
        </w:rPr>
        <w:t>WCAB</w:t>
      </w:r>
      <w:r w:rsidR="008941CE" w:rsidRPr="00DA42F5">
        <w:rPr>
          <w:rFonts w:cs="Times New Roman"/>
          <w:szCs w:val="24"/>
        </w:rPr>
        <w:t xml:space="preserve"> </w:t>
      </w:r>
      <w:r w:rsidR="00DA53D7" w:rsidRPr="00DA42F5">
        <w:rPr>
          <w:rFonts w:cs="Times New Roman"/>
          <w:szCs w:val="24"/>
        </w:rPr>
        <w:t>has</w:t>
      </w:r>
      <w:r w:rsidR="008941CE" w:rsidRPr="00DA42F5">
        <w:rPr>
          <w:rFonts w:cs="Times New Roman"/>
          <w:szCs w:val="24"/>
        </w:rPr>
        <w:t xml:space="preserve"> previously </w:t>
      </w:r>
      <w:r w:rsidR="00DA53D7" w:rsidRPr="00DA42F5">
        <w:rPr>
          <w:rFonts w:cs="Times New Roman"/>
          <w:szCs w:val="24"/>
        </w:rPr>
        <w:t xml:space="preserve">been </w:t>
      </w:r>
      <w:r w:rsidRPr="00DA42F5">
        <w:rPr>
          <w:rFonts w:cs="Times New Roman"/>
          <w:szCs w:val="24"/>
        </w:rPr>
        <w:t>shown</w:t>
      </w:r>
      <w:r w:rsidR="008941CE" w:rsidRPr="00DA42F5">
        <w:rPr>
          <w:rFonts w:cs="Times New Roman"/>
          <w:szCs w:val="24"/>
        </w:rPr>
        <w:t xml:space="preserve"> to enable germination and </w:t>
      </w:r>
      <w:r w:rsidR="00B10359" w:rsidRPr="00DA42F5">
        <w:rPr>
          <w:rFonts w:cs="Times New Roman"/>
          <w:szCs w:val="24"/>
        </w:rPr>
        <w:t>sustain</w:t>
      </w:r>
      <w:r w:rsidR="008941CE" w:rsidRPr="00DA42F5">
        <w:rPr>
          <w:rFonts w:cs="Times New Roman"/>
          <w:szCs w:val="24"/>
        </w:rPr>
        <w:t xml:space="preserve"> </w:t>
      </w:r>
      <w:r w:rsidR="00DA53D7" w:rsidRPr="00DA42F5">
        <w:rPr>
          <w:rFonts w:cs="Times New Roman"/>
          <w:szCs w:val="24"/>
        </w:rPr>
        <w:t xml:space="preserve">the </w:t>
      </w:r>
      <w:r w:rsidR="008941CE" w:rsidRPr="00DA42F5">
        <w:rPr>
          <w:rFonts w:cs="Times New Roman"/>
          <w:szCs w:val="24"/>
        </w:rPr>
        <w:t>growth of</w:t>
      </w:r>
      <w:r w:rsidR="00B10359" w:rsidRPr="00DA42F5">
        <w:rPr>
          <w:rFonts w:cs="Times New Roman"/>
          <w:szCs w:val="24"/>
        </w:rPr>
        <w:t xml:space="preserve"> the</w:t>
      </w:r>
      <w:r w:rsidR="008941CE" w:rsidRPr="00DA42F5">
        <w:rPr>
          <w:rFonts w:cs="Times New Roman"/>
          <w:szCs w:val="24"/>
        </w:rPr>
        <w:t xml:space="preserve"> highest number of</w:t>
      </w:r>
      <w:r w:rsidR="00B10359" w:rsidRPr="00DA42F5">
        <w:rPr>
          <w:rFonts w:cs="Times New Roman"/>
          <w:szCs w:val="24"/>
        </w:rPr>
        <w:t xml:space="preserve"> different spore-</w:t>
      </w:r>
      <w:r w:rsidR="008941CE" w:rsidRPr="00DA42F5">
        <w:rPr>
          <w:rFonts w:cs="Times New Roman"/>
          <w:szCs w:val="24"/>
        </w:rPr>
        <w:t>forming</w:t>
      </w:r>
      <w:r w:rsidR="00B10359" w:rsidRPr="00DA42F5">
        <w:rPr>
          <w:rFonts w:cs="Times New Roman"/>
          <w:szCs w:val="24"/>
        </w:rPr>
        <w:t xml:space="preserve"> bacteria </w:t>
      </w:r>
      <w:r w:rsidR="008941CE" w:rsidRPr="00DA42F5">
        <w:rPr>
          <w:rFonts w:cs="Times New Roman"/>
          <w:szCs w:val="24"/>
        </w:rPr>
        <w:t xml:space="preserve">from </w:t>
      </w:r>
      <w:r w:rsidR="003125AC" w:rsidRPr="00DA42F5">
        <w:rPr>
          <w:rFonts w:cs="Times New Roman"/>
          <w:szCs w:val="24"/>
        </w:rPr>
        <w:t xml:space="preserve">human </w:t>
      </w:r>
      <w:r w:rsidR="008941CE" w:rsidRPr="00DA42F5">
        <w:rPr>
          <w:rFonts w:cs="Times New Roman"/>
          <w:szCs w:val="24"/>
        </w:rPr>
        <w:t>stool</w:t>
      </w:r>
      <w:r w:rsidR="003125AC" w:rsidRPr="00DA42F5">
        <w:rPr>
          <w:rFonts w:cs="Times New Roman"/>
          <w:szCs w:val="24"/>
        </w:rPr>
        <w:t xml:space="preserve"> samples</w:t>
      </w:r>
      <w:r w:rsidR="008941CE" w:rsidRPr="00DA42F5">
        <w:rPr>
          <w:rFonts w:cs="Times New Roman"/>
          <w:szCs w:val="24"/>
        </w:rPr>
        <w:t xml:space="preserve"> </w:t>
      </w:r>
      <w:r w:rsidR="00213B80" w:rsidRPr="00DA42F5">
        <w:rPr>
          <w:rFonts w:cs="Times New Roman"/>
          <w:szCs w:val="24"/>
        </w:rPr>
        <w:fldChar w:fldCharType="begin"/>
      </w:r>
      <w:r w:rsidR="00213B80" w:rsidRPr="00DA42F5">
        <w:rPr>
          <w:rFonts w:cs="Times New Roman"/>
          <w:szCs w:val="24"/>
        </w:rPr>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00213B80" w:rsidRPr="00DA42F5">
        <w:rPr>
          <w:rFonts w:cs="Times New Roman"/>
          <w:szCs w:val="24"/>
        </w:rPr>
        <w:fldChar w:fldCharType="separate"/>
      </w:r>
      <w:r w:rsidR="00213B80" w:rsidRPr="00DA42F5">
        <w:rPr>
          <w:rFonts w:cs="Times New Roman"/>
          <w:szCs w:val="24"/>
        </w:rPr>
        <w:t>(Dobovišek, 2021)</w:t>
      </w:r>
      <w:r w:rsidR="00213B80" w:rsidRPr="00DA42F5">
        <w:rPr>
          <w:rFonts w:cs="Times New Roman"/>
          <w:szCs w:val="24"/>
        </w:rPr>
        <w:fldChar w:fldCharType="end"/>
      </w:r>
      <w:r w:rsidR="00B10359" w:rsidRPr="00DA42F5">
        <w:rPr>
          <w:rFonts w:cs="Times New Roman"/>
          <w:szCs w:val="24"/>
        </w:rPr>
        <w:t xml:space="preserve">. After </w:t>
      </w:r>
      <w:r w:rsidR="003125AC" w:rsidRPr="00DA42F5">
        <w:rPr>
          <w:rFonts w:cs="Times New Roman"/>
          <w:szCs w:val="24"/>
        </w:rPr>
        <w:t>2</w:t>
      </w:r>
      <w:r w:rsidR="00B10359" w:rsidRPr="00DA42F5">
        <w:rPr>
          <w:rFonts w:cs="Times New Roman"/>
          <w:szCs w:val="24"/>
        </w:rPr>
        <w:t xml:space="preserve"> days</w:t>
      </w:r>
      <w:r w:rsidR="00DA53D7" w:rsidRPr="00DA42F5">
        <w:rPr>
          <w:rFonts w:cs="Times New Roman"/>
          <w:szCs w:val="24"/>
        </w:rPr>
        <w:t xml:space="preserve">, approximately </w:t>
      </w:r>
      <w:r w:rsidR="003125AC" w:rsidRPr="00DA42F5">
        <w:rPr>
          <w:rFonts w:cs="Times New Roman"/>
          <w:szCs w:val="24"/>
        </w:rPr>
        <w:t>60</w:t>
      </w:r>
      <w:r w:rsidR="00B10359" w:rsidRPr="00DA42F5">
        <w:rPr>
          <w:rFonts w:cs="Times New Roman"/>
          <w:szCs w:val="24"/>
        </w:rPr>
        <w:t xml:space="preserve"> colonies </w:t>
      </w:r>
      <w:r w:rsidR="00213B80" w:rsidRPr="00DA42F5">
        <w:rPr>
          <w:rFonts w:cs="Times New Roman"/>
          <w:szCs w:val="24"/>
        </w:rPr>
        <w:t xml:space="preserve">from each sample </w:t>
      </w:r>
      <w:r w:rsidR="00B10359" w:rsidRPr="00DA42F5">
        <w:rPr>
          <w:rFonts w:cs="Times New Roman"/>
          <w:szCs w:val="24"/>
        </w:rPr>
        <w:t xml:space="preserve">were </w:t>
      </w:r>
      <w:r w:rsidR="003125AC" w:rsidRPr="00DA42F5">
        <w:rPr>
          <w:rFonts w:cs="Times New Roman"/>
          <w:szCs w:val="24"/>
        </w:rPr>
        <w:t>picked</w:t>
      </w:r>
      <w:ins w:id="153" w:author="Maja Rupnik" w:date="2026-01-08T13:36:00Z" w16du:dateUtc="2026-01-08T12:36:00Z">
        <w:r w:rsidR="00242307" w:rsidRPr="00DA42F5">
          <w:rPr>
            <w:rFonts w:cs="Times New Roman"/>
            <w:szCs w:val="24"/>
          </w:rPr>
          <w:t xml:space="preserve"> and </w:t>
        </w:r>
        <w:proofErr w:type="spellStart"/>
        <w:r w:rsidR="00242307" w:rsidRPr="00DA42F5">
          <w:rPr>
            <w:rFonts w:cs="Times New Roman"/>
            <w:szCs w:val="24"/>
          </w:rPr>
          <w:t>subcultured</w:t>
        </w:r>
        <w:proofErr w:type="spellEnd"/>
        <w:r w:rsidR="00242307" w:rsidRPr="00DA42F5">
          <w:rPr>
            <w:rFonts w:cs="Times New Roman"/>
            <w:szCs w:val="24"/>
          </w:rPr>
          <w:t xml:space="preserve"> on </w:t>
        </w:r>
      </w:ins>
      <w:ins w:id="154" w:author="Urša Miklavčič" w:date="2026-01-29T14:40:00Z" w16du:dateUtc="2026-01-29T13:40:00Z">
        <w:r w:rsidR="00717053">
          <w:rPr>
            <w:rFonts w:cs="Times New Roman"/>
            <w:szCs w:val="24"/>
          </w:rPr>
          <w:t>WCAB</w:t>
        </w:r>
      </w:ins>
      <w:ins w:id="155" w:author="Maja Rupnik" w:date="2026-01-08T13:36:00Z" w16du:dateUtc="2026-01-08T12:36:00Z">
        <w:del w:id="156" w:author="Urša Miklavčič" w:date="2026-01-29T14:40:00Z" w16du:dateUtc="2026-01-29T13:40:00Z">
          <w:r w:rsidR="00242307" w:rsidRPr="00DA42F5" w:rsidDel="00717053">
            <w:rPr>
              <w:rFonts w:cs="Times New Roman"/>
              <w:szCs w:val="24"/>
            </w:rPr>
            <w:delText>???</w:delText>
          </w:r>
        </w:del>
      </w:ins>
      <w:r w:rsidR="00B10359" w:rsidRPr="00DA42F5">
        <w:rPr>
          <w:rFonts w:cs="Times New Roman"/>
          <w:szCs w:val="24"/>
        </w:rPr>
        <w:t xml:space="preserve">. </w:t>
      </w:r>
      <w:r w:rsidR="008941CE" w:rsidRPr="00DA42F5">
        <w:rPr>
          <w:rFonts w:cs="Times New Roman"/>
          <w:szCs w:val="24"/>
        </w:rPr>
        <w:t xml:space="preserve">Identification of isolates </w:t>
      </w:r>
      <w:r w:rsidR="00B10359" w:rsidRPr="00DA42F5">
        <w:rPr>
          <w:rFonts w:cs="Times New Roman"/>
          <w:szCs w:val="24"/>
        </w:rPr>
        <w:t xml:space="preserve">was performed </w:t>
      </w:r>
      <w:r w:rsidR="003125AC" w:rsidRPr="00DA42F5">
        <w:rPr>
          <w:rFonts w:cs="Times New Roman"/>
          <w:szCs w:val="24"/>
        </w:rPr>
        <w:t xml:space="preserve">on overnight cultures </w:t>
      </w:r>
      <w:r w:rsidR="00DA53D7" w:rsidRPr="00DA42F5">
        <w:rPr>
          <w:rFonts w:cs="Times New Roman"/>
          <w:szCs w:val="24"/>
        </w:rPr>
        <w:t>using</w:t>
      </w:r>
      <w:r w:rsidR="00B10359" w:rsidRPr="00DA42F5">
        <w:rPr>
          <w:rFonts w:cs="Times New Roman"/>
          <w:szCs w:val="24"/>
        </w:rPr>
        <w:t xml:space="preserve"> MALDI-TOF </w:t>
      </w:r>
      <w:r w:rsidRPr="00DA42F5">
        <w:rPr>
          <w:rFonts w:cs="Times New Roman"/>
          <w:szCs w:val="24"/>
        </w:rPr>
        <w:t xml:space="preserve">MS </w:t>
      </w:r>
      <w:r w:rsidR="00B10359" w:rsidRPr="00DA42F5">
        <w:rPr>
          <w:rFonts w:cs="Times New Roman"/>
          <w:szCs w:val="24"/>
        </w:rPr>
        <w:t>(</w:t>
      </w:r>
      <w:r w:rsidR="00DA53D7" w:rsidRPr="00DA42F5">
        <w:rPr>
          <w:rFonts w:cs="Times New Roman"/>
          <w:szCs w:val="24"/>
        </w:rPr>
        <w:t>Bruker</w:t>
      </w:r>
      <w:r w:rsidR="00B10359" w:rsidRPr="00DA42F5">
        <w:rPr>
          <w:rFonts w:cs="Times New Roman"/>
          <w:szCs w:val="24"/>
        </w:rPr>
        <w:t>, US</w:t>
      </w:r>
      <w:r w:rsidR="002079AE" w:rsidRPr="00DA42F5">
        <w:rPr>
          <w:rFonts w:cs="Times New Roman"/>
          <w:szCs w:val="24"/>
        </w:rPr>
        <w:t>A</w:t>
      </w:r>
      <w:r w:rsidR="00B10359" w:rsidRPr="00DA42F5">
        <w:rPr>
          <w:rFonts w:cs="Times New Roman"/>
          <w:szCs w:val="24"/>
        </w:rPr>
        <w:t>).</w:t>
      </w:r>
      <w:r w:rsidR="002079AE" w:rsidRPr="00DA42F5">
        <w:rPr>
          <w:rFonts w:cs="Times New Roman"/>
          <w:szCs w:val="24"/>
        </w:rPr>
        <w:t xml:space="preserve"> </w:t>
      </w:r>
      <w:r w:rsidR="00B10359" w:rsidRPr="00DA42F5">
        <w:rPr>
          <w:rFonts w:cs="Times New Roman"/>
          <w:szCs w:val="24"/>
        </w:rPr>
        <w:t xml:space="preserve">DNA was isolated from </w:t>
      </w:r>
      <w:r w:rsidR="008941CE" w:rsidRPr="00DA42F5">
        <w:rPr>
          <w:rFonts w:cs="Times New Roman"/>
          <w:szCs w:val="24"/>
        </w:rPr>
        <w:t>a</w:t>
      </w:r>
      <w:r w:rsidR="00B10359" w:rsidRPr="00DA42F5">
        <w:rPr>
          <w:rFonts w:cs="Times New Roman"/>
          <w:szCs w:val="24"/>
        </w:rPr>
        <w:t xml:space="preserve"> single colony</w:t>
      </w:r>
      <w:r w:rsidR="003125AC" w:rsidRPr="00DA42F5">
        <w:rPr>
          <w:rFonts w:cs="Times New Roman"/>
          <w:szCs w:val="24"/>
        </w:rPr>
        <w:t xml:space="preserve"> overnight culture</w:t>
      </w:r>
      <w:r w:rsidR="00B10359" w:rsidRPr="00DA42F5">
        <w:rPr>
          <w:rFonts w:cs="Times New Roman"/>
          <w:szCs w:val="24"/>
        </w:rPr>
        <w:t xml:space="preserve"> </w:t>
      </w:r>
      <w:r w:rsidR="007A0B34" w:rsidRPr="00DA42F5">
        <w:rPr>
          <w:rFonts w:cs="Times New Roman"/>
          <w:szCs w:val="24"/>
        </w:rPr>
        <w:t>and sequence</w:t>
      </w:r>
      <w:r w:rsidR="003125AC" w:rsidRPr="00DA42F5">
        <w:rPr>
          <w:rFonts w:cs="Times New Roman"/>
          <w:szCs w:val="24"/>
        </w:rPr>
        <w:t>d</w:t>
      </w:r>
      <w:r w:rsidR="007A0B34" w:rsidRPr="00DA42F5">
        <w:rPr>
          <w:rFonts w:cs="Times New Roman"/>
          <w:szCs w:val="24"/>
        </w:rPr>
        <w:t xml:space="preserve"> as described in </w:t>
      </w:r>
      <w:r w:rsidRPr="00DA42F5">
        <w:rPr>
          <w:rFonts w:cs="Times New Roman"/>
          <w:szCs w:val="24"/>
        </w:rPr>
        <w:t>chapters</w:t>
      </w:r>
      <w:r w:rsidR="003125AC" w:rsidRPr="00DA42F5">
        <w:rPr>
          <w:rFonts w:cs="Times New Roman"/>
          <w:szCs w:val="24"/>
        </w:rPr>
        <w:t xml:space="preserve"> 3.5.3</w:t>
      </w:r>
      <w:r w:rsidRPr="00DA42F5">
        <w:rPr>
          <w:rFonts w:cs="Times New Roman"/>
          <w:szCs w:val="24"/>
        </w:rPr>
        <w:t xml:space="preserve"> and 3.5.4 (Supplement Table 5). </w:t>
      </w:r>
    </w:p>
    <w:p w14:paraId="294C0773" w14:textId="77777777" w:rsidR="00801198" w:rsidRPr="00DA42F5" w:rsidRDefault="00B10359" w:rsidP="00801198">
      <w:pPr>
        <w:keepNext/>
      </w:pPr>
      <w:r w:rsidRPr="00DA42F5">
        <w:rPr>
          <w:rFonts w:cs="Times New Roman"/>
          <w:noProof/>
          <w:szCs w:val="24"/>
        </w:rPr>
        <w:lastRenderedPageBreak/>
        <w:drawing>
          <wp:inline distT="0" distB="0" distL="0" distR="0" wp14:anchorId="71C1F379" wp14:editId="5B84AB3C">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2F6F76CA" w14:textId="2DF543EB" w:rsidR="00B10359" w:rsidRPr="00DA42F5" w:rsidRDefault="00801198" w:rsidP="00801198">
      <w:pPr>
        <w:pStyle w:val="Caption"/>
        <w:rPr>
          <w:rFonts w:cs="Times New Roman"/>
          <w:szCs w:val="24"/>
        </w:rPr>
      </w:pPr>
      <w:bookmarkStart w:id="157" w:name="_Toc216101616"/>
      <w:r w:rsidRPr="00DA42F5">
        <w:t xml:space="preserve">Figure </w:t>
      </w:r>
      <w:r w:rsidRPr="00DA42F5">
        <w:fldChar w:fldCharType="begin"/>
      </w:r>
      <w:r w:rsidRPr="00DA42F5">
        <w:instrText xml:space="preserve"> SEQ Figure \* ARABIC </w:instrText>
      </w:r>
      <w:r w:rsidRPr="00DA42F5">
        <w:fldChar w:fldCharType="separate"/>
      </w:r>
      <w:r w:rsidR="00C11001">
        <w:rPr>
          <w:noProof/>
        </w:rPr>
        <w:t>2</w:t>
      </w:r>
      <w:r w:rsidRPr="00DA42F5">
        <w:fldChar w:fldCharType="end"/>
      </w:r>
      <w:r w:rsidRPr="00DA42F5">
        <w:t>. Workflow for isolation of selected spore-forming bacteria from ethanol treated stool samples and subsequent whole-genome sequencing.</w:t>
      </w:r>
      <w:bookmarkEnd w:id="157"/>
      <w:r w:rsidR="00ED415C">
        <w:t xml:space="preserve"> This figure was designed in </w:t>
      </w:r>
      <w:proofErr w:type="spellStart"/>
      <w:r w:rsidR="00ED415C">
        <w:t>BioRender</w:t>
      </w:r>
      <w:proofErr w:type="spellEnd"/>
      <w:r w:rsidR="00ED415C">
        <w:t>.</w:t>
      </w:r>
    </w:p>
    <w:p w14:paraId="7BA51AD3" w14:textId="77777777" w:rsidR="00D95346" w:rsidRPr="00DA42F5" w:rsidRDefault="00D95346" w:rsidP="00CD77AB">
      <w:pPr>
        <w:rPr>
          <w:rFonts w:cs="Times New Roman"/>
          <w:szCs w:val="24"/>
        </w:rPr>
      </w:pPr>
    </w:p>
    <w:p w14:paraId="67FF70D1" w14:textId="1A0807A6" w:rsidR="00B114D7" w:rsidRPr="00DA42F5" w:rsidRDefault="00C2031F" w:rsidP="00221812">
      <w:pPr>
        <w:pStyle w:val="Heading3"/>
        <w:numPr>
          <w:ilvl w:val="2"/>
          <w:numId w:val="26"/>
        </w:numPr>
      </w:pPr>
      <w:bookmarkStart w:id="158" w:name="_Toc212712210"/>
      <w:bookmarkStart w:id="159" w:name="_Toc216099737"/>
      <w:bookmarkStart w:id="160" w:name="_Toc220591388"/>
      <w:r w:rsidRPr="00DA42F5">
        <w:t>Analysis of w</w:t>
      </w:r>
      <w:r w:rsidR="00D95346" w:rsidRPr="00DA42F5">
        <w:t>hole</w:t>
      </w:r>
      <w:r w:rsidRPr="00DA42F5">
        <w:t>-</w:t>
      </w:r>
      <w:r w:rsidR="00D95346" w:rsidRPr="00DA42F5">
        <w:t xml:space="preserve">genome </w:t>
      </w:r>
      <w:bookmarkEnd w:id="158"/>
      <w:r w:rsidRPr="00DA42F5">
        <w:t>sequencing reads</w:t>
      </w:r>
      <w:bookmarkEnd w:id="159"/>
      <w:bookmarkEnd w:id="160"/>
      <w:r w:rsidR="00D95346" w:rsidRPr="00DA42F5">
        <w:t xml:space="preserve"> </w:t>
      </w:r>
    </w:p>
    <w:p w14:paraId="0653D1AB" w14:textId="33085C14" w:rsidR="00832312" w:rsidRPr="00DA42F5" w:rsidRDefault="00832312" w:rsidP="00221812">
      <w:pPr>
        <w:pStyle w:val="Heading4"/>
        <w:numPr>
          <w:ilvl w:val="3"/>
          <w:numId w:val="26"/>
        </w:numPr>
      </w:pPr>
      <w:bookmarkStart w:id="161" w:name="_Toc216099738"/>
      <w:bookmarkStart w:id="162" w:name="_Toc220591389"/>
      <w:r w:rsidRPr="00DA42F5">
        <w:t xml:space="preserve">Preprocessing </w:t>
      </w:r>
      <w:r w:rsidR="00025252" w:rsidRPr="00DA42F5">
        <w:t>and</w:t>
      </w:r>
      <w:r w:rsidR="00C2031F" w:rsidRPr="00DA42F5">
        <w:t xml:space="preserve"> assembly</w:t>
      </w:r>
      <w:r w:rsidR="00A81E78" w:rsidRPr="00DA42F5">
        <w:t xml:space="preserve"> of short</w:t>
      </w:r>
      <w:r w:rsidR="00AE070D" w:rsidRPr="00DA42F5">
        <w:t>-</w:t>
      </w:r>
      <w:r w:rsidR="00A81E78" w:rsidRPr="00DA42F5">
        <w:t>read</w:t>
      </w:r>
      <w:r w:rsidR="00AE070D" w:rsidRPr="00DA42F5">
        <w:t xml:space="preserve"> </w:t>
      </w:r>
      <w:r w:rsidR="00A81E78" w:rsidRPr="00DA42F5">
        <w:t>s</w:t>
      </w:r>
      <w:r w:rsidR="00AE070D" w:rsidRPr="00DA42F5">
        <w:t>equences</w:t>
      </w:r>
      <w:bookmarkEnd w:id="161"/>
      <w:bookmarkEnd w:id="162"/>
    </w:p>
    <w:p w14:paraId="2818CDED" w14:textId="4A19615B" w:rsidR="00B10359" w:rsidRPr="00DA42F5" w:rsidRDefault="00242307" w:rsidP="00CD77AB">
      <w:pPr>
        <w:rPr>
          <w:rFonts w:cs="Times New Roman"/>
          <w:szCs w:val="24"/>
        </w:rPr>
      </w:pPr>
      <w:r w:rsidRPr="00DA42F5">
        <w:rPr>
          <w:rFonts w:cs="Times New Roman"/>
          <w:szCs w:val="24"/>
        </w:rPr>
        <w:t>Sequencing was performed as described in chapter</w:t>
      </w:r>
      <w:ins w:id="163" w:author="Urša Miklavčič" w:date="2026-01-21T09:46:00Z" w16du:dateUtc="2026-01-21T08:46:00Z">
        <w:r w:rsidR="00494014">
          <w:rPr>
            <w:rFonts w:cs="Times New Roman"/>
            <w:szCs w:val="24"/>
          </w:rPr>
          <w:t xml:space="preserve"> 3.5.3</w:t>
        </w:r>
      </w:ins>
      <w:ins w:id="164" w:author="Maja Rupnik" w:date="2026-01-08T13:37:00Z" w16du:dateUtc="2026-01-08T12:37:00Z">
        <w:del w:id="165" w:author="Urša Miklavčič" w:date="2026-01-21T09:46:00Z" w16du:dateUtc="2026-01-21T08:46:00Z">
          <w:r w:rsidRPr="00DA42F5" w:rsidDel="00494014">
            <w:rPr>
              <w:rFonts w:cs="Times New Roman"/>
              <w:szCs w:val="24"/>
            </w:rPr>
            <w:delText xml:space="preserve"> ???</w:delText>
          </w:r>
        </w:del>
        <w:r w:rsidRPr="00DA42F5">
          <w:rPr>
            <w:rFonts w:cs="Times New Roman"/>
            <w:szCs w:val="24"/>
          </w:rPr>
          <w:t xml:space="preserve">. </w:t>
        </w:r>
      </w:ins>
      <w:r w:rsidR="00DA53D7" w:rsidRPr="00DA42F5">
        <w:rPr>
          <w:rFonts w:cs="Times New Roman"/>
          <w:szCs w:val="24"/>
        </w:rPr>
        <w:t>The q</w:t>
      </w:r>
      <w:r w:rsidR="007F18F0" w:rsidRPr="00DA42F5">
        <w:rPr>
          <w:rFonts w:cs="Times New Roman"/>
          <w:szCs w:val="24"/>
        </w:rPr>
        <w:t xml:space="preserve">uality of Illumina short-read sequences </w:t>
      </w:r>
      <w:r w:rsidR="00DA53D7" w:rsidRPr="00DA42F5">
        <w:rPr>
          <w:rFonts w:cs="Times New Roman"/>
          <w:szCs w:val="24"/>
        </w:rPr>
        <w:t>was</w:t>
      </w:r>
      <w:r w:rsidR="00EB228B" w:rsidRPr="00DA42F5">
        <w:rPr>
          <w:rFonts w:cs="Times New Roman"/>
          <w:szCs w:val="24"/>
        </w:rPr>
        <w:t xml:space="preserve"> assessed </w:t>
      </w:r>
      <w:r w:rsidR="007F18F0" w:rsidRPr="00DA42F5">
        <w:rPr>
          <w:rFonts w:cs="Times New Roman"/>
          <w:szCs w:val="24"/>
        </w:rPr>
        <w:t xml:space="preserve">with </w:t>
      </w:r>
      <w:proofErr w:type="spellStart"/>
      <w:r w:rsidR="00DA53D7" w:rsidRPr="00DA42F5">
        <w:rPr>
          <w:rFonts w:cs="Times New Roman"/>
          <w:szCs w:val="24"/>
        </w:rPr>
        <w:t>FastQC</w:t>
      </w:r>
      <w:proofErr w:type="spellEnd"/>
      <w:r w:rsidR="007A0B34" w:rsidRPr="00DA42F5">
        <w:rPr>
          <w:rFonts w:cs="Times New Roman"/>
          <w:szCs w:val="24"/>
        </w:rPr>
        <w:t xml:space="preserve"> </w:t>
      </w:r>
      <w:proofErr w:type="spellStart"/>
      <w:r w:rsidR="007F18F0" w:rsidRPr="00DA42F5">
        <w:rPr>
          <w:rFonts w:cs="Times New Roman"/>
          <w:szCs w:val="24"/>
        </w:rPr>
        <w:t>v0.12.1</w:t>
      </w:r>
      <w:proofErr w:type="spellEnd"/>
      <w:r w:rsidR="00EB228B" w:rsidRPr="00DA42F5">
        <w:rPr>
          <w:rFonts w:cs="Times New Roman"/>
          <w:color w:val="70AD47" w:themeColor="accent6"/>
          <w:szCs w:val="24"/>
        </w:rPr>
        <w:t xml:space="preserve"> </w:t>
      </w:r>
      <w:r w:rsidR="00EB228B" w:rsidRPr="00DA42F5">
        <w:rPr>
          <w:rFonts w:cs="Times New Roman"/>
          <w:szCs w:val="24"/>
        </w:rPr>
        <w:t xml:space="preserve">and </w:t>
      </w:r>
      <w:r w:rsidR="00B114D7" w:rsidRPr="00DA42F5">
        <w:rPr>
          <w:rFonts w:cs="Times New Roman"/>
          <w:szCs w:val="24"/>
        </w:rPr>
        <w:t xml:space="preserve">trimmed </w:t>
      </w:r>
      <w:r w:rsidR="00DA53D7" w:rsidRPr="00DA42F5">
        <w:rPr>
          <w:rFonts w:cs="Times New Roman"/>
          <w:szCs w:val="24"/>
        </w:rPr>
        <w:t>using</w:t>
      </w:r>
      <w:r w:rsidR="00B114D7" w:rsidRPr="00DA42F5">
        <w:rPr>
          <w:rFonts w:cs="Times New Roman"/>
          <w:szCs w:val="24"/>
        </w:rPr>
        <w:t xml:space="preserve"> </w:t>
      </w:r>
      <w:proofErr w:type="spellStart"/>
      <w:r w:rsidR="00B114D7" w:rsidRPr="00DA42F5">
        <w:rPr>
          <w:rFonts w:cs="Times New Roman"/>
          <w:szCs w:val="24"/>
        </w:rPr>
        <w:t>Trimmomatic</w:t>
      </w:r>
      <w:proofErr w:type="spellEnd"/>
      <w:r w:rsidR="00B114D7" w:rsidRPr="00DA42F5">
        <w:rPr>
          <w:rFonts w:cs="Times New Roman"/>
          <w:szCs w:val="24"/>
        </w:rPr>
        <w:t xml:space="preserve"> </w:t>
      </w:r>
      <w:proofErr w:type="spellStart"/>
      <w:r w:rsidR="00B114D7" w:rsidRPr="00DA42F5">
        <w:rPr>
          <w:rFonts w:cs="Times New Roman"/>
          <w:szCs w:val="24"/>
        </w:rPr>
        <w:t>v0.39</w:t>
      </w:r>
      <w:proofErr w:type="spellEnd"/>
      <w:r w:rsidR="00B114D7" w:rsidRPr="00DA42F5">
        <w:rPr>
          <w:rFonts w:cs="Times New Roman"/>
          <w:szCs w:val="24"/>
        </w:rPr>
        <w:t xml:space="preserve"> using the following settings:</w:t>
      </w:r>
      <w:r w:rsidR="00C02586" w:rsidRPr="00DA42F5">
        <w:rPr>
          <w:rFonts w:cs="Times New Roman"/>
          <w:szCs w:val="24"/>
        </w:rPr>
        <w:t xml:space="preserve"> </w:t>
      </w:r>
      <w:proofErr w:type="spellStart"/>
      <w:r w:rsidR="00B114D7" w:rsidRPr="00DA42F5">
        <w:rPr>
          <w:rFonts w:cs="Times New Roman"/>
          <w:szCs w:val="24"/>
        </w:rPr>
        <w:t>ILLUMINACLIP:NEBPE-PE.fa:2:30:10</w:t>
      </w:r>
      <w:proofErr w:type="spellEnd"/>
      <w:r w:rsidR="00B114D7" w:rsidRPr="00DA42F5">
        <w:rPr>
          <w:rFonts w:cs="Times New Roman"/>
          <w:szCs w:val="24"/>
        </w:rPr>
        <w:t xml:space="preserve">, </w:t>
      </w:r>
      <w:proofErr w:type="spellStart"/>
      <w:r w:rsidR="00B114D7" w:rsidRPr="00DA42F5">
        <w:rPr>
          <w:rFonts w:cs="Times New Roman"/>
          <w:szCs w:val="24"/>
        </w:rPr>
        <w:t>LEADING:10</w:t>
      </w:r>
      <w:proofErr w:type="spellEnd"/>
      <w:r w:rsidR="00B114D7" w:rsidRPr="00DA42F5">
        <w:rPr>
          <w:rFonts w:cs="Times New Roman"/>
          <w:szCs w:val="24"/>
        </w:rPr>
        <w:t xml:space="preserve">, </w:t>
      </w:r>
      <w:proofErr w:type="spellStart"/>
      <w:r w:rsidR="00B114D7" w:rsidRPr="00DA42F5">
        <w:rPr>
          <w:rFonts w:cs="Times New Roman"/>
          <w:szCs w:val="24"/>
        </w:rPr>
        <w:t>TRAILING:10</w:t>
      </w:r>
      <w:proofErr w:type="spellEnd"/>
      <w:r w:rsidR="00B114D7" w:rsidRPr="00DA42F5">
        <w:rPr>
          <w:rFonts w:cs="Times New Roman"/>
          <w:szCs w:val="24"/>
        </w:rPr>
        <w:t xml:space="preserve">, </w:t>
      </w:r>
      <w:proofErr w:type="spellStart"/>
      <w:r w:rsidR="00B114D7" w:rsidRPr="00DA42F5">
        <w:rPr>
          <w:rFonts w:cs="Times New Roman"/>
          <w:szCs w:val="24"/>
        </w:rPr>
        <w:t>SLIDINGWINDOW:4:20</w:t>
      </w:r>
      <w:proofErr w:type="spellEnd"/>
      <w:r w:rsidR="00B114D7" w:rsidRPr="00DA42F5">
        <w:rPr>
          <w:rFonts w:cs="Times New Roman"/>
          <w:szCs w:val="24"/>
        </w:rPr>
        <w:t xml:space="preserve">, </w:t>
      </w:r>
      <w:proofErr w:type="spellStart"/>
      <w:r w:rsidR="00B114D7" w:rsidRPr="00DA42F5">
        <w:rPr>
          <w:rFonts w:cs="Times New Roman"/>
          <w:szCs w:val="24"/>
        </w:rPr>
        <w:t>MINLEN:40</w:t>
      </w:r>
      <w:proofErr w:type="spellEnd"/>
      <w:r w:rsidR="007A0B34" w:rsidRPr="00DA42F5">
        <w:rPr>
          <w:rFonts w:cs="Times New Roman"/>
          <w:szCs w:val="24"/>
        </w:rPr>
        <w:t xml:space="preserve"> </w:t>
      </w:r>
      <w:r w:rsidR="007A0B34" w:rsidRPr="00DA42F5">
        <w:rPr>
          <w:rFonts w:cs="Times New Roman"/>
          <w:szCs w:val="24"/>
        </w:rPr>
        <w:fldChar w:fldCharType="begin"/>
      </w:r>
      <w:r w:rsidR="007A0B34" w:rsidRPr="00DA42F5">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DA42F5">
        <w:rPr>
          <w:rFonts w:cs="Times New Roman"/>
          <w:szCs w:val="24"/>
        </w:rPr>
        <w:fldChar w:fldCharType="separate"/>
      </w:r>
      <w:r w:rsidR="007A0B34" w:rsidRPr="00DA42F5">
        <w:rPr>
          <w:rFonts w:cs="Times New Roman"/>
          <w:szCs w:val="24"/>
        </w:rPr>
        <w:t>(</w:t>
      </w:r>
      <w:r w:rsidR="007A0B34" w:rsidRPr="00DA42F5">
        <w:rPr>
          <w:rFonts w:cs="Times New Roman"/>
          <w:i/>
          <w:iCs/>
          <w:szCs w:val="24"/>
        </w:rPr>
        <w:t>Babraham Bioinformatics - FastQC A Quality Control Tool for High Throughput Sequence Data</w:t>
      </w:r>
      <w:r w:rsidR="007A0B34" w:rsidRPr="00DA42F5">
        <w:rPr>
          <w:rFonts w:cs="Times New Roman"/>
          <w:szCs w:val="24"/>
        </w:rPr>
        <w:t>, n.d.; Bolger et al., 2014)</w:t>
      </w:r>
      <w:r w:rsidR="007A0B34" w:rsidRPr="00DA42F5">
        <w:rPr>
          <w:rFonts w:cs="Times New Roman"/>
          <w:szCs w:val="24"/>
        </w:rPr>
        <w:fldChar w:fldCharType="end"/>
      </w:r>
      <w:r w:rsidR="00B114D7" w:rsidRPr="00DA42F5">
        <w:rPr>
          <w:rFonts w:cs="Times New Roman"/>
          <w:szCs w:val="24"/>
        </w:rPr>
        <w:t xml:space="preserve">. The trimmed reads were assembled de novo into contigs using </w:t>
      </w:r>
      <w:proofErr w:type="spellStart"/>
      <w:r w:rsidR="00B114D7" w:rsidRPr="00DA42F5">
        <w:rPr>
          <w:rFonts w:cs="Times New Roman"/>
          <w:szCs w:val="24"/>
        </w:rPr>
        <w:t>SPAdes</w:t>
      </w:r>
      <w:proofErr w:type="spellEnd"/>
      <w:r w:rsidR="00B114D7" w:rsidRPr="00DA42F5">
        <w:rPr>
          <w:rFonts w:cs="Times New Roman"/>
          <w:szCs w:val="24"/>
        </w:rPr>
        <w:t xml:space="preserve"> </w:t>
      </w:r>
      <w:proofErr w:type="spellStart"/>
      <w:r w:rsidR="00B114D7" w:rsidRPr="00DA42F5">
        <w:rPr>
          <w:rFonts w:cs="Times New Roman"/>
          <w:szCs w:val="24"/>
        </w:rPr>
        <w:t>v3.13.0</w:t>
      </w:r>
      <w:proofErr w:type="spellEnd"/>
      <w:r w:rsidR="00B114D7" w:rsidRPr="00DA42F5">
        <w:rPr>
          <w:rFonts w:cs="Times New Roman"/>
          <w:szCs w:val="24"/>
        </w:rPr>
        <w:t xml:space="preserve"> with the -</w:t>
      </w:r>
      <w:r w:rsidR="00571F06" w:rsidRPr="00DA42F5">
        <w:rPr>
          <w:rFonts w:cs="Times New Roman"/>
          <w:szCs w:val="24"/>
        </w:rPr>
        <w:t>-</w:t>
      </w:r>
      <w:r w:rsidR="00B114D7" w:rsidRPr="00DA42F5">
        <w:rPr>
          <w:rFonts w:cs="Times New Roman"/>
          <w:szCs w:val="24"/>
        </w:rPr>
        <w:t>careful option, retaining all other settings at their default values</w:t>
      </w:r>
      <w:r w:rsidR="007A0B34" w:rsidRPr="00DA42F5">
        <w:rPr>
          <w:rFonts w:cs="Times New Roman"/>
          <w:szCs w:val="24"/>
        </w:rPr>
        <w:t xml:space="preserve"> </w:t>
      </w:r>
      <w:r w:rsidR="007A0B34" w:rsidRPr="00DA42F5">
        <w:rPr>
          <w:rFonts w:cs="Times New Roman"/>
          <w:szCs w:val="24"/>
        </w:rPr>
        <w:fldChar w:fldCharType="begin"/>
      </w:r>
      <w:r w:rsidR="007A0B34" w:rsidRPr="00DA42F5">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DA42F5">
        <w:rPr>
          <w:rFonts w:cs="Times New Roman"/>
          <w:szCs w:val="24"/>
        </w:rPr>
        <w:fldChar w:fldCharType="separate"/>
      </w:r>
      <w:r w:rsidR="007A0B34" w:rsidRPr="00DA42F5">
        <w:rPr>
          <w:rFonts w:cs="Times New Roman"/>
          <w:szCs w:val="24"/>
        </w:rPr>
        <w:t>(Prjibelski et al., 2020)</w:t>
      </w:r>
      <w:r w:rsidR="007A0B34" w:rsidRPr="00DA42F5">
        <w:rPr>
          <w:rFonts w:cs="Times New Roman"/>
          <w:szCs w:val="24"/>
        </w:rPr>
        <w:fldChar w:fldCharType="end"/>
      </w:r>
      <w:r w:rsidR="00B114D7" w:rsidRPr="00DA42F5">
        <w:rPr>
          <w:rFonts w:cs="Times New Roman"/>
          <w:szCs w:val="24"/>
        </w:rPr>
        <w:t xml:space="preserve">. </w:t>
      </w:r>
      <w:r w:rsidR="00EB228B" w:rsidRPr="00DA42F5">
        <w:rPr>
          <w:rFonts w:cs="Times New Roman"/>
          <w:szCs w:val="24"/>
        </w:rPr>
        <w:t xml:space="preserve">The assembly was assessed with QUAST </w:t>
      </w:r>
      <w:r w:rsidR="007A0B34" w:rsidRPr="00DA42F5">
        <w:rPr>
          <w:rFonts w:cs="Times New Roman"/>
          <w:szCs w:val="24"/>
        </w:rPr>
        <w:fldChar w:fldCharType="begin"/>
      </w:r>
      <w:r w:rsidR="007A0B34" w:rsidRPr="00DA42F5">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DA42F5">
        <w:rPr>
          <w:rFonts w:cs="Times New Roman"/>
          <w:szCs w:val="24"/>
        </w:rPr>
        <w:fldChar w:fldCharType="separate"/>
      </w:r>
      <w:r w:rsidR="007A0B34" w:rsidRPr="00DA42F5">
        <w:rPr>
          <w:rFonts w:cs="Times New Roman"/>
          <w:szCs w:val="24"/>
        </w:rPr>
        <w:t>(Gurevich et al., 2013)</w:t>
      </w:r>
      <w:r w:rsidR="007A0B34" w:rsidRPr="00DA42F5">
        <w:rPr>
          <w:rFonts w:cs="Times New Roman"/>
          <w:szCs w:val="24"/>
        </w:rPr>
        <w:fldChar w:fldCharType="end"/>
      </w:r>
      <w:r w:rsidR="00EB228B" w:rsidRPr="00DA42F5">
        <w:rPr>
          <w:rFonts w:cs="Times New Roman"/>
          <w:szCs w:val="24"/>
        </w:rPr>
        <w:t xml:space="preserve">. </w:t>
      </w:r>
    </w:p>
    <w:p w14:paraId="2576942C" w14:textId="028A6857" w:rsidR="00D91312" w:rsidRPr="00DA42F5" w:rsidRDefault="00D91312" w:rsidP="00CD77AB">
      <w:pPr>
        <w:rPr>
          <w:rFonts w:cs="Times New Roman"/>
          <w:szCs w:val="24"/>
        </w:rPr>
      </w:pPr>
      <w:r w:rsidRPr="00DA42F5">
        <w:rPr>
          <w:rFonts w:cs="Times New Roman"/>
          <w:szCs w:val="24"/>
        </w:rPr>
        <w:t>Trimmed short</w:t>
      </w:r>
      <w:r w:rsidR="00DA53D7" w:rsidRPr="00DA42F5">
        <w:rPr>
          <w:rFonts w:cs="Times New Roman"/>
          <w:szCs w:val="24"/>
        </w:rPr>
        <w:t xml:space="preserve"> </w:t>
      </w:r>
      <w:r w:rsidRPr="00DA42F5">
        <w:rPr>
          <w:rFonts w:cs="Times New Roman"/>
          <w:szCs w:val="24"/>
        </w:rPr>
        <w:t xml:space="preserve">reads were mapped to a reference genome from </w:t>
      </w:r>
      <w:proofErr w:type="spellStart"/>
      <w:r w:rsidRPr="00DA42F5">
        <w:rPr>
          <w:rFonts w:cs="Times New Roman"/>
          <w:szCs w:val="24"/>
        </w:rPr>
        <w:t>NCBI</w:t>
      </w:r>
      <w:proofErr w:type="spellEnd"/>
      <w:r w:rsidRPr="00DA42F5">
        <w:rPr>
          <w:rFonts w:cs="Times New Roman"/>
          <w:szCs w:val="24"/>
        </w:rPr>
        <w:t xml:space="preserve"> (</w:t>
      </w:r>
      <w:proofErr w:type="spellStart"/>
      <w:r w:rsidRPr="00DA42F5">
        <w:rPr>
          <w:rFonts w:cs="Times New Roman"/>
          <w:szCs w:val="24"/>
        </w:rPr>
        <w:t>NCBI</w:t>
      </w:r>
      <w:proofErr w:type="spellEnd"/>
      <w:r w:rsidRPr="00DA42F5">
        <w:rPr>
          <w:rFonts w:cs="Times New Roman"/>
          <w:szCs w:val="24"/>
        </w:rPr>
        <w:t xml:space="preserve"> </w:t>
      </w:r>
      <w:proofErr w:type="spellStart"/>
      <w:r w:rsidRPr="00DA42F5">
        <w:rPr>
          <w:rFonts w:cs="Times New Roman"/>
          <w:szCs w:val="24"/>
        </w:rPr>
        <w:t>R</w:t>
      </w:r>
      <w:r w:rsidR="00BD2E54" w:rsidRPr="00DA42F5">
        <w:rPr>
          <w:rFonts w:cs="Times New Roman"/>
          <w:szCs w:val="24"/>
        </w:rPr>
        <w:t>e</w:t>
      </w:r>
      <w:r w:rsidRPr="00DA42F5">
        <w:rPr>
          <w:rFonts w:cs="Times New Roman"/>
          <w:szCs w:val="24"/>
        </w:rPr>
        <w:t>fSeq</w:t>
      </w:r>
      <w:proofErr w:type="spellEnd"/>
      <w:r w:rsidRPr="00DA42F5">
        <w:rPr>
          <w:rFonts w:cs="Times New Roman"/>
          <w:szCs w:val="24"/>
        </w:rPr>
        <w:t xml:space="preserve"> assembly </w:t>
      </w:r>
      <w:proofErr w:type="spellStart"/>
      <w:r w:rsidRPr="00DA42F5">
        <w:rPr>
          <w:rFonts w:cs="Times New Roman"/>
          <w:szCs w:val="24"/>
        </w:rPr>
        <w:t>GCF_000577815.1</w:t>
      </w:r>
      <w:proofErr w:type="spellEnd"/>
      <w:r w:rsidRPr="00DA42F5">
        <w:rPr>
          <w:rFonts w:cs="Times New Roman"/>
          <w:szCs w:val="24"/>
        </w:rPr>
        <w:t xml:space="preserve">) </w:t>
      </w:r>
      <w:r w:rsidR="00DA53D7" w:rsidRPr="00DA42F5">
        <w:rPr>
          <w:rFonts w:cs="Times New Roman"/>
          <w:szCs w:val="24"/>
        </w:rPr>
        <w:t>using</w:t>
      </w:r>
      <w:r w:rsidRPr="00DA42F5">
        <w:rPr>
          <w:rFonts w:cs="Times New Roman"/>
          <w:szCs w:val="24"/>
        </w:rPr>
        <w:t xml:space="preserve"> </w:t>
      </w:r>
      <w:proofErr w:type="spellStart"/>
      <w:r w:rsidRPr="00DA42F5">
        <w:rPr>
          <w:rFonts w:cs="Times New Roman"/>
          <w:szCs w:val="24"/>
        </w:rPr>
        <w:t>bowtie2</w:t>
      </w:r>
      <w:proofErr w:type="spellEnd"/>
      <w:r w:rsidRPr="00DA42F5">
        <w:rPr>
          <w:rFonts w:cs="Times New Roman"/>
          <w:szCs w:val="24"/>
        </w:rPr>
        <w:t xml:space="preserve"> with </w:t>
      </w:r>
      <w:r w:rsidR="00DA53D7" w:rsidRPr="00DA42F5">
        <w:rPr>
          <w:rFonts w:cs="Times New Roman"/>
          <w:szCs w:val="24"/>
        </w:rPr>
        <w:t>the --</w:t>
      </w:r>
      <w:r w:rsidRPr="00DA42F5">
        <w:rPr>
          <w:rFonts w:cs="Times New Roman"/>
          <w:szCs w:val="24"/>
        </w:rPr>
        <w:t xml:space="preserve">sensitive </w:t>
      </w:r>
      <w:r w:rsidR="00DA53D7" w:rsidRPr="00DA42F5">
        <w:rPr>
          <w:rFonts w:cs="Times New Roman"/>
          <w:szCs w:val="24"/>
        </w:rPr>
        <w:t xml:space="preserve">flag </w:t>
      </w:r>
      <w:r w:rsidRPr="00DA42F5">
        <w:rPr>
          <w:rFonts w:cs="Times New Roman"/>
          <w:szCs w:val="24"/>
        </w:rPr>
        <w:fldChar w:fldCharType="begin"/>
      </w:r>
      <w:r w:rsidR="00494014">
        <w:rPr>
          <w:rFonts w:cs="Times New Roman"/>
          <w:szCs w:val="24"/>
        </w:rPr>
        <w:instrText xml:space="preserve"> ADDIN ZOTERO_ITEM CSL_CITATION {"citationID":"i3vzonrt","properties":{"formattedCitation":"(Langmead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DA42F5">
        <w:rPr>
          <w:rFonts w:cs="Times New Roman"/>
          <w:szCs w:val="24"/>
        </w:rPr>
        <w:fldChar w:fldCharType="separate"/>
      </w:r>
      <w:r w:rsidRPr="00DA42F5">
        <w:rPr>
          <w:rFonts w:cs="Times New Roman"/>
        </w:rPr>
        <w:t>(Langmead &amp; Salzberg, 2012)</w:t>
      </w:r>
      <w:r w:rsidRPr="00DA42F5">
        <w:rPr>
          <w:rFonts w:cs="Times New Roman"/>
          <w:szCs w:val="24"/>
        </w:rPr>
        <w:fldChar w:fldCharType="end"/>
      </w:r>
      <w:r w:rsidRPr="00DA42F5">
        <w:rPr>
          <w:rFonts w:cs="Times New Roman"/>
          <w:szCs w:val="24"/>
        </w:rPr>
        <w:t xml:space="preserve">. </w:t>
      </w:r>
      <w:proofErr w:type="spellStart"/>
      <w:r w:rsidR="00DA53D7" w:rsidRPr="00DA42F5">
        <w:rPr>
          <w:rFonts w:cs="Times New Roman"/>
          <w:szCs w:val="24"/>
        </w:rPr>
        <w:t>Samtools</w:t>
      </w:r>
      <w:proofErr w:type="spellEnd"/>
      <w:r w:rsidR="00DA53D7" w:rsidRPr="00DA42F5">
        <w:rPr>
          <w:rFonts w:cs="Times New Roman"/>
          <w:szCs w:val="24"/>
        </w:rPr>
        <w:t xml:space="preserve"> was then used to sort and index the SAM files</w:t>
      </w:r>
      <w:r w:rsidRPr="00DA42F5">
        <w:rPr>
          <w:rFonts w:cs="Times New Roman"/>
          <w:szCs w:val="24"/>
        </w:rPr>
        <w:t xml:space="preserve"> </w:t>
      </w:r>
      <w:r w:rsidRPr="00DA42F5">
        <w:rPr>
          <w:rFonts w:cs="Times New Roman"/>
          <w:szCs w:val="24"/>
        </w:rPr>
        <w:fldChar w:fldCharType="begin"/>
      </w:r>
      <w:r w:rsidR="00D9297E">
        <w:rPr>
          <w:rFonts w:cs="Times New Roman"/>
          <w:szCs w:val="24"/>
        </w:rPr>
        <w:instrText xml:space="preserve"> ADDIN ZOTERO_ITEM CSL_CITATION {"citationID":"SvPHtdlI","properties":{"formattedCitation":"(Li et al., 2009)","plainCitation":"(Li et al., 2009)","noteIndex":0},"citationItems":[{"id":3346,"uris":["http://zotero.org/users/8873894/items/SCMHLNXZ"],"itemData":{"id":3346,"type":"article-journal","abstract":"Summary: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sidRPr="00DA42F5">
        <w:rPr>
          <w:rFonts w:cs="Times New Roman"/>
          <w:szCs w:val="24"/>
        </w:rPr>
        <w:fldChar w:fldCharType="separate"/>
      </w:r>
      <w:r w:rsidR="00D9297E" w:rsidRPr="00D9297E">
        <w:rPr>
          <w:rFonts w:cs="Times New Roman"/>
        </w:rPr>
        <w:t>(Li et al., 2009)</w:t>
      </w:r>
      <w:r w:rsidRPr="00DA42F5">
        <w:rPr>
          <w:rFonts w:cs="Times New Roman"/>
          <w:szCs w:val="24"/>
        </w:rPr>
        <w:fldChar w:fldCharType="end"/>
      </w:r>
      <w:r w:rsidR="00A81E78" w:rsidRPr="00DA42F5">
        <w:rPr>
          <w:rFonts w:cs="Times New Roman"/>
          <w:szCs w:val="24"/>
        </w:rPr>
        <w:t xml:space="preserve">. Coverage was calculated using </w:t>
      </w:r>
      <w:proofErr w:type="spellStart"/>
      <w:r w:rsidR="00A81E78" w:rsidRPr="00DA42F5">
        <w:rPr>
          <w:rFonts w:cs="Times New Roman"/>
          <w:szCs w:val="24"/>
        </w:rPr>
        <w:t>genomeCoverageBed</w:t>
      </w:r>
      <w:proofErr w:type="spellEnd"/>
      <w:r w:rsidR="00A81E78" w:rsidRPr="00DA42F5">
        <w:rPr>
          <w:rFonts w:cs="Times New Roman"/>
          <w:szCs w:val="24"/>
        </w:rPr>
        <w:t xml:space="preserve"> within </w:t>
      </w:r>
      <w:proofErr w:type="spellStart"/>
      <w:r w:rsidR="006F7CD1" w:rsidRPr="00DA42F5">
        <w:rPr>
          <w:rFonts w:cs="Times New Roman"/>
          <w:szCs w:val="24"/>
        </w:rPr>
        <w:t>BED</w:t>
      </w:r>
      <w:r w:rsidR="00A81E78" w:rsidRPr="00DA42F5">
        <w:rPr>
          <w:rFonts w:cs="Times New Roman"/>
          <w:szCs w:val="24"/>
        </w:rPr>
        <w:t>tools</w:t>
      </w:r>
      <w:proofErr w:type="spellEnd"/>
      <w:r w:rsidR="00A81E78" w:rsidRPr="00DA42F5">
        <w:rPr>
          <w:rFonts w:cs="Times New Roman"/>
          <w:szCs w:val="24"/>
        </w:rPr>
        <w:t xml:space="preserve"> for each individual genome and for </w:t>
      </w:r>
      <w:r w:rsidR="00BD2E54" w:rsidRPr="00DA42F5">
        <w:rPr>
          <w:rFonts w:cs="Times New Roman"/>
          <w:szCs w:val="24"/>
        </w:rPr>
        <w:t xml:space="preserve">the </w:t>
      </w:r>
      <w:r w:rsidR="006F7CD1" w:rsidRPr="00DA42F5">
        <w:rPr>
          <w:rFonts w:cs="Times New Roman"/>
          <w:szCs w:val="24"/>
        </w:rPr>
        <w:t xml:space="preserve">combined coverage of </w:t>
      </w:r>
      <w:r w:rsidR="00A81E78" w:rsidRPr="00DA42F5">
        <w:rPr>
          <w:rFonts w:cs="Times New Roman"/>
          <w:szCs w:val="24"/>
        </w:rPr>
        <w:t xml:space="preserve">all genomes </w:t>
      </w:r>
      <w:r w:rsidR="00A81E78" w:rsidRPr="00DA42F5">
        <w:rPr>
          <w:rFonts w:cs="Times New Roman"/>
          <w:szCs w:val="24"/>
        </w:rPr>
        <w:fldChar w:fldCharType="begin"/>
      </w:r>
      <w:r w:rsidR="00A81E78" w:rsidRPr="00DA42F5">
        <w:rPr>
          <w:rFonts w:cs="Times New Roman"/>
          <w:szCs w:val="24"/>
        </w:rPr>
        <w:instrText xml:space="preserve"> ADDIN ZOTERO_ITEM CSL_CITATION {"citationID":"nU1DOg5j","properties":{"formattedCitation":"({\\i{}Quinlan AR and Hall IM, 2010. BEDTools: A Flexible Suite of Utilities for Comparing Genomic Features. Bioinformatics. 26, 6, Pp. 841\\uc0\\u8211{}842. - Google Search}, n.d.)","plainCitation":"(Quinlan AR and Hall IM, 2010. BEDTools: A Flexible Suite of Utilities for Comparing Genomic Features. Bioinformatics. 26, 6, Pp. 841–842. - Google Search, n.d.)","noteIndex":0},"citationItems":[{"id":3400,"uris":["http://zotero.org/users/8873894/items/J29S2INB"],"itemData":{"id":3400,"type":"webpage","title":"Quinlan AR and Hall IM, 2010. BEDTools: a flexible suite of utilities for comparing genomic features. Bioinformatics. 26, 6, pp. 841–842. - Google Search","URL":"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accessed":{"date-parts":[["2025",11,10]]}}}],"schema":"https://github.com/citation-style-language/schema/raw/master/csl-citation.json"} </w:instrText>
      </w:r>
      <w:r w:rsidR="00A81E78" w:rsidRPr="00DA42F5">
        <w:rPr>
          <w:rFonts w:cs="Times New Roman"/>
          <w:szCs w:val="24"/>
        </w:rPr>
        <w:fldChar w:fldCharType="separate"/>
      </w:r>
      <w:r w:rsidR="00A81E78" w:rsidRPr="00DA42F5">
        <w:rPr>
          <w:rFonts w:cs="Times New Roman"/>
        </w:rPr>
        <w:t>(</w:t>
      </w:r>
      <w:r w:rsidR="00A81E78" w:rsidRPr="00DA42F5">
        <w:rPr>
          <w:rFonts w:cs="Times New Roman"/>
          <w:i/>
          <w:iCs/>
        </w:rPr>
        <w:t>Quinlan AR and Hall IM, 2010. BEDTools: A Flexible Suite of Utilities for Comparing Genomic Features. Bioinformatics. 26, 6, Pp. 841–842. - Google Search</w:t>
      </w:r>
      <w:r w:rsidR="00A81E78" w:rsidRPr="00DA42F5">
        <w:rPr>
          <w:rFonts w:cs="Times New Roman"/>
        </w:rPr>
        <w:t>, n.d.)</w:t>
      </w:r>
      <w:r w:rsidR="00A81E78" w:rsidRPr="00DA42F5">
        <w:rPr>
          <w:rFonts w:cs="Times New Roman"/>
          <w:szCs w:val="24"/>
        </w:rPr>
        <w:fldChar w:fldCharType="end"/>
      </w:r>
      <w:r w:rsidR="00A81E78" w:rsidRPr="00DA42F5">
        <w:rPr>
          <w:rFonts w:cs="Times New Roman"/>
          <w:szCs w:val="24"/>
        </w:rPr>
        <w:t xml:space="preserve">. </w:t>
      </w:r>
    </w:p>
    <w:p w14:paraId="48071470" w14:textId="77777777" w:rsidR="00D91312" w:rsidRPr="00DA42F5" w:rsidRDefault="00D91312" w:rsidP="00CD77AB">
      <w:pPr>
        <w:rPr>
          <w:rFonts w:cs="Times New Roman"/>
          <w:szCs w:val="24"/>
        </w:rPr>
      </w:pPr>
    </w:p>
    <w:p w14:paraId="148F864F" w14:textId="6BAE73FF" w:rsidR="00A81E78" w:rsidRPr="00DA42F5" w:rsidRDefault="00A81E78" w:rsidP="00A81E78">
      <w:pPr>
        <w:pStyle w:val="Heading4"/>
        <w:numPr>
          <w:ilvl w:val="3"/>
          <w:numId w:val="26"/>
        </w:numPr>
      </w:pPr>
      <w:bookmarkStart w:id="166" w:name="_Toc216099739"/>
      <w:bookmarkStart w:id="167" w:name="_Toc220591390"/>
      <w:r w:rsidRPr="00DA42F5">
        <w:t>Average nucleotide identity (ANI)</w:t>
      </w:r>
      <w:bookmarkEnd w:id="166"/>
      <w:bookmarkEnd w:id="167"/>
      <w:r w:rsidRPr="00DA42F5">
        <w:t xml:space="preserve"> </w:t>
      </w:r>
    </w:p>
    <w:p w14:paraId="4E567595" w14:textId="0549DA6C" w:rsidR="006F7CD1" w:rsidRPr="00DA42F5" w:rsidRDefault="00A81E78" w:rsidP="004F43A6">
      <w:pPr>
        <w:rPr>
          <w:rFonts w:cs="Times New Roman"/>
          <w:szCs w:val="24"/>
        </w:rPr>
      </w:pPr>
      <w:proofErr w:type="spellStart"/>
      <w:r w:rsidRPr="00DA42F5">
        <w:rPr>
          <w:rFonts w:cs="Times New Roman"/>
          <w:szCs w:val="24"/>
        </w:rPr>
        <w:lastRenderedPageBreak/>
        <w:t>pyANI</w:t>
      </w:r>
      <w:proofErr w:type="spellEnd"/>
      <w:r w:rsidR="005B0BE4" w:rsidRPr="00DA42F5">
        <w:rPr>
          <w:rFonts w:cs="Times New Roman"/>
          <w:szCs w:val="24"/>
        </w:rPr>
        <w:t>-plus was used</w:t>
      </w:r>
      <w:r w:rsidRPr="00DA42F5">
        <w:rPr>
          <w:rFonts w:cs="Times New Roman"/>
          <w:szCs w:val="24"/>
        </w:rPr>
        <w:t xml:space="preserve"> to calculate pairwise ANI</w:t>
      </w:r>
      <w:r w:rsidR="00CF2F1F" w:rsidRPr="00DA42F5">
        <w:rPr>
          <w:rFonts w:cs="Times New Roman"/>
          <w:szCs w:val="24"/>
        </w:rPr>
        <w:t xml:space="preserve">b, </w:t>
      </w:r>
      <w:proofErr w:type="spellStart"/>
      <w:r w:rsidR="00CF2F1F" w:rsidRPr="00DA42F5">
        <w:rPr>
          <w:rFonts w:cs="Times New Roman"/>
          <w:szCs w:val="24"/>
        </w:rPr>
        <w:t>ANIm</w:t>
      </w:r>
      <w:proofErr w:type="spellEnd"/>
      <w:r w:rsidR="00BD2E54" w:rsidRPr="00DA42F5">
        <w:rPr>
          <w:rFonts w:cs="Times New Roman"/>
          <w:szCs w:val="24"/>
        </w:rPr>
        <w:t>,</w:t>
      </w:r>
      <w:r w:rsidR="00CF2F1F" w:rsidRPr="00DA42F5">
        <w:rPr>
          <w:rFonts w:cs="Times New Roman"/>
          <w:szCs w:val="24"/>
        </w:rPr>
        <w:t xml:space="preserve"> and </w:t>
      </w:r>
      <w:proofErr w:type="spellStart"/>
      <w:r w:rsidR="00CF2F1F" w:rsidRPr="00DA42F5">
        <w:rPr>
          <w:rFonts w:cs="Times New Roman"/>
          <w:szCs w:val="24"/>
        </w:rPr>
        <w:t>sourmash</w:t>
      </w:r>
      <w:proofErr w:type="spellEnd"/>
      <w:r w:rsidRPr="00DA42F5">
        <w:rPr>
          <w:rFonts w:cs="Times New Roman"/>
          <w:szCs w:val="24"/>
        </w:rPr>
        <w:t xml:space="preserve"> </w:t>
      </w:r>
      <w:r w:rsidR="005B0BE4" w:rsidRPr="00DA42F5">
        <w:rPr>
          <w:rFonts w:cs="Times New Roman"/>
          <w:szCs w:val="24"/>
        </w:rPr>
        <w:t xml:space="preserve">scores </w:t>
      </w:r>
      <w:r w:rsidR="00CF2F1F" w:rsidRPr="00DA42F5">
        <w:rPr>
          <w:rFonts w:cs="Times New Roman"/>
          <w:szCs w:val="24"/>
        </w:rPr>
        <w:t xml:space="preserve">with default </w:t>
      </w:r>
      <w:r w:rsidR="005B0BE4" w:rsidRPr="00DA42F5">
        <w:rPr>
          <w:rFonts w:cs="Times New Roman"/>
          <w:szCs w:val="24"/>
        </w:rPr>
        <w:t>parameters</w:t>
      </w:r>
      <w:r w:rsidR="00CF2F1F" w:rsidRPr="00DA42F5">
        <w:rPr>
          <w:rFonts w:cs="Times New Roman"/>
          <w:szCs w:val="24"/>
        </w:rPr>
        <w:t xml:space="preserve"> </w:t>
      </w:r>
      <w:r w:rsidRPr="00DA42F5">
        <w:rPr>
          <w:rFonts w:cs="Times New Roman"/>
          <w:szCs w:val="24"/>
        </w:rPr>
        <w:t xml:space="preserve">between </w:t>
      </w:r>
      <w:r w:rsidR="006F7CD1" w:rsidRPr="00DA42F5">
        <w:rPr>
          <w:rFonts w:cs="Times New Roman"/>
          <w:szCs w:val="24"/>
        </w:rPr>
        <w:t xml:space="preserve">the </w:t>
      </w:r>
      <w:r w:rsidRPr="00DA42F5">
        <w:rPr>
          <w:rFonts w:cs="Times New Roman"/>
          <w:szCs w:val="24"/>
        </w:rPr>
        <w:t>core genome</w:t>
      </w:r>
      <w:r w:rsidR="004F43A6" w:rsidRPr="00DA42F5">
        <w:rPr>
          <w:rFonts w:cs="Times New Roman"/>
          <w:szCs w:val="24"/>
        </w:rPr>
        <w:t>s</w:t>
      </w:r>
      <w:r w:rsidRPr="00DA42F5">
        <w:rPr>
          <w:rFonts w:cs="Times New Roman"/>
          <w:szCs w:val="24"/>
        </w:rPr>
        <w:t xml:space="preserve"> of all sequenced isolates</w:t>
      </w:r>
      <w:r w:rsidR="005B0BE4" w:rsidRPr="00DA42F5">
        <w:rPr>
          <w:rFonts w:cs="Times New Roman"/>
          <w:szCs w:val="24"/>
        </w:rPr>
        <w:t>. Core genomes is here</w:t>
      </w:r>
      <w:r w:rsidRPr="00DA42F5">
        <w:rPr>
          <w:rFonts w:cs="Times New Roman"/>
          <w:szCs w:val="24"/>
        </w:rPr>
        <w:t xml:space="preserve"> defined as </w:t>
      </w:r>
      <w:r w:rsidR="00C81F8E" w:rsidRPr="00DA42F5">
        <w:rPr>
          <w:rFonts w:cs="Times New Roman"/>
          <w:szCs w:val="24"/>
        </w:rPr>
        <w:t xml:space="preserve">genes </w:t>
      </w:r>
      <w:r w:rsidRPr="00DA42F5">
        <w:rPr>
          <w:rFonts w:cs="Times New Roman"/>
          <w:szCs w:val="24"/>
        </w:rPr>
        <w:t>present in all genomes</w:t>
      </w:r>
      <w:r w:rsidR="00C81F8E" w:rsidRPr="00DA42F5">
        <w:rPr>
          <w:rFonts w:cs="Times New Roman"/>
          <w:szCs w:val="24"/>
        </w:rPr>
        <w:t xml:space="preserve"> analysed </w:t>
      </w:r>
      <w:r w:rsidR="00C81F8E" w:rsidRPr="00DA42F5">
        <w:rPr>
          <w:rFonts w:cs="Times New Roman"/>
          <w:szCs w:val="24"/>
        </w:rPr>
        <w:fldChar w:fldCharType="begin"/>
      </w:r>
      <w:r w:rsidR="00494014">
        <w:rPr>
          <w:rFonts w:cs="Times New Roman"/>
          <w:szCs w:val="24"/>
        </w:rPr>
        <w:instrText xml:space="preserve"> ADDIN ZOTERO_ITEM CSL_CITATION {"citationID":"oZClCnSV","properties":{"formattedCitation":"(Pritchard et al., 2015)","plainCitation":"(Pritchard et al., 2015)","noteIndex":0},"citationItems":[{"id":3280,"uris":["http://zotero.org/users/8873894/items/GZ4CUSKQ"],"itemData":{"id":3280,"type":"article-journal","abstract":"Soft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Methods","language":"en","page":"12-24","publisher":"The Royal Society of Chemistry","source":"pubs.rsc.org","title":"Genomics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C81F8E" w:rsidRPr="00DA42F5">
        <w:rPr>
          <w:rFonts w:cs="Times New Roman"/>
          <w:szCs w:val="24"/>
        </w:rPr>
        <w:fldChar w:fldCharType="separate"/>
      </w:r>
      <w:r w:rsidR="00CF2F1F" w:rsidRPr="00DA42F5">
        <w:rPr>
          <w:rFonts w:cs="Times New Roman"/>
        </w:rPr>
        <w:t>(Pritchard et al., 2015)</w:t>
      </w:r>
      <w:r w:rsidR="00C81F8E" w:rsidRPr="00DA42F5">
        <w:rPr>
          <w:rFonts w:cs="Times New Roman"/>
          <w:szCs w:val="24"/>
        </w:rPr>
        <w:fldChar w:fldCharType="end"/>
      </w:r>
      <w:r w:rsidRPr="00DA42F5">
        <w:rPr>
          <w:rFonts w:cs="Times New Roman"/>
          <w:szCs w:val="24"/>
        </w:rPr>
        <w:t>.</w:t>
      </w:r>
      <w:r w:rsidR="00C81F8E" w:rsidRPr="00DA42F5">
        <w:rPr>
          <w:rFonts w:cs="Times New Roman"/>
          <w:szCs w:val="24"/>
        </w:rPr>
        <w:t xml:space="preserve"> </w:t>
      </w:r>
      <w:r w:rsidR="004F43A6" w:rsidRPr="00DA42F5">
        <w:rPr>
          <w:rFonts w:cs="Times New Roman"/>
          <w:szCs w:val="24"/>
        </w:rPr>
        <w:t xml:space="preserve">Pairwise ANI scores were plotted in R. To delineate strain boundaries, a strain break </w:t>
      </w:r>
      <w:r w:rsidR="00571F06" w:rsidRPr="00DA42F5">
        <w:rPr>
          <w:rFonts w:cs="Times New Roman"/>
          <w:szCs w:val="24"/>
        </w:rPr>
        <w:t xml:space="preserve">determined by histogram of all ANI pairwise scores. Strain break </w:t>
      </w:r>
      <w:r w:rsidR="004F43A6" w:rsidRPr="00DA42F5">
        <w:rPr>
          <w:rFonts w:cs="Times New Roman"/>
          <w:szCs w:val="24"/>
        </w:rPr>
        <w:t xml:space="preserve">was </w:t>
      </w:r>
      <w:r w:rsidR="00571F06" w:rsidRPr="00DA42F5">
        <w:rPr>
          <w:rFonts w:cs="Times New Roman"/>
          <w:szCs w:val="24"/>
        </w:rPr>
        <w:t xml:space="preserve">then </w:t>
      </w:r>
      <w:r w:rsidR="004F43A6" w:rsidRPr="00DA42F5">
        <w:rPr>
          <w:rFonts w:cs="Times New Roman"/>
          <w:szCs w:val="24"/>
        </w:rPr>
        <w:t>applied to filter the results, retaining only genome pairs that exceeded the defined identity cut-off. An undirected graph was constructed from the filtered genome pairs using the `</w:t>
      </w:r>
      <w:proofErr w:type="spellStart"/>
      <w:r w:rsidR="004F43A6" w:rsidRPr="00DA42F5">
        <w:rPr>
          <w:rFonts w:cs="Times New Roman"/>
          <w:szCs w:val="24"/>
        </w:rPr>
        <w:t>igraph</w:t>
      </w:r>
      <w:proofErr w:type="spellEnd"/>
      <w:r w:rsidR="004F43A6" w:rsidRPr="00DA42F5">
        <w:rPr>
          <w:rFonts w:cs="Times New Roman"/>
          <w:szCs w:val="24"/>
        </w:rPr>
        <w:t xml:space="preserve">` R package </w:t>
      </w:r>
      <w:r w:rsidR="004F43A6" w:rsidRPr="00DA42F5">
        <w:rPr>
          <w:rFonts w:cs="Times New Roman"/>
          <w:szCs w:val="24"/>
        </w:rPr>
        <w:fldChar w:fldCharType="begin"/>
      </w:r>
      <w:r w:rsidR="004F43A6" w:rsidRPr="00DA42F5">
        <w:rPr>
          <w:rFonts w:cs="Times New Roman"/>
          <w:szCs w:val="24"/>
        </w:rPr>
        <w:instrText xml:space="preserve"> ADDIN ZOTERO_ITEM CSL_CITATION {"citationID":"YOK7ozHS","properties":{"formattedCitation":"(Antonov et al., 2023; {\\i{}Igraph \\uc0\\u8211{} Network Analysis Software}, n.d.)","plainCitation":"(Antonov et al., 2023; Igraph – Network Analysis Software, n.d.)","noteIndex":0},"citationItems":[{"id":3441,"uris":["http://zotero.org/users/8873894/items/T97HQGRA"],"itemData":{"id":3441,"type":"article","abstract":"Networks or graphs are widely used across the sciences to represent relationships of many kinds. igraph (https://igraph.org) is a general-purpose software library for graph construction, analysis, and visualisation, combining fast and robust performance with a low entry barrier. igraph pairs a fast core written in C with beginner-friendly interfaces in Python, R, and Mathematica. Over the last two decades, igraph has expanded substantially. It now scales to billions of edges, supports Mathematica and interactive plotting, integrates with Jupyter notebooks and other network libraries, includes new graph layouts and community detection algorithms, and has streamlined the documentation with examples and Spanish translations. Modern testing features such as continuous integration, address sanitizers, stricter typing, and memory-managed vectors have also increased robustness. Hundreds of bug reports have been fixed and a community forum has been opened to connect users and developers. Specific effort has been made to broaden use and community participation by women, non-binary people, and other demographic groups typically underrepresented in open source software.","DOI":"10.48550/arXiv.2311.10260","note":"arXiv:2311.10260 [cs]","number":"arXiv:2311.10260","publisher":"arXiv","source":"arXiv.org","title":"igraph enables fast and robust network analysis across programming languages","URL":"http://arxiv.org/abs/2311.10260","author":[{"family":"Antonov","given":"Michael"},{"family":"Csárdi","given":"Gábor"},{"family":"Horvát","given":"Szabolcs"},{"family":"Müller","given":"Kirill"},{"family":"Nepusz","given":"Tamás"},{"family":"Noom","given":"Daniel"},{"family":"Salmon","given":"Maëlle"},{"family":"Traag","given":"Vincent"},{"family":"Welles","given":"Brooke Foucault"},{"family":"Zanini","given":"Fabio"}],"accessed":{"date-parts":[["2025",11,26]]},"issued":{"date-parts":[["2023",11,17]]}}},{"id":3439,"uris":["http://zotero.org/users/8873894/items/DR25QSWH"],"itemData":{"id":3439,"type":"webpage","container-title":"igraph – the network analysis package","language":"en","title":"igraph – Network analysis software","URL":"https://igraph.org/","accessed":{"date-parts":[["2025",11,26]]}}}],"schema":"https://github.com/citation-style-language/schema/raw/master/csl-citation.json"} </w:instrText>
      </w:r>
      <w:r w:rsidR="004F43A6" w:rsidRPr="00DA42F5">
        <w:rPr>
          <w:rFonts w:cs="Times New Roman"/>
          <w:szCs w:val="24"/>
        </w:rPr>
        <w:fldChar w:fldCharType="separate"/>
      </w:r>
      <w:r w:rsidR="004F43A6" w:rsidRPr="00DA42F5">
        <w:rPr>
          <w:rFonts w:cs="Times New Roman"/>
        </w:rPr>
        <w:t xml:space="preserve">(Antonov et al., 2023; </w:t>
      </w:r>
      <w:r w:rsidR="004F43A6" w:rsidRPr="00DA42F5">
        <w:rPr>
          <w:rFonts w:cs="Times New Roman"/>
          <w:i/>
          <w:iCs/>
        </w:rPr>
        <w:t>Igraph – Network Analysis Software</w:t>
      </w:r>
      <w:r w:rsidR="004F43A6" w:rsidRPr="00DA42F5">
        <w:rPr>
          <w:rFonts w:cs="Times New Roman"/>
        </w:rPr>
        <w:t>, n.d.)</w:t>
      </w:r>
      <w:r w:rsidR="004F43A6" w:rsidRPr="00DA42F5">
        <w:rPr>
          <w:rFonts w:cs="Times New Roman"/>
          <w:szCs w:val="24"/>
        </w:rPr>
        <w:fldChar w:fldCharType="end"/>
      </w:r>
      <w:r w:rsidR="004F43A6" w:rsidRPr="00DA42F5">
        <w:rPr>
          <w:rFonts w:cs="Times New Roman"/>
          <w:szCs w:val="24"/>
        </w:rPr>
        <w:t xml:space="preserve">. Each genome was represented as a node and each qualifying pairwise relationship as an edge. Connected components within the graph were identified, corresponding to discrete strain groups. Each genome was assigned to a strain group based on its graph membership. </w:t>
      </w:r>
    </w:p>
    <w:p w14:paraId="6DB45106" w14:textId="77777777" w:rsidR="00A81E78" w:rsidRPr="00DA42F5" w:rsidRDefault="00A81E78" w:rsidP="00CD77AB">
      <w:pPr>
        <w:rPr>
          <w:rFonts w:cs="Times New Roman"/>
          <w:szCs w:val="24"/>
        </w:rPr>
      </w:pPr>
    </w:p>
    <w:p w14:paraId="2166A552" w14:textId="07567406" w:rsidR="00AE070D" w:rsidRPr="00DA42F5" w:rsidRDefault="00AE070D" w:rsidP="00AE070D">
      <w:pPr>
        <w:pStyle w:val="Heading4"/>
        <w:numPr>
          <w:ilvl w:val="3"/>
          <w:numId w:val="26"/>
        </w:numPr>
      </w:pPr>
      <w:bookmarkStart w:id="168" w:name="_Toc216099740"/>
      <w:bookmarkStart w:id="169" w:name="_Toc220591391"/>
      <w:r w:rsidRPr="00DA42F5">
        <w:t>SNP analysis</w:t>
      </w:r>
      <w:bookmarkEnd w:id="168"/>
      <w:bookmarkEnd w:id="169"/>
      <w:r w:rsidRPr="00DA42F5">
        <w:t xml:space="preserve"> </w:t>
      </w:r>
    </w:p>
    <w:p w14:paraId="7C0857C0" w14:textId="4ACFF6F3" w:rsidR="00AE070D" w:rsidRPr="00DA42F5" w:rsidRDefault="006F7CD1" w:rsidP="00AE070D">
      <w:pPr>
        <w:rPr>
          <w:rFonts w:cs="Times New Roman"/>
          <w:szCs w:val="24"/>
        </w:rPr>
      </w:pPr>
      <w:r w:rsidRPr="00DA42F5">
        <w:t>To</w:t>
      </w:r>
      <w:r w:rsidR="00AE070D" w:rsidRPr="00DA42F5">
        <w:t xml:space="preserve"> confirm strain groups obtained </w:t>
      </w:r>
      <w:r w:rsidR="004F43A6" w:rsidRPr="00DA42F5">
        <w:t>from</w:t>
      </w:r>
      <w:r w:rsidR="00AE070D" w:rsidRPr="00DA42F5">
        <w:t xml:space="preserve"> ANI</w:t>
      </w:r>
      <w:r w:rsidRPr="00DA42F5">
        <w:t xml:space="preserve"> </w:t>
      </w:r>
      <w:r w:rsidR="00AE070D" w:rsidRPr="00DA42F5">
        <w:t>score</w:t>
      </w:r>
      <w:r w:rsidRPr="00DA42F5">
        <w:t>s</w:t>
      </w:r>
      <w:r w:rsidR="004F43A6" w:rsidRPr="00DA42F5">
        <w:t>,</w:t>
      </w:r>
      <w:r w:rsidR="00AE070D" w:rsidRPr="00DA42F5">
        <w:t xml:space="preserve"> we determined core SNPs </w:t>
      </w:r>
      <w:r w:rsidRPr="00DA42F5">
        <w:t>using</w:t>
      </w:r>
      <w:r w:rsidR="00AE070D" w:rsidRPr="00DA42F5">
        <w:t xml:space="preserve"> Snippy </w:t>
      </w:r>
      <w:proofErr w:type="spellStart"/>
      <w:r w:rsidR="00AE070D" w:rsidRPr="00DA42F5">
        <w:t>v4.6.0</w:t>
      </w:r>
      <w:proofErr w:type="spellEnd"/>
      <w:r w:rsidR="00AE070D" w:rsidRPr="00DA42F5">
        <w:t xml:space="preserve"> </w:t>
      </w:r>
      <w:r w:rsidR="00AE070D" w:rsidRPr="00DA42F5">
        <w:fldChar w:fldCharType="begin"/>
      </w:r>
      <w:r w:rsidR="00AE070D" w:rsidRPr="00DA42F5">
        <w:instrText xml:space="preserve"> ADDIN ZOTERO_ITEM CSL_CITATION {"citationID":"nQhnIrW9","properties":{"formattedCitation":"(Seemann,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00AE070D" w:rsidRPr="00DA42F5">
        <w:fldChar w:fldCharType="separate"/>
      </w:r>
      <w:r w:rsidR="00AE070D" w:rsidRPr="00DA42F5">
        <w:rPr>
          <w:rFonts w:cs="Times New Roman"/>
        </w:rPr>
        <w:t>(Seemann, 2014/2022)</w:t>
      </w:r>
      <w:r w:rsidR="00AE070D" w:rsidRPr="00DA42F5">
        <w:fldChar w:fldCharType="end"/>
      </w:r>
      <w:r w:rsidR="00AE070D" w:rsidRPr="00DA42F5">
        <w:t xml:space="preserve">. </w:t>
      </w:r>
      <w:r w:rsidR="00571F06" w:rsidRPr="00DA42F5">
        <w:t>C</w:t>
      </w:r>
      <w:r w:rsidR="00AE070D" w:rsidRPr="00DA42F5">
        <w:t xml:space="preserve">ore </w:t>
      </w:r>
      <w:r w:rsidR="00571F06" w:rsidRPr="00DA42F5">
        <w:t xml:space="preserve">genome is here defined </w:t>
      </w:r>
      <w:r w:rsidR="00AE070D" w:rsidRPr="00DA42F5">
        <w:t>as all sites in a genome present in all genomes</w:t>
      </w:r>
      <w:r w:rsidRPr="00DA42F5">
        <w:t xml:space="preserve">. </w:t>
      </w:r>
      <w:r w:rsidR="004F43A6" w:rsidRPr="00DA42F5">
        <w:t>W</w:t>
      </w:r>
      <w:r w:rsidR="00AE070D" w:rsidRPr="00DA42F5">
        <w:t xml:space="preserve">e used the </w:t>
      </w:r>
      <w:proofErr w:type="spellStart"/>
      <w:r w:rsidR="00AE070D" w:rsidRPr="00DA42F5">
        <w:t>NCBI</w:t>
      </w:r>
      <w:proofErr w:type="spellEnd"/>
      <w:r w:rsidR="00AE070D" w:rsidRPr="00DA42F5">
        <w:t xml:space="preserve"> </w:t>
      </w:r>
      <w:proofErr w:type="spellStart"/>
      <w:r w:rsidR="00AE070D" w:rsidRPr="00DA42F5">
        <w:t>RefSeq</w:t>
      </w:r>
      <w:proofErr w:type="spellEnd"/>
      <w:r w:rsidR="00AE070D" w:rsidRPr="00DA42F5">
        <w:t xml:space="preserve"> </w:t>
      </w:r>
      <w:r w:rsidR="00C9255A" w:rsidRPr="00DA42F5">
        <w:t xml:space="preserve">assembly </w:t>
      </w:r>
      <w:proofErr w:type="spellStart"/>
      <w:r w:rsidR="00C9255A" w:rsidRPr="00DA42F5">
        <w:t>GCF</w:t>
      </w:r>
      <w:r w:rsidR="00AE070D" w:rsidRPr="00DA42F5">
        <w:rPr>
          <w:rFonts w:cs="Times New Roman"/>
          <w:szCs w:val="24"/>
        </w:rPr>
        <w:t>_000577815.1</w:t>
      </w:r>
      <w:proofErr w:type="spellEnd"/>
      <w:r w:rsidR="004F43A6" w:rsidRPr="00DA42F5">
        <w:rPr>
          <w:rFonts w:cs="Times New Roman"/>
          <w:szCs w:val="24"/>
        </w:rPr>
        <w:t xml:space="preserve"> as the reference genome</w:t>
      </w:r>
      <w:r w:rsidR="00AE070D" w:rsidRPr="00DA42F5">
        <w:rPr>
          <w:rFonts w:cs="Times New Roman"/>
          <w:szCs w:val="24"/>
        </w:rPr>
        <w:t xml:space="preserve">. To remove loci with elevated densities of base substitutions that could </w:t>
      </w:r>
      <w:r w:rsidRPr="00DA42F5">
        <w:rPr>
          <w:rFonts w:cs="Times New Roman"/>
          <w:szCs w:val="24"/>
        </w:rPr>
        <w:t>affect</w:t>
      </w:r>
      <w:r w:rsidR="00AE070D" w:rsidRPr="00DA42F5">
        <w:rPr>
          <w:rFonts w:cs="Times New Roman"/>
          <w:szCs w:val="24"/>
        </w:rPr>
        <w:t xml:space="preserve"> the number of SNPs between isolates, we used G</w:t>
      </w:r>
      <w:r w:rsidR="004F43A6" w:rsidRPr="00DA42F5">
        <w:rPr>
          <w:rFonts w:cs="Times New Roman"/>
          <w:szCs w:val="24"/>
        </w:rPr>
        <w:t>u</w:t>
      </w:r>
      <w:r w:rsidR="00AE070D" w:rsidRPr="00DA42F5">
        <w:rPr>
          <w:rFonts w:cs="Times New Roman"/>
          <w:szCs w:val="24"/>
        </w:rPr>
        <w:t xml:space="preserve">bbins </w:t>
      </w:r>
      <w:proofErr w:type="spellStart"/>
      <w:r w:rsidR="00AE070D" w:rsidRPr="00DA42F5">
        <w:rPr>
          <w:rFonts w:cs="Times New Roman"/>
          <w:szCs w:val="24"/>
        </w:rPr>
        <w:t>v3.4.1</w:t>
      </w:r>
      <w:proofErr w:type="spellEnd"/>
      <w:r w:rsidR="00AE070D" w:rsidRPr="00DA42F5">
        <w:rPr>
          <w:rFonts w:cs="Times New Roman"/>
          <w:szCs w:val="24"/>
        </w:rPr>
        <w:t xml:space="preserve"> </w:t>
      </w:r>
      <w:r w:rsidR="00AE070D" w:rsidRPr="00DA42F5">
        <w:rPr>
          <w:rFonts w:cs="Times New Roman"/>
          <w:szCs w:val="24"/>
        </w:rPr>
        <w:fldChar w:fldCharType="begin"/>
      </w:r>
      <w:r w:rsidR="00AE070D" w:rsidRPr="00DA42F5">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00AE070D" w:rsidRPr="00DA42F5">
        <w:rPr>
          <w:rFonts w:cs="Times New Roman"/>
          <w:szCs w:val="24"/>
        </w:rPr>
        <w:fldChar w:fldCharType="separate"/>
      </w:r>
      <w:r w:rsidR="00AE070D" w:rsidRPr="00DA42F5">
        <w:rPr>
          <w:rFonts w:cs="Times New Roman"/>
          <w:szCs w:val="24"/>
        </w:rPr>
        <w:t>(Croucher et al., 2015)</w:t>
      </w:r>
      <w:r w:rsidR="00AE070D" w:rsidRPr="00DA42F5">
        <w:rPr>
          <w:rFonts w:cs="Times New Roman"/>
          <w:szCs w:val="24"/>
        </w:rPr>
        <w:fldChar w:fldCharType="end"/>
      </w:r>
      <w:r w:rsidR="00AE070D" w:rsidRPr="00DA42F5">
        <w:rPr>
          <w:rFonts w:cs="Times New Roman"/>
          <w:szCs w:val="24"/>
        </w:rPr>
        <w:t xml:space="preserve">. The filtered SNP matrix </w:t>
      </w:r>
      <w:r w:rsidR="004F43A6" w:rsidRPr="00DA42F5">
        <w:rPr>
          <w:rFonts w:cs="Times New Roman"/>
          <w:szCs w:val="24"/>
        </w:rPr>
        <w:t>was used to construct</w:t>
      </w:r>
      <w:r w:rsidR="00AE070D" w:rsidRPr="00DA42F5">
        <w:rPr>
          <w:rFonts w:cs="Times New Roman"/>
          <w:szCs w:val="24"/>
        </w:rPr>
        <w:t xml:space="preserve"> a neighbour-joining tree</w:t>
      </w:r>
      <w:r w:rsidR="00CF2F1F" w:rsidRPr="00DA42F5">
        <w:rPr>
          <w:rFonts w:cs="Times New Roman"/>
          <w:szCs w:val="24"/>
        </w:rPr>
        <w:t xml:space="preserve"> in Gubbins</w:t>
      </w:r>
      <w:r w:rsidR="00AE070D" w:rsidRPr="00DA42F5">
        <w:rPr>
          <w:rFonts w:cs="Times New Roman"/>
          <w:szCs w:val="24"/>
        </w:rPr>
        <w:t>,</w:t>
      </w:r>
      <w:r w:rsidR="00CF2F1F" w:rsidRPr="00DA42F5">
        <w:rPr>
          <w:rFonts w:cs="Times New Roman"/>
          <w:szCs w:val="24"/>
        </w:rPr>
        <w:t xml:space="preserve"> </w:t>
      </w:r>
      <w:r w:rsidR="004F43A6" w:rsidRPr="00DA42F5">
        <w:rPr>
          <w:rFonts w:cs="Times New Roman"/>
          <w:szCs w:val="24"/>
        </w:rPr>
        <w:t>which we</w:t>
      </w:r>
      <w:r w:rsidR="00AE070D" w:rsidRPr="00DA42F5">
        <w:rPr>
          <w:rFonts w:cs="Times New Roman"/>
          <w:szCs w:val="24"/>
        </w:rPr>
        <w:t xml:space="preserve"> visualised in MEGA </w:t>
      </w:r>
      <w:proofErr w:type="spellStart"/>
      <w:r w:rsidR="00AE070D" w:rsidRPr="00DA42F5">
        <w:rPr>
          <w:rFonts w:cs="Times New Roman"/>
          <w:szCs w:val="24"/>
        </w:rPr>
        <w:t>v12</w:t>
      </w:r>
      <w:proofErr w:type="spellEnd"/>
      <w:r w:rsidR="00AE070D" w:rsidRPr="00DA42F5">
        <w:rPr>
          <w:rFonts w:cs="Times New Roman"/>
          <w:szCs w:val="24"/>
        </w:rPr>
        <w:t xml:space="preserve"> </w:t>
      </w:r>
      <w:r w:rsidR="00AE070D" w:rsidRPr="00DA42F5">
        <w:rPr>
          <w:rFonts w:cs="Times New Roman"/>
          <w:szCs w:val="24"/>
        </w:rPr>
        <w:fldChar w:fldCharType="begin"/>
      </w:r>
      <w:r w:rsidR="00AE070D" w:rsidRPr="00DA42F5">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00AE070D" w:rsidRPr="00DA42F5">
        <w:rPr>
          <w:rFonts w:cs="Times New Roman"/>
          <w:szCs w:val="24"/>
        </w:rPr>
        <w:fldChar w:fldCharType="separate"/>
      </w:r>
      <w:r w:rsidR="00AE070D" w:rsidRPr="00DA42F5">
        <w:rPr>
          <w:rFonts w:cs="Times New Roman"/>
          <w:szCs w:val="24"/>
        </w:rPr>
        <w:t>(Tamura et al., 2021)</w:t>
      </w:r>
      <w:r w:rsidR="00AE070D" w:rsidRPr="00DA42F5">
        <w:rPr>
          <w:rFonts w:cs="Times New Roman"/>
          <w:szCs w:val="24"/>
        </w:rPr>
        <w:fldChar w:fldCharType="end"/>
      </w:r>
      <w:r w:rsidR="00AE070D" w:rsidRPr="00DA42F5">
        <w:rPr>
          <w:rFonts w:cs="Times New Roman"/>
          <w:szCs w:val="24"/>
        </w:rPr>
        <w:t>.</w:t>
      </w:r>
      <w:r w:rsidR="00571F06" w:rsidRPr="00DA42F5">
        <w:rPr>
          <w:rFonts w:cs="Times New Roman"/>
          <w:szCs w:val="24"/>
        </w:rPr>
        <w:t xml:space="preserve"> Coloured squares for easier inspection of the tree were added in </w:t>
      </w:r>
      <w:proofErr w:type="spellStart"/>
      <w:r w:rsidR="00571F06" w:rsidRPr="00DA42F5">
        <w:rPr>
          <w:rFonts w:cs="Times New Roman"/>
          <w:szCs w:val="24"/>
        </w:rPr>
        <w:t>InkScape</w:t>
      </w:r>
      <w:proofErr w:type="spellEnd"/>
      <w:r w:rsidR="00571F06" w:rsidRPr="00DA42F5">
        <w:rPr>
          <w:rFonts w:cs="Times New Roman"/>
          <w:szCs w:val="24"/>
        </w:rPr>
        <w:t xml:space="preserve">. </w:t>
      </w:r>
    </w:p>
    <w:p w14:paraId="4EA70A03" w14:textId="77777777" w:rsidR="00E54622" w:rsidRPr="00DA42F5" w:rsidRDefault="00E54622" w:rsidP="00AE070D">
      <w:pPr>
        <w:rPr>
          <w:rFonts w:cs="Times New Roman"/>
          <w:szCs w:val="24"/>
        </w:rPr>
      </w:pPr>
    </w:p>
    <w:p w14:paraId="1B679E93" w14:textId="61CA3106" w:rsidR="00C81F8E" w:rsidRPr="00DA42F5" w:rsidRDefault="00C81F8E" w:rsidP="00AE070D">
      <w:pPr>
        <w:pStyle w:val="Heading4"/>
        <w:numPr>
          <w:ilvl w:val="3"/>
          <w:numId w:val="26"/>
        </w:numPr>
      </w:pPr>
      <w:bookmarkStart w:id="170" w:name="_Toc216099741"/>
      <w:bookmarkStart w:id="171" w:name="_Toc220591392"/>
      <w:r w:rsidRPr="00DA42F5">
        <w:t xml:space="preserve">Preprocessing of long-read </w:t>
      </w:r>
      <w:r w:rsidR="00BD2E54" w:rsidRPr="00DA42F5">
        <w:t>sequences</w:t>
      </w:r>
      <w:r w:rsidRPr="00DA42F5">
        <w:t xml:space="preserve"> and hybrid assembly</w:t>
      </w:r>
      <w:bookmarkEnd w:id="170"/>
      <w:bookmarkEnd w:id="171"/>
    </w:p>
    <w:p w14:paraId="71E4513D" w14:textId="2C63E455" w:rsidR="004F43A6" w:rsidRPr="00DA42F5" w:rsidRDefault="00B049FB" w:rsidP="00CD77AB">
      <w:pPr>
        <w:rPr>
          <w:rFonts w:cs="Times New Roman"/>
          <w:szCs w:val="24"/>
        </w:rPr>
      </w:pPr>
      <w:r w:rsidRPr="00DA42F5">
        <w:t>Five isolates were a</w:t>
      </w:r>
      <w:r w:rsidR="00C81F8E" w:rsidRPr="00DA42F5">
        <w:t xml:space="preserve">dditionally sequenced on </w:t>
      </w:r>
      <w:r w:rsidRPr="00DA42F5">
        <w:t xml:space="preserve">an </w:t>
      </w:r>
      <w:r w:rsidR="00C81F8E" w:rsidRPr="00DA42F5">
        <w:t xml:space="preserve">ONT </w:t>
      </w:r>
      <w:proofErr w:type="spellStart"/>
      <w:r w:rsidR="00C81F8E" w:rsidRPr="00DA42F5">
        <w:t>M</w:t>
      </w:r>
      <w:r w:rsidR="004F43A6" w:rsidRPr="00DA42F5">
        <w:t>i</w:t>
      </w:r>
      <w:r w:rsidR="00C81F8E" w:rsidRPr="00DA42F5">
        <w:t>nION</w:t>
      </w:r>
      <w:proofErr w:type="spellEnd"/>
      <w:r w:rsidRPr="00DA42F5">
        <w:t xml:space="preserve"> platform</w:t>
      </w:r>
      <w:ins w:id="172" w:author="Maja Rupnik" w:date="2026-01-08T13:38:00Z" w16du:dateUtc="2026-01-08T12:38:00Z">
        <w:r w:rsidR="00CC4180" w:rsidRPr="00DA42F5">
          <w:t xml:space="preserve"> </w:t>
        </w:r>
      </w:ins>
      <w:ins w:id="173" w:author="Urša Miklavčič" w:date="2026-01-21T09:47:00Z" w16du:dateUtc="2026-01-21T08:47:00Z">
        <w:r w:rsidR="00494014">
          <w:t>as described in chapter 3.5.4</w:t>
        </w:r>
      </w:ins>
      <w:ins w:id="174" w:author="Maja Rupnik" w:date="2026-01-08T13:38:00Z" w16du:dateUtc="2026-01-08T12:38:00Z">
        <w:del w:id="175" w:author="Urša Miklavčič" w:date="2026-01-21T09:47:00Z" w16du:dateUtc="2026-01-21T08:47:00Z">
          <w:r w:rsidR="00CC4180" w:rsidRPr="00DA42F5" w:rsidDel="00494014">
            <w:delText>(chapter ???)</w:delText>
          </w:r>
        </w:del>
      </w:ins>
      <w:r w:rsidR="00CF2F1F" w:rsidRPr="00DA42F5">
        <w:t>.</w:t>
      </w:r>
      <w:r w:rsidR="00C81F8E" w:rsidRPr="00DA42F5">
        <w:t xml:space="preserve"> </w:t>
      </w:r>
      <w:r w:rsidR="004F43A6" w:rsidRPr="00DA42F5">
        <w:rPr>
          <w:rFonts w:cs="Times New Roman"/>
          <w:szCs w:val="24"/>
        </w:rPr>
        <w:t>The q</w:t>
      </w:r>
      <w:r w:rsidR="007F18F0" w:rsidRPr="00DA42F5">
        <w:rPr>
          <w:rFonts w:cs="Times New Roman"/>
          <w:szCs w:val="24"/>
        </w:rPr>
        <w:t>uality of long-read</w:t>
      </w:r>
      <w:r w:rsidRPr="00DA42F5">
        <w:rPr>
          <w:rFonts w:cs="Times New Roman"/>
          <w:szCs w:val="24"/>
        </w:rPr>
        <w:t>s</w:t>
      </w:r>
      <w:r w:rsidR="007F18F0" w:rsidRPr="00DA42F5">
        <w:rPr>
          <w:rFonts w:cs="Times New Roman"/>
          <w:szCs w:val="24"/>
        </w:rPr>
        <w:t xml:space="preserve"> </w:t>
      </w:r>
      <w:r w:rsidR="004F43A6" w:rsidRPr="00DA42F5">
        <w:rPr>
          <w:rFonts w:cs="Times New Roman"/>
          <w:szCs w:val="24"/>
        </w:rPr>
        <w:t>was</w:t>
      </w:r>
      <w:r w:rsidR="007F18F0" w:rsidRPr="00DA42F5">
        <w:rPr>
          <w:rFonts w:cs="Times New Roman"/>
          <w:szCs w:val="24"/>
        </w:rPr>
        <w:t xml:space="preserve"> assessed with </w:t>
      </w:r>
      <w:proofErr w:type="spellStart"/>
      <w:r w:rsidR="008A2B5E" w:rsidRPr="00DA42F5">
        <w:rPr>
          <w:rFonts w:cs="Times New Roman"/>
          <w:szCs w:val="24"/>
        </w:rPr>
        <w:t>NanoPlot</w:t>
      </w:r>
      <w:proofErr w:type="spellEnd"/>
      <w:r w:rsidR="008A2B5E" w:rsidRPr="00DA42F5">
        <w:rPr>
          <w:rFonts w:cs="Times New Roman"/>
          <w:szCs w:val="24"/>
        </w:rPr>
        <w:t xml:space="preserve"> </w:t>
      </w:r>
      <w:proofErr w:type="spellStart"/>
      <w:r w:rsidR="00C81F8E" w:rsidRPr="00DA42F5">
        <w:rPr>
          <w:rFonts w:cs="Times New Roman"/>
          <w:szCs w:val="24"/>
        </w:rPr>
        <w:t>v1.43.0</w:t>
      </w:r>
      <w:proofErr w:type="spellEnd"/>
      <w:r w:rsidR="00C81F8E" w:rsidRPr="00DA42F5">
        <w:rPr>
          <w:rFonts w:cs="Times New Roman"/>
          <w:szCs w:val="24"/>
        </w:rPr>
        <w:t xml:space="preserve"> </w:t>
      </w:r>
      <w:r w:rsidR="008A2B5E" w:rsidRPr="00DA42F5">
        <w:rPr>
          <w:rFonts w:cs="Times New Roman"/>
          <w:szCs w:val="24"/>
        </w:rPr>
        <w:t xml:space="preserve">and </w:t>
      </w:r>
      <w:proofErr w:type="spellStart"/>
      <w:r w:rsidR="008A2B5E" w:rsidRPr="00DA42F5">
        <w:rPr>
          <w:rFonts w:cs="Times New Roman"/>
          <w:szCs w:val="24"/>
        </w:rPr>
        <w:t>NanoStat</w:t>
      </w:r>
      <w:proofErr w:type="spellEnd"/>
      <w:r w:rsidR="00C81F8E" w:rsidRPr="00DA42F5">
        <w:rPr>
          <w:rFonts w:cs="Times New Roman"/>
          <w:szCs w:val="24"/>
        </w:rPr>
        <w:t xml:space="preserve"> </w:t>
      </w:r>
      <w:proofErr w:type="spellStart"/>
      <w:r w:rsidR="00C81F8E" w:rsidRPr="00DA42F5">
        <w:rPr>
          <w:rFonts w:cs="Times New Roman"/>
          <w:szCs w:val="24"/>
        </w:rPr>
        <w:t>v1.6.0</w:t>
      </w:r>
      <w:proofErr w:type="spellEnd"/>
      <w:r w:rsidR="004F43A6" w:rsidRPr="00DA42F5">
        <w:rPr>
          <w:rFonts w:cs="Times New Roman"/>
          <w:szCs w:val="24"/>
        </w:rPr>
        <w:t xml:space="preserve">, </w:t>
      </w:r>
      <w:r w:rsidR="008A2B5E" w:rsidRPr="00DA42F5">
        <w:rPr>
          <w:rFonts w:cs="Times New Roman"/>
          <w:szCs w:val="24"/>
        </w:rPr>
        <w:t xml:space="preserve">and </w:t>
      </w:r>
      <w:r w:rsidRPr="00DA42F5">
        <w:rPr>
          <w:rFonts w:cs="Times New Roman"/>
          <w:szCs w:val="24"/>
        </w:rPr>
        <w:t xml:space="preserve">reads were </w:t>
      </w:r>
      <w:r w:rsidR="008A2B5E" w:rsidRPr="00DA42F5">
        <w:rPr>
          <w:rFonts w:cs="Times New Roman"/>
          <w:szCs w:val="24"/>
        </w:rPr>
        <w:t xml:space="preserve">filtered with </w:t>
      </w:r>
      <w:proofErr w:type="spellStart"/>
      <w:r w:rsidR="00895E4C" w:rsidRPr="00DA42F5">
        <w:rPr>
          <w:rFonts w:cs="Times New Roman"/>
          <w:szCs w:val="24"/>
        </w:rPr>
        <w:t>NanoFilt</w:t>
      </w:r>
      <w:proofErr w:type="spellEnd"/>
      <w:r w:rsidR="00895E4C" w:rsidRPr="00DA42F5">
        <w:rPr>
          <w:rFonts w:cs="Times New Roman"/>
          <w:szCs w:val="24"/>
        </w:rPr>
        <w:t xml:space="preserve"> </w:t>
      </w:r>
      <w:proofErr w:type="spellStart"/>
      <w:r w:rsidR="007F18F0" w:rsidRPr="00DA42F5">
        <w:rPr>
          <w:rFonts w:cs="Times New Roman"/>
          <w:szCs w:val="24"/>
        </w:rPr>
        <w:t>v</w:t>
      </w:r>
      <w:r w:rsidR="00895E4C" w:rsidRPr="00DA42F5">
        <w:rPr>
          <w:rFonts w:cs="Times New Roman"/>
          <w:szCs w:val="24"/>
        </w:rPr>
        <w:t>2.8.0</w:t>
      </w:r>
      <w:proofErr w:type="spellEnd"/>
      <w:r w:rsidR="007F18F0" w:rsidRPr="00DA42F5">
        <w:rPr>
          <w:rFonts w:cs="Times New Roman"/>
          <w:szCs w:val="24"/>
        </w:rPr>
        <w:t xml:space="preserve"> using </w:t>
      </w:r>
      <w:r w:rsidRPr="00DA42F5">
        <w:rPr>
          <w:rFonts w:cs="Times New Roman"/>
          <w:szCs w:val="24"/>
        </w:rPr>
        <w:t>a minimum</w:t>
      </w:r>
      <w:r w:rsidR="00895E4C" w:rsidRPr="00DA42F5">
        <w:rPr>
          <w:rFonts w:cs="Times New Roman"/>
          <w:szCs w:val="24"/>
        </w:rPr>
        <w:t xml:space="preserve"> Q</w:t>
      </w:r>
      <w:r w:rsidR="007F18F0" w:rsidRPr="00DA42F5">
        <w:rPr>
          <w:rFonts w:cs="Times New Roman"/>
          <w:szCs w:val="24"/>
        </w:rPr>
        <w:t>-</w:t>
      </w:r>
      <w:r w:rsidR="00895E4C" w:rsidRPr="00DA42F5">
        <w:rPr>
          <w:rFonts w:cs="Times New Roman"/>
          <w:szCs w:val="24"/>
        </w:rPr>
        <w:t xml:space="preserve">score </w:t>
      </w:r>
      <w:r w:rsidRPr="00DA42F5">
        <w:rPr>
          <w:rFonts w:cs="Times New Roman"/>
          <w:szCs w:val="24"/>
        </w:rPr>
        <w:t>of 1</w:t>
      </w:r>
      <w:r w:rsidR="00895E4C" w:rsidRPr="00DA42F5">
        <w:rPr>
          <w:rFonts w:cs="Times New Roman"/>
          <w:szCs w:val="24"/>
        </w:rPr>
        <w:t xml:space="preserve">0 and a </w:t>
      </w:r>
      <w:r w:rsidRPr="00DA42F5">
        <w:rPr>
          <w:rFonts w:cs="Times New Roman"/>
          <w:szCs w:val="24"/>
        </w:rPr>
        <w:t xml:space="preserve">minimum </w:t>
      </w:r>
      <w:r w:rsidR="00895E4C" w:rsidRPr="00DA42F5">
        <w:rPr>
          <w:rFonts w:cs="Times New Roman"/>
          <w:szCs w:val="24"/>
        </w:rPr>
        <w:t xml:space="preserve">read length of </w:t>
      </w:r>
      <w:r w:rsidR="00CF2F1F" w:rsidRPr="00DA42F5">
        <w:rPr>
          <w:rFonts w:cs="Times New Roman"/>
          <w:szCs w:val="24"/>
        </w:rPr>
        <w:t>3</w:t>
      </w:r>
      <w:r w:rsidR="00895E4C" w:rsidRPr="00DA42F5">
        <w:rPr>
          <w:rFonts w:cs="Times New Roman"/>
          <w:szCs w:val="24"/>
        </w:rPr>
        <w:t>000 bases</w:t>
      </w:r>
      <w:r w:rsidR="00C2031F" w:rsidRPr="00DA42F5">
        <w:rPr>
          <w:rFonts w:cs="Times New Roman"/>
          <w:szCs w:val="24"/>
        </w:rPr>
        <w:t xml:space="preserve"> </w:t>
      </w:r>
      <w:r w:rsidR="00C2031F" w:rsidRPr="00DA42F5">
        <w:rPr>
          <w:rFonts w:cs="Times New Roman"/>
          <w:szCs w:val="24"/>
        </w:rPr>
        <w:fldChar w:fldCharType="begin"/>
      </w:r>
      <w:r w:rsidR="008A2B5E" w:rsidRPr="00DA42F5">
        <w:rPr>
          <w:rFonts w:cs="Times New Roman"/>
          <w:szCs w:val="24"/>
        </w:rPr>
        <w:instrText xml:space="preserve"> ADDIN ZOTERO_ITEM CSL_CITATION {"citationID":"dyTNbwOu","properties":{"formattedCitation":"(De Coster et al., 2018; De Coster &amp; Rademakers, 2023)","plainCitation":"(De Coster et al., 2018; De Coster &amp; Rademakers, 2023)","noteIndex":0},"citationItems":[{"id":3389,"uris":["http://zotero.org/users/8873894/items/WDWGGYEG"],"itemData":{"id":3389,"type":"article-journal","abstract":"Here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Broeckhoven","given":"Christine"}],"issued":{"date-parts":[["2018",8,1]]}}},{"id":3394,"uris":["http://zotero.org/users/8873894/items/VVJ2S84R"],"itemData":{"id":3394,"type":"article-journal","abstract":"Increases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00C2031F" w:rsidRPr="00DA42F5">
        <w:rPr>
          <w:rFonts w:cs="Times New Roman"/>
          <w:szCs w:val="24"/>
        </w:rPr>
        <w:fldChar w:fldCharType="separate"/>
      </w:r>
      <w:r w:rsidR="008A2B5E" w:rsidRPr="00DA42F5">
        <w:rPr>
          <w:rFonts w:cs="Times New Roman"/>
        </w:rPr>
        <w:t>(De Coster et al., 2018; De Coster &amp; Rademakers, 2023)</w:t>
      </w:r>
      <w:r w:rsidR="00C2031F" w:rsidRPr="00DA42F5">
        <w:rPr>
          <w:rFonts w:cs="Times New Roman"/>
          <w:szCs w:val="24"/>
        </w:rPr>
        <w:fldChar w:fldCharType="end"/>
      </w:r>
      <w:r w:rsidR="00895E4C" w:rsidRPr="00DA42F5">
        <w:rPr>
          <w:rFonts w:cs="Times New Roman"/>
          <w:szCs w:val="24"/>
        </w:rPr>
        <w:t>.</w:t>
      </w:r>
      <w:r w:rsidR="00CF2F1F" w:rsidRPr="00DA42F5">
        <w:rPr>
          <w:rFonts w:cs="Times New Roman"/>
          <w:szCs w:val="24"/>
        </w:rPr>
        <w:t xml:space="preserve"> </w:t>
      </w:r>
      <w:r w:rsidR="008A2B5E" w:rsidRPr="00DA42F5">
        <w:rPr>
          <w:rFonts w:cs="Times New Roman"/>
          <w:szCs w:val="24"/>
        </w:rPr>
        <w:t xml:space="preserve">Hybrid </w:t>
      </w:r>
      <w:r w:rsidRPr="00DA42F5">
        <w:rPr>
          <w:rFonts w:cs="Times New Roman"/>
          <w:szCs w:val="24"/>
        </w:rPr>
        <w:t xml:space="preserve">assemblies were constructed with </w:t>
      </w:r>
      <w:del w:id="176" w:author="Urša Miklavčič" w:date="2026-01-21T09:48:00Z" w16du:dateUtc="2026-01-21T08:48:00Z">
        <w:r w:rsidRPr="00DA42F5" w:rsidDel="00494014">
          <w:rPr>
            <w:rFonts w:cs="Times New Roman"/>
            <w:szCs w:val="24"/>
          </w:rPr>
          <w:delText xml:space="preserve">Unicycler v0.4.8 </w:delText>
        </w:r>
      </w:del>
      <w:proofErr w:type="spellStart"/>
      <w:ins w:id="177" w:author="Urša Miklavčič" w:date="2026-01-21T09:47:00Z" w16du:dateUtc="2026-01-21T08:47:00Z">
        <w:r w:rsidR="00494014">
          <w:rPr>
            <w:rFonts w:cs="Times New Roman"/>
            <w:szCs w:val="24"/>
          </w:rPr>
          <w:t>flye</w:t>
        </w:r>
        <w:proofErr w:type="spellEnd"/>
        <w:r w:rsidR="00494014">
          <w:rPr>
            <w:rFonts w:cs="Times New Roman"/>
            <w:szCs w:val="24"/>
          </w:rPr>
          <w:t xml:space="preserve"> </w:t>
        </w:r>
        <w:proofErr w:type="spellStart"/>
        <w:r w:rsidR="00494014">
          <w:rPr>
            <w:rFonts w:cs="Times New Roman"/>
            <w:szCs w:val="24"/>
          </w:rPr>
          <w:t>v</w:t>
        </w:r>
      </w:ins>
      <w:ins w:id="178" w:author="Urša Miklavčič" w:date="2026-01-21T09:48:00Z" w16du:dateUtc="2026-01-21T08:48:00Z">
        <w:r w:rsidR="00494014">
          <w:rPr>
            <w:rFonts w:cs="Times New Roman"/>
            <w:szCs w:val="24"/>
          </w:rPr>
          <w:t>2.9.6</w:t>
        </w:r>
      </w:ins>
      <w:proofErr w:type="spellEnd"/>
      <w:r w:rsidRPr="00DA42F5">
        <w:rPr>
          <w:rFonts w:cs="Times New Roman"/>
          <w:szCs w:val="24"/>
        </w:rPr>
        <w:t xml:space="preserve"> using </w:t>
      </w:r>
      <w:r w:rsidR="00AE070D" w:rsidRPr="00DA42F5">
        <w:rPr>
          <w:rFonts w:cs="Times New Roman"/>
          <w:szCs w:val="24"/>
        </w:rPr>
        <w:t>trimmed short-read sequences and filtered long-read sequences</w:t>
      </w:r>
      <w:r w:rsidR="008A2B5E" w:rsidRPr="00DA42F5">
        <w:rPr>
          <w:rFonts w:cs="Times New Roman"/>
          <w:szCs w:val="24"/>
        </w:rPr>
        <w:t xml:space="preserve"> with default settings</w:t>
      </w:r>
      <w:del w:id="179" w:author="Urša Miklavčič" w:date="2026-01-21T09:48:00Z" w16du:dateUtc="2026-01-21T08:48:00Z">
        <w:r w:rsidR="008A2B5E" w:rsidRPr="00DA42F5" w:rsidDel="00494014">
          <w:rPr>
            <w:rFonts w:cs="Times New Roman"/>
            <w:szCs w:val="24"/>
          </w:rPr>
          <w:delText xml:space="preserve"> </w:delText>
        </w:r>
        <w:r w:rsidR="008A2B5E" w:rsidRPr="00DA42F5" w:rsidDel="00494014">
          <w:rPr>
            <w:rFonts w:cs="Times New Roman"/>
            <w:szCs w:val="24"/>
          </w:rPr>
          <w:fldChar w:fldCharType="begin"/>
        </w:r>
        <w:r w:rsidR="008A2B5E" w:rsidRPr="00DA42F5" w:rsidDel="00494014">
          <w:rPr>
            <w:rFonts w:cs="Times New Roman"/>
            <w:szCs w:val="24"/>
          </w:rPr>
          <w:delInstrText xml:space="preserve"> ADDIN ZOTERO_ITEM CSL_CITATION {"citationID":"zSXjwrAG","properties":{"formattedCitation":"(Wick et al., 2017)","plainCitation":"(Wick et al., 2017)","noteIndex":0},"citationItems":[{"id":3392,"uris":["http://zotero.org/users/8873894/items/JNKV6U57"],"itemData":{"id":3392,"type":"article-journal","abstract":"The Illumina DNA sequencing platform generates accurate but short reads, which can be used to produce accurate but fragmented genome assemblies. Pacific Biosciences and Oxford Nanopore Technologies DNA sequencing platforms generate long reads that can produce complete genome assemblies, but the sequencing is more expensive and error-prone. There is significant interest in combining data from these complementary sequencing technologies to generate more accurate “hybrid” assemblies. However, few tools exist that truly leverage the benefits of both types of data, namely the accuracy of short reads and the structural resolving power of long reads. Here we present Unicycler, a new tool for assembling bacterial genomes from a combination of short and long reads, which produces assemblies that are accurate, complete and cost-effective. Unicycler builds an initial assembly graph from short reads using the de novo assembler SPAdes and then simplifies the graph using information from short and long reads. Unicycler uses a novel semi-global aligner to align long reads to the assembly graph. Tests on both synthetic and real reads show Unicycler can assemble larger contigs with fewer misassemblies than other hybrid assemblers, even when long-read depth and accuracy are low. Unicycler is open source (GPLv3) and available at github.com/rrwick/Unicycler.","container-title":"PLOS Computational Biology","DOI":"10.1371/journal.pcbi.1005595","ISSN":"1553-7358","issue":"6","journalAbbreviation":"PLOS Computational Biology","language":"en","note":"publisher: Public Library of Science","page":"e1005595","source":"PLoS Journals","title":"Unicycler: Resolving bacterial genome assemblies from short and long sequencing reads","title-short":"Unicycler","volume":"13","author":[{"family":"Wick","given":"Ryan R."},{"family":"Judd","given":"Louise M."},{"family":"Gorrie","given":"Claire L."},{"family":"Holt","given":"Kathryn E."}],"issued":{"date-parts":[["2017",6,8]]}}}],"schema":"https://github.com/citation-style-language/schema/raw/master/csl-citation.json"} </w:delInstrText>
        </w:r>
        <w:r w:rsidR="008A2B5E" w:rsidRPr="00DA42F5" w:rsidDel="00494014">
          <w:rPr>
            <w:rFonts w:cs="Times New Roman"/>
            <w:szCs w:val="24"/>
          </w:rPr>
          <w:fldChar w:fldCharType="separate"/>
        </w:r>
        <w:r w:rsidR="008A2B5E" w:rsidRPr="00DA42F5" w:rsidDel="00494014">
          <w:rPr>
            <w:rFonts w:cs="Times New Roman"/>
          </w:rPr>
          <w:delText>(Wick et al., 2017)</w:delText>
        </w:r>
        <w:r w:rsidR="008A2B5E" w:rsidRPr="00DA42F5" w:rsidDel="00494014">
          <w:rPr>
            <w:rFonts w:cs="Times New Roman"/>
            <w:szCs w:val="24"/>
          </w:rPr>
          <w:fldChar w:fldCharType="end"/>
        </w:r>
      </w:del>
      <w:r w:rsidR="00494014">
        <w:rPr>
          <w:rFonts w:cs="Times New Roman"/>
          <w:szCs w:val="24"/>
        </w:rPr>
        <w:fldChar w:fldCharType="begin"/>
      </w:r>
      <w:r w:rsidR="00494014">
        <w:rPr>
          <w:rFonts w:cs="Times New Roman"/>
          <w:szCs w:val="24"/>
        </w:rPr>
        <w:instrText xml:space="preserve"> ADDIN ZOTERO_ITEM CSL_CITATION {"citationID":"Iyk955Hu","properties":{"formattedCitation":"(Kolmogorov et al., 2019)","plainCitation":"(Kolmogorov et al., 2019)","noteIndex":0},"citationItems":[{"id":3587,"uris":["http://zotero.org/users/8873894/items/47BJZDP3"],"itemData":{"id":3587,"type":"article-journal","abstract":"Accurate genome assembly is hampered by repetitive regions. Although long single molecule sequencing reads are better able to resolve genomic repeats than short-read data, most long-read assembly algorithms do not provide the repeat characterization necessary for producing optimal assemblies. Here, we present Flye, a long-read assembly algorithm that generates arbitrary paths in an unknown repeat graph, called disjointigs, and constructs an accurate repeat graph from these error-riddled disjointigs. We benchmark Flye against five state-of-the-art assemblers and show that it generates better or comparable assemblies, while being an order of magnitude faster. Flye nearly doubled the contiguity of the human genome assembly (as measured by the NGA50 assembly quality metric) compared with existing assemblers.","container-title":"Nature Biotechnology","DOI":"10.1038/s41587-019-0072-8","ISSN":"1546-1696","issue":"5","journalAbbreviation":"Nat Biotechnol","language":"en","license":"2019 The Author(s), under exclusive licence to Springer Nature America, Inc.","page":"540-546","publisher":"Nature Publishing Group","source":"www.nature.com","title":"Assembly of long, error-prone reads using repeat graphs","volume":"37","author":[{"family":"Kolmogorov","given":"Mikhail"},{"family":"Yuan","given":"Jeffrey"},{"family":"Lin","given":"Yu"},{"family":"Pevzner","given":"Pavel A."}],"issued":{"date-parts":[["2019",5]]}}}],"schema":"https://github.com/citation-style-language/schema/raw/master/csl-citation.json"} </w:instrText>
      </w:r>
      <w:r w:rsidR="00494014">
        <w:rPr>
          <w:rFonts w:cs="Times New Roman"/>
          <w:szCs w:val="24"/>
        </w:rPr>
        <w:fldChar w:fldCharType="separate"/>
      </w:r>
      <w:r w:rsidR="00494014" w:rsidRPr="00494014">
        <w:rPr>
          <w:rFonts w:cs="Times New Roman"/>
        </w:rPr>
        <w:t>(Kolmogorov et al., 2019)</w:t>
      </w:r>
      <w:r w:rsidR="00494014">
        <w:rPr>
          <w:rFonts w:cs="Times New Roman"/>
          <w:szCs w:val="24"/>
        </w:rPr>
        <w:fldChar w:fldCharType="end"/>
      </w:r>
      <w:r w:rsidR="004F43A6" w:rsidRPr="00DA42F5">
        <w:rPr>
          <w:rFonts w:cs="Times New Roman"/>
          <w:szCs w:val="24"/>
        </w:rPr>
        <w:t xml:space="preserve">. </w:t>
      </w:r>
    </w:p>
    <w:p w14:paraId="0DA229A6" w14:textId="77777777" w:rsidR="00AE070D" w:rsidRPr="00DA42F5" w:rsidRDefault="00AE070D" w:rsidP="00AE070D">
      <w:pPr>
        <w:pStyle w:val="Heading4"/>
        <w:numPr>
          <w:ilvl w:val="0"/>
          <w:numId w:val="0"/>
        </w:numPr>
        <w:ind w:left="720" w:hanging="720"/>
      </w:pPr>
    </w:p>
    <w:p w14:paraId="14D7919D" w14:textId="5BAD8DB8" w:rsidR="00895E4C" w:rsidRPr="00DA42F5" w:rsidRDefault="00895E4C" w:rsidP="00221812">
      <w:pPr>
        <w:pStyle w:val="Heading4"/>
        <w:numPr>
          <w:ilvl w:val="3"/>
          <w:numId w:val="26"/>
        </w:numPr>
      </w:pPr>
      <w:bookmarkStart w:id="180" w:name="_Toc216099742"/>
      <w:bookmarkStart w:id="181" w:name="_Toc220591393"/>
      <w:r w:rsidRPr="00DA42F5">
        <w:t>P</w:t>
      </w:r>
      <w:r w:rsidR="008941CE" w:rsidRPr="00DA42F5">
        <w:t>an</w:t>
      </w:r>
      <w:r w:rsidR="00025252" w:rsidRPr="00DA42F5">
        <w:t>-</w:t>
      </w:r>
      <w:r w:rsidR="008941CE" w:rsidRPr="00DA42F5">
        <w:t xml:space="preserve">genome </w:t>
      </w:r>
      <w:r w:rsidR="00D95346" w:rsidRPr="00DA42F5">
        <w:t>analysis</w:t>
      </w:r>
      <w:r w:rsidR="004343B2" w:rsidRPr="00DA42F5">
        <w:t xml:space="preserve">, ANI score and </w:t>
      </w:r>
      <w:r w:rsidR="00C9255A" w:rsidRPr="00DA42F5">
        <w:t>SNP analysis with hybrid assemblies included</w:t>
      </w:r>
      <w:bookmarkEnd w:id="180"/>
      <w:bookmarkEnd w:id="181"/>
      <w:r w:rsidR="00C9255A" w:rsidRPr="00DA42F5">
        <w:t xml:space="preserve"> </w:t>
      </w:r>
    </w:p>
    <w:p w14:paraId="4AE35FAE" w14:textId="1AE52F27" w:rsidR="00D95346" w:rsidRPr="00DA42F5" w:rsidRDefault="00B049FB" w:rsidP="00CD77AB">
      <w:pPr>
        <w:rPr>
          <w:rFonts w:cs="Times New Roman"/>
          <w:szCs w:val="24"/>
        </w:rPr>
      </w:pPr>
      <w:r w:rsidRPr="00DA42F5">
        <w:rPr>
          <w:rFonts w:cs="Times New Roman"/>
          <w:szCs w:val="24"/>
        </w:rPr>
        <w:t xml:space="preserve">All genome assemblies were annotated </w:t>
      </w:r>
      <w:r w:rsidR="00C9255A" w:rsidRPr="00DA42F5">
        <w:rPr>
          <w:rFonts w:cs="Times New Roman"/>
          <w:szCs w:val="24"/>
        </w:rPr>
        <w:t xml:space="preserve">with </w:t>
      </w:r>
      <w:proofErr w:type="spellStart"/>
      <w:r w:rsidR="004F43A6" w:rsidRPr="00DA42F5">
        <w:rPr>
          <w:rFonts w:cs="Times New Roman"/>
          <w:szCs w:val="24"/>
        </w:rPr>
        <w:t>P</w:t>
      </w:r>
      <w:r w:rsidR="00C9255A" w:rsidRPr="00DA42F5">
        <w:rPr>
          <w:rFonts w:cs="Times New Roman"/>
          <w:szCs w:val="24"/>
        </w:rPr>
        <w:t>rokka</w:t>
      </w:r>
      <w:proofErr w:type="spellEnd"/>
      <w:r w:rsidR="00C9255A" w:rsidRPr="00DA42F5">
        <w:rPr>
          <w:rFonts w:cs="Times New Roman"/>
          <w:szCs w:val="24"/>
        </w:rPr>
        <w:t xml:space="preserve"> </w:t>
      </w:r>
      <w:proofErr w:type="spellStart"/>
      <w:r w:rsidR="00C9255A" w:rsidRPr="00DA42F5">
        <w:rPr>
          <w:rFonts w:cs="Times New Roman"/>
          <w:szCs w:val="24"/>
        </w:rPr>
        <w:t>v1.14.6</w:t>
      </w:r>
      <w:proofErr w:type="spellEnd"/>
      <w:r w:rsidRPr="00DA42F5">
        <w:rPr>
          <w:rFonts w:cs="Times New Roman"/>
          <w:szCs w:val="24"/>
        </w:rPr>
        <w:t xml:space="preserve"> prior to pan-genome construction</w:t>
      </w:r>
      <w:r w:rsidR="00C9255A" w:rsidRPr="00DA42F5">
        <w:rPr>
          <w:rFonts w:cs="Times New Roman"/>
          <w:szCs w:val="24"/>
        </w:rPr>
        <w:t xml:space="preserve"> </w:t>
      </w:r>
      <w:r w:rsidR="00C9255A" w:rsidRPr="00DA42F5">
        <w:rPr>
          <w:rFonts w:cs="Times New Roman"/>
          <w:szCs w:val="24"/>
        </w:rPr>
        <w:fldChar w:fldCharType="begin"/>
      </w:r>
      <w:r w:rsidR="00C9255A" w:rsidRPr="00DA42F5">
        <w:rPr>
          <w:rFonts w:cs="Times New Roman"/>
          <w:szCs w:val="24"/>
        </w:rPr>
        <w:instrText xml:space="preserve"> ADDIN ZOTERO_ITEM CSL_CITATION {"citationID":"VCVY1BHg","properties":{"formattedCitation":"(Seemann, 2014)","plainCitation":"(Seemann, 2014)","noteIndex":0},"citationItems":[{"id":2204,"uris":["http://zotero.org/users/8873894/items/93T5ZAEQ"],"itemData":{"id":2204,"type":"article-journal","abstract":"Summary: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C9255A" w:rsidRPr="00DA42F5">
        <w:rPr>
          <w:rFonts w:cs="Times New Roman"/>
          <w:szCs w:val="24"/>
        </w:rPr>
        <w:fldChar w:fldCharType="separate"/>
      </w:r>
      <w:r w:rsidR="00C9255A" w:rsidRPr="00DA42F5">
        <w:rPr>
          <w:rFonts w:cs="Times New Roman"/>
        </w:rPr>
        <w:t>(Seemann, 2014)</w:t>
      </w:r>
      <w:r w:rsidR="00C9255A" w:rsidRPr="00DA42F5">
        <w:rPr>
          <w:rFonts w:cs="Times New Roman"/>
          <w:szCs w:val="24"/>
        </w:rPr>
        <w:fldChar w:fldCharType="end"/>
      </w:r>
      <w:r w:rsidR="00C9255A" w:rsidRPr="00DA42F5">
        <w:rPr>
          <w:rFonts w:cs="Times New Roman"/>
          <w:szCs w:val="24"/>
        </w:rPr>
        <w:t xml:space="preserve">. </w:t>
      </w:r>
      <w:r w:rsidRPr="00DA42F5">
        <w:rPr>
          <w:rFonts w:cs="Times New Roman"/>
          <w:szCs w:val="24"/>
        </w:rPr>
        <w:t xml:space="preserve">The pan-genome was inferred with </w:t>
      </w:r>
      <w:r w:rsidR="004F43A6" w:rsidRPr="00DA42F5">
        <w:rPr>
          <w:rFonts w:cs="Times New Roman"/>
          <w:szCs w:val="24"/>
        </w:rPr>
        <w:t>R</w:t>
      </w:r>
      <w:r w:rsidR="00C9255A" w:rsidRPr="00DA42F5">
        <w:rPr>
          <w:rFonts w:cs="Times New Roman"/>
          <w:szCs w:val="24"/>
        </w:rPr>
        <w:t xml:space="preserve">oary </w:t>
      </w:r>
      <w:proofErr w:type="spellStart"/>
      <w:r w:rsidR="00C9255A" w:rsidRPr="00DA42F5">
        <w:rPr>
          <w:rFonts w:cs="Times New Roman"/>
          <w:szCs w:val="24"/>
        </w:rPr>
        <w:t>v3.11.2</w:t>
      </w:r>
      <w:proofErr w:type="spellEnd"/>
      <w:r w:rsidR="00C9255A" w:rsidRPr="00DA42F5">
        <w:rPr>
          <w:rFonts w:cs="Times New Roman"/>
          <w:szCs w:val="24"/>
        </w:rPr>
        <w:t xml:space="preserve"> and visualised with </w:t>
      </w:r>
      <w:proofErr w:type="spellStart"/>
      <w:r w:rsidR="004F43A6" w:rsidRPr="00DA42F5">
        <w:rPr>
          <w:rFonts w:cs="Times New Roman"/>
          <w:szCs w:val="24"/>
        </w:rPr>
        <w:t>P</w:t>
      </w:r>
      <w:r w:rsidR="00C9255A" w:rsidRPr="00DA42F5">
        <w:rPr>
          <w:rFonts w:cs="Times New Roman"/>
          <w:szCs w:val="24"/>
        </w:rPr>
        <w:t>handango</w:t>
      </w:r>
      <w:proofErr w:type="spellEnd"/>
      <w:r w:rsidR="006B77C8" w:rsidRPr="00DA42F5">
        <w:rPr>
          <w:rFonts w:cs="Times New Roman"/>
          <w:szCs w:val="24"/>
        </w:rPr>
        <w:t>,</w:t>
      </w:r>
      <w:r w:rsidR="00C9255A" w:rsidRPr="00DA42F5">
        <w:rPr>
          <w:rFonts w:cs="Times New Roman"/>
          <w:szCs w:val="24"/>
        </w:rPr>
        <w:t xml:space="preserve"> </w:t>
      </w:r>
      <w:r w:rsidR="00606C72" w:rsidRPr="00DA42F5">
        <w:rPr>
          <w:rFonts w:cs="Times New Roman"/>
          <w:szCs w:val="24"/>
        </w:rPr>
        <w:t>including</w:t>
      </w:r>
      <w:r w:rsidR="00C9255A" w:rsidRPr="00DA42F5">
        <w:rPr>
          <w:rFonts w:cs="Times New Roman"/>
          <w:szCs w:val="24"/>
        </w:rPr>
        <w:t xml:space="preserve"> metadata on </w:t>
      </w:r>
      <w:r w:rsidR="006B77C8" w:rsidRPr="00DA42F5">
        <w:rPr>
          <w:rFonts w:cs="Times New Roman"/>
          <w:szCs w:val="24"/>
        </w:rPr>
        <w:t xml:space="preserve">the </w:t>
      </w:r>
      <w:r w:rsidR="00C9255A" w:rsidRPr="00DA42F5">
        <w:rPr>
          <w:rFonts w:cs="Times New Roman"/>
          <w:szCs w:val="24"/>
        </w:rPr>
        <w:t xml:space="preserve">sampling </w:t>
      </w:r>
      <w:r w:rsidR="00606C72" w:rsidRPr="00DA42F5">
        <w:rPr>
          <w:rFonts w:cs="Times New Roman"/>
          <w:szCs w:val="24"/>
        </w:rPr>
        <w:t>day for each</w:t>
      </w:r>
      <w:r w:rsidR="00C9255A" w:rsidRPr="00DA42F5">
        <w:rPr>
          <w:rFonts w:cs="Times New Roman"/>
          <w:szCs w:val="24"/>
        </w:rPr>
        <w:t xml:space="preserve"> stool sample</w:t>
      </w:r>
      <w:r w:rsidR="004343B2" w:rsidRPr="00DA42F5">
        <w:rPr>
          <w:rFonts w:cs="Times New Roman"/>
          <w:szCs w:val="24"/>
        </w:rPr>
        <w:t xml:space="preserve"> </w:t>
      </w:r>
      <w:r w:rsidR="00C9255A" w:rsidRPr="00DA42F5">
        <w:rPr>
          <w:rFonts w:cs="Times New Roman"/>
          <w:szCs w:val="24"/>
        </w:rPr>
        <w:fldChar w:fldCharType="begin"/>
      </w:r>
      <w:r w:rsidR="00494014">
        <w:rPr>
          <w:rFonts w:cs="Times New Roman"/>
          <w:szCs w:val="24"/>
        </w:rPr>
        <w:instrText xml:space="preserve"> ADDIN ZOTERO_ITEM CSL_CITATION {"citationID":"P4VHBIN1","properties":{"formattedCitation":"(Hadfield et al., 2018; Page et al., 2015)","plainCitation":"(Hadfield et al., 2018; Page et al., 2015)","noteIndex":0},"citationItems":[{"id":3402,"uris":["http://zotero.org/users/8873894/items/DMCDDYVD"],"itemData":{"id":3402,"type":"article-journal","abstract":"Fully exploiting the wealth of data in current bacterial population genomics datasets requires synthesizing and integrating different types of analysis across millions of base pairs in hundreds or thousands of isolates. Current approaches often use static representations of phylogenetic, epidemiological, statistical and evolutionary analysis results that are difficult to relate to one another. Phandango is an interactive application running in a web browser allowing fast exploration of large-scale population genomics datasets combining the output from multiple genomic analysis methods in an intuitive and interactive manner.Phandango is a web application freely available for use at www.phandango.net and includes a diverse collection of datasets as examples. Source code together with a detailed wiki page is available on GitHub at https://github.com/jameshadfield/phandango.","container-title":"Bioinformatics","DOI":"10.1093/bioinformatics/btx610","ISSN":"1367-4803","issue":"2","journalAbbreviation":"Bioinformatics","page":"292-293","source":"Silverchair","title":"Phandango: an interactive viewer for bacterial population genomics","title-short":"Phandango","volume":"34","author":[{"family":"Hadfield","given":"James"},{"family":"Croucher","given":"Nicholas J"},{"family":"Goater","given":"Richard J"},{"family":"Abudahab","given":"Khalil"},{"family":"Aanensen","given":"David M"},{"family":"Harris","given":"Simon R"}],"issued":{"date-parts":[["2018",1,1]]}}},{"id":3356,"uris":["http://zotero.org/users/8873894/items/FDX9LF5R"],"itemData":{"id":3356,"type":"article-journal","abstract":"A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England)","DOI":"10.1093/bioinformatics/btv421","ISSN":"1367-4811","issue":"22","journalAbbreviation":"Bioinformatics","language":"eng","page":"3691-3693","PMID":"26198102","PMCID":"PMC4817141","source":"PubMed","title":"Roary: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A."},{"family":"Parkhill","given":"Julian"}],"issued":{"date-parts":[["2015",11,15]]}}}],"schema":"https://github.com/citation-style-language/schema/raw/master/csl-citation.json"} </w:instrText>
      </w:r>
      <w:r w:rsidR="00C9255A" w:rsidRPr="00DA42F5">
        <w:rPr>
          <w:rFonts w:cs="Times New Roman"/>
          <w:szCs w:val="24"/>
        </w:rPr>
        <w:fldChar w:fldCharType="separate"/>
      </w:r>
      <w:r w:rsidR="00C9255A" w:rsidRPr="00DA42F5">
        <w:rPr>
          <w:rFonts w:cs="Times New Roman"/>
        </w:rPr>
        <w:t>(Hadfield et al., 2018; Page et al., 2015)</w:t>
      </w:r>
      <w:r w:rsidR="00C9255A" w:rsidRPr="00DA42F5">
        <w:rPr>
          <w:rFonts w:cs="Times New Roman"/>
          <w:szCs w:val="24"/>
        </w:rPr>
        <w:fldChar w:fldCharType="end"/>
      </w:r>
      <w:r w:rsidR="00C9255A" w:rsidRPr="00DA42F5">
        <w:rPr>
          <w:rFonts w:cs="Times New Roman"/>
          <w:szCs w:val="24"/>
        </w:rPr>
        <w:t xml:space="preserve">. </w:t>
      </w:r>
      <w:r w:rsidR="00606C72" w:rsidRPr="00DA42F5">
        <w:rPr>
          <w:rFonts w:cs="Times New Roman"/>
          <w:szCs w:val="24"/>
        </w:rPr>
        <w:t>To account for the improved assemblies of five genomes, the analys</w:t>
      </w:r>
      <w:r w:rsidR="006B77C8" w:rsidRPr="00DA42F5">
        <w:rPr>
          <w:rFonts w:cs="Times New Roman"/>
          <w:szCs w:val="24"/>
        </w:rPr>
        <w:t>e</w:t>
      </w:r>
      <w:r w:rsidR="00606C72" w:rsidRPr="00DA42F5">
        <w:rPr>
          <w:rFonts w:cs="Times New Roman"/>
          <w:szCs w:val="24"/>
        </w:rPr>
        <w:t xml:space="preserve">s </w:t>
      </w:r>
      <w:r w:rsidR="004343B2" w:rsidRPr="00DA42F5">
        <w:rPr>
          <w:rFonts w:cs="Times New Roman"/>
          <w:szCs w:val="24"/>
        </w:rPr>
        <w:t>in chapter</w:t>
      </w:r>
      <w:r w:rsidR="006B77C8" w:rsidRPr="00DA42F5">
        <w:rPr>
          <w:rFonts w:cs="Times New Roman"/>
          <w:szCs w:val="24"/>
        </w:rPr>
        <w:t>s</w:t>
      </w:r>
      <w:r w:rsidR="004343B2" w:rsidRPr="00DA42F5">
        <w:rPr>
          <w:rFonts w:cs="Times New Roman"/>
          <w:szCs w:val="24"/>
        </w:rPr>
        <w:t xml:space="preserve"> 3.7.2.2 </w:t>
      </w:r>
      <w:r w:rsidR="00606C72" w:rsidRPr="00DA42F5">
        <w:rPr>
          <w:rFonts w:cs="Times New Roman"/>
          <w:szCs w:val="24"/>
        </w:rPr>
        <w:t xml:space="preserve">and 3.7.2.3 were repeated with hybrid assemblies, using the hybrid assembly of genome </w:t>
      </w:r>
      <w:proofErr w:type="spellStart"/>
      <w:r w:rsidR="00606C72" w:rsidRPr="00DA42F5">
        <w:rPr>
          <w:rFonts w:cs="Times New Roman"/>
          <w:szCs w:val="24"/>
        </w:rPr>
        <w:t>H005_98</w:t>
      </w:r>
      <w:proofErr w:type="spellEnd"/>
      <w:r w:rsidR="00606C72" w:rsidRPr="00DA42F5">
        <w:rPr>
          <w:rFonts w:cs="Times New Roman"/>
          <w:szCs w:val="24"/>
        </w:rPr>
        <w:t xml:space="preserve"> as the reference. In addition, reads from all genomes were mapped to the </w:t>
      </w:r>
      <w:r w:rsidR="00606C72" w:rsidRPr="00DA42F5">
        <w:rPr>
          <w:rFonts w:cs="Times New Roman"/>
          <w:szCs w:val="24"/>
        </w:rPr>
        <w:lastRenderedPageBreak/>
        <w:t xml:space="preserve">annotated </w:t>
      </w:r>
      <w:proofErr w:type="spellStart"/>
      <w:r w:rsidR="00606C72" w:rsidRPr="00DA42F5">
        <w:rPr>
          <w:rFonts w:cs="Times New Roman"/>
          <w:szCs w:val="24"/>
        </w:rPr>
        <w:t>H005_98</w:t>
      </w:r>
      <w:proofErr w:type="spellEnd"/>
      <w:r w:rsidR="00606C72" w:rsidRPr="00DA42F5">
        <w:rPr>
          <w:rFonts w:cs="Times New Roman"/>
          <w:szCs w:val="24"/>
        </w:rPr>
        <w:t xml:space="preserve"> hybrid assembly with </w:t>
      </w:r>
      <w:proofErr w:type="spellStart"/>
      <w:r w:rsidR="00606C72" w:rsidRPr="00DA42F5">
        <w:rPr>
          <w:rFonts w:cs="Times New Roman"/>
          <w:szCs w:val="24"/>
        </w:rPr>
        <w:t>breseq</w:t>
      </w:r>
      <w:proofErr w:type="spellEnd"/>
      <w:r w:rsidR="00606C72" w:rsidRPr="00DA42F5">
        <w:rPr>
          <w:rFonts w:cs="Times New Roman"/>
          <w:szCs w:val="24"/>
        </w:rPr>
        <w:t xml:space="preserve"> </w:t>
      </w:r>
      <w:proofErr w:type="spellStart"/>
      <w:r w:rsidR="00606C72" w:rsidRPr="00DA42F5">
        <w:rPr>
          <w:rFonts w:cs="Times New Roman"/>
          <w:szCs w:val="24"/>
        </w:rPr>
        <w:t>v0.39.0</w:t>
      </w:r>
      <w:proofErr w:type="spellEnd"/>
      <w:r w:rsidR="00606C72" w:rsidRPr="00DA42F5">
        <w:rPr>
          <w:rFonts w:cs="Times New Roman"/>
          <w:szCs w:val="24"/>
        </w:rPr>
        <w:t xml:space="preserve"> to detect and annotate genetic differences </w:t>
      </w:r>
      <w:r w:rsidR="00E54622" w:rsidRPr="00DA42F5">
        <w:rPr>
          <w:rFonts w:cs="Times New Roman"/>
          <w:szCs w:val="24"/>
        </w:rPr>
        <w:fldChar w:fldCharType="begin"/>
      </w:r>
      <w:r w:rsidR="00494014">
        <w:rPr>
          <w:rFonts w:cs="Times New Roman"/>
          <w:szCs w:val="24"/>
        </w:rPr>
        <w:instrText xml:space="preserve"> ADDIN ZOTERO_ITEM CSL_CITATION {"citationID":"jZoWxV8q","properties":{"formattedCitation":"(Deatherage &amp; Barrick, 2014)","plainCitation":"(Deatherage &amp; Barrick, 2014)","noteIndex":0},"citationItems":[{"id":3405,"uris":["http://zotero.org/users/8873894/items/ARPADY5B"],"itemData":{"id":3405,"type":"article-journal","abstract":"Next-generation DNA sequencing (NGS) can be used to reconstruct eco-evolutionary population dynamics and to identify the genetic basis of adaptation in laboratory evolution experiments. Here, we describe how to run the open-source breseq computational pipeline to identify and annotate genetic differences found in whole-genome and whole-population NGS data from haploid microbes where a high-quality reference genome is available. These methods can also be used to analyze mutants isolated in genetic screens and to detect unintended mutations that may occur during strain construction and genome editing.","container-title":"Methods in molecular biology (Clifton, N.J.)","DOI":"10.1007/978-1-4939-0554-6_12","ISSN":"1064-3745","journalAbbreviation":"Methods Mol Biol","page":"165-188","PMID":"24838886","PMCID":"PMC4239701","source":"PubMed Central","title":"Identification of mutations in laboratory evolved microbes from next-generation sequencing data using breseq","volume":"1151","author":[{"family":"Deatherage","given":"Daniel E."},{"family":"Barrick","given":"Jeffrey E."}],"issued":{"date-parts":[["2014"]]}}}],"schema":"https://github.com/citation-style-language/schema/raw/master/csl-citation.json"} </w:instrText>
      </w:r>
      <w:r w:rsidR="00E54622" w:rsidRPr="00DA42F5">
        <w:rPr>
          <w:rFonts w:cs="Times New Roman"/>
          <w:szCs w:val="24"/>
        </w:rPr>
        <w:fldChar w:fldCharType="separate"/>
      </w:r>
      <w:r w:rsidR="00E54622" w:rsidRPr="00DA42F5">
        <w:rPr>
          <w:rFonts w:cs="Times New Roman"/>
        </w:rPr>
        <w:t>(Deatherage &amp; Barrick, 2014)</w:t>
      </w:r>
      <w:r w:rsidR="00E54622" w:rsidRPr="00DA42F5">
        <w:rPr>
          <w:rFonts w:cs="Times New Roman"/>
          <w:szCs w:val="24"/>
        </w:rPr>
        <w:fldChar w:fldCharType="end"/>
      </w:r>
      <w:r w:rsidR="00E54622" w:rsidRPr="00DA42F5">
        <w:rPr>
          <w:rFonts w:cs="Times New Roman"/>
          <w:szCs w:val="24"/>
        </w:rPr>
        <w:t xml:space="preserve">. </w:t>
      </w:r>
    </w:p>
    <w:p w14:paraId="003EE14E" w14:textId="77777777" w:rsidR="00D95346" w:rsidRPr="00DA42F5" w:rsidRDefault="00D95346" w:rsidP="00CD77AB">
      <w:pPr>
        <w:rPr>
          <w:rFonts w:cs="Times New Roman"/>
          <w:szCs w:val="24"/>
        </w:rPr>
      </w:pPr>
    </w:p>
    <w:p w14:paraId="506283BA" w14:textId="31A948B7" w:rsidR="00B10359" w:rsidRPr="00DA42F5" w:rsidRDefault="00B10359" w:rsidP="0028419B">
      <w:pPr>
        <w:pStyle w:val="Heading4"/>
        <w:numPr>
          <w:ilvl w:val="3"/>
          <w:numId w:val="26"/>
        </w:numPr>
      </w:pPr>
      <w:bookmarkStart w:id="182" w:name="_Toc216099743"/>
      <w:bookmarkStart w:id="183" w:name="_Toc220591394"/>
      <w:r w:rsidRPr="00DA42F5">
        <w:t xml:space="preserve">Analysis of </w:t>
      </w:r>
      <w:r w:rsidRPr="00DA42F5">
        <w:rPr>
          <w:i/>
        </w:rPr>
        <w:t>C. saudiense</w:t>
      </w:r>
      <w:r w:rsidRPr="00DA42F5">
        <w:t xml:space="preserve"> in shotgun metagenomic samples</w:t>
      </w:r>
      <w:bookmarkEnd w:id="182"/>
      <w:bookmarkEnd w:id="183"/>
    </w:p>
    <w:p w14:paraId="132FD325" w14:textId="38565E9A" w:rsidR="00503055" w:rsidRPr="00DA42F5" w:rsidRDefault="00F20C2F" w:rsidP="00BD2E54">
      <w:proofErr w:type="spellStart"/>
      <w:r w:rsidRPr="00DA42F5">
        <w:t>StrainPhlAn</w:t>
      </w:r>
      <w:proofErr w:type="spellEnd"/>
      <w:r w:rsidRPr="00DA42F5">
        <w:t xml:space="preserve"> </w:t>
      </w:r>
      <w:proofErr w:type="spellStart"/>
      <w:r w:rsidRPr="00DA42F5">
        <w:t>v4.1.1</w:t>
      </w:r>
      <w:proofErr w:type="spellEnd"/>
      <w:r w:rsidRPr="00DA42F5">
        <w:t xml:space="preserve"> </w:t>
      </w:r>
      <w:r w:rsidR="00606C72" w:rsidRPr="00DA42F5">
        <w:t>was used to i</w:t>
      </w:r>
      <w:r w:rsidR="004343B2" w:rsidRPr="00DA42F5">
        <w:t>dentif</w:t>
      </w:r>
      <w:r w:rsidR="00606C72" w:rsidRPr="00DA42F5">
        <w:t>y</w:t>
      </w:r>
      <w:r w:rsidRPr="00DA42F5">
        <w:t xml:space="preserve"> the </w:t>
      </w:r>
      <w:r w:rsidR="00606C72" w:rsidRPr="00DA42F5">
        <w:t>dominant</w:t>
      </w:r>
      <w:r w:rsidRPr="00DA42F5">
        <w:t xml:space="preserve"> </w:t>
      </w:r>
      <w:r w:rsidRPr="00DA42F5">
        <w:rPr>
          <w:i/>
          <w:iCs/>
        </w:rPr>
        <w:t>C. saudiense</w:t>
      </w:r>
      <w:r w:rsidR="00606C72" w:rsidRPr="00DA42F5">
        <w:t xml:space="preserve"> strain</w:t>
      </w:r>
      <w:r w:rsidRPr="00DA42F5">
        <w:rPr>
          <w:i/>
          <w:iCs/>
        </w:rPr>
        <w:t xml:space="preserve"> </w:t>
      </w:r>
      <w:r w:rsidRPr="00DA42F5">
        <w:t xml:space="preserve">in each metagenomic sample </w:t>
      </w:r>
      <w:r w:rsidR="004343B2" w:rsidRPr="00DA42F5">
        <w:t>from</w:t>
      </w:r>
      <w:r w:rsidRPr="00DA42F5">
        <w:t xml:space="preserve"> participant H and </w:t>
      </w:r>
      <w:r w:rsidR="00606C72" w:rsidRPr="00DA42F5">
        <w:t xml:space="preserve">to </w:t>
      </w:r>
      <w:r w:rsidRPr="00DA42F5">
        <w:t xml:space="preserve">construct a dendrogram based on average site substitutions </w:t>
      </w:r>
      <w:r w:rsidR="00606C72" w:rsidRPr="00DA42F5">
        <w:t xml:space="preserve">between samples </w:t>
      </w:r>
      <w:r w:rsidRPr="00DA42F5">
        <w:fldChar w:fldCharType="begin"/>
      </w:r>
      <w:r w:rsidR="00D9297E">
        <w:instrText xml:space="preserve"> ADDIN ZOTERO_ITEM CSL_CITATION {"citationID":"AQuhnWcG","properties":{"formattedCitation":"(Blanco-M\\uc0\\u237{}guez et al., 2023a)","plainCitation":"(Blanco-Míguez et al., 2023a)","noteIndex":0},"citationItems":[{"id":3283,"uris":["http://zotero.org/users/8873894/items/38JJ9IGH"],"itemData":{"id":3283,"type":"article-journal","abstract":"Metagenomic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Author(s)","page":"1633-1644","publisher":"Nature Publishing Group","source":"www.nature.com","title":"Extending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sidRPr="00DA42F5">
        <w:fldChar w:fldCharType="separate"/>
      </w:r>
      <w:r w:rsidR="00D9297E" w:rsidRPr="00D9297E">
        <w:rPr>
          <w:rFonts w:cs="Times New Roman"/>
        </w:rPr>
        <w:t>(Blanco-Míguez et al., 2023a)</w:t>
      </w:r>
      <w:r w:rsidRPr="00DA42F5">
        <w:fldChar w:fldCharType="end"/>
      </w:r>
      <w:r w:rsidRPr="00DA42F5">
        <w:t xml:space="preserve">. </w:t>
      </w:r>
      <w:r w:rsidR="004A470E" w:rsidRPr="00DA42F5">
        <w:t>This approach</w:t>
      </w:r>
      <w:r w:rsidR="00606C72" w:rsidRPr="00DA42F5">
        <w:t xml:space="preserve"> characterises</w:t>
      </w:r>
      <w:r w:rsidR="004A470E" w:rsidRPr="00DA42F5">
        <w:t xml:space="preserve"> only </w:t>
      </w:r>
      <w:r w:rsidR="00606C72" w:rsidRPr="00DA42F5">
        <w:t>variation in the</w:t>
      </w:r>
      <w:r w:rsidR="004A470E" w:rsidRPr="00DA42F5">
        <w:t xml:space="preserve"> most abundant strain </w:t>
      </w:r>
      <w:r w:rsidR="00606C72" w:rsidRPr="00DA42F5">
        <w:t>per</w:t>
      </w:r>
      <w:r w:rsidR="004A470E" w:rsidRPr="00DA42F5">
        <w:t xml:space="preserve"> sample. </w:t>
      </w:r>
      <w:proofErr w:type="spellStart"/>
      <w:r w:rsidR="00503055" w:rsidRPr="00DA42F5">
        <w:t>StrainPhlAn</w:t>
      </w:r>
      <w:proofErr w:type="spellEnd"/>
      <w:r w:rsidR="00503055" w:rsidRPr="00DA42F5">
        <w:t xml:space="preserve">, an extension of </w:t>
      </w:r>
      <w:proofErr w:type="spellStart"/>
      <w:r w:rsidR="00503055" w:rsidRPr="00DA42F5">
        <w:t>MetaPhlAn</w:t>
      </w:r>
      <w:proofErr w:type="spellEnd"/>
      <w:r w:rsidR="00503055" w:rsidRPr="00DA42F5">
        <w:t xml:space="preserve">, reconstructs the dominant strain of a target species in given samples. It aligns all reads to species-specific marker genes and generates a multiple sequence alignment, which is then used by </w:t>
      </w:r>
      <w:proofErr w:type="spellStart"/>
      <w:r w:rsidR="00503055" w:rsidRPr="00DA42F5">
        <w:t>PhyloPhlAn</w:t>
      </w:r>
      <w:proofErr w:type="spellEnd"/>
      <w:r w:rsidR="00503055" w:rsidRPr="00DA42F5">
        <w:t xml:space="preserve"> to build a phylogenetic tree.</w:t>
      </w:r>
    </w:p>
    <w:p w14:paraId="3DD42118" w14:textId="42F14411" w:rsidR="00CF5058" w:rsidRPr="00DA42F5" w:rsidRDefault="00606C72" w:rsidP="00BD2E54">
      <w:r w:rsidRPr="00DA42F5">
        <w:t xml:space="preserve">To integrate isolate and metagenomic data, strain-specific genes were defined for each strain </w:t>
      </w:r>
      <w:r w:rsidR="006B77C8" w:rsidRPr="00DA42F5">
        <w:t>that was determined</w:t>
      </w:r>
      <w:r w:rsidRPr="00DA42F5">
        <w:t xml:space="preserve"> by pairwise ANI, core SNPs</w:t>
      </w:r>
      <w:r w:rsidR="006B77C8" w:rsidRPr="00DA42F5">
        <w:t>,</w:t>
      </w:r>
      <w:r w:rsidRPr="00DA42F5">
        <w:t xml:space="preserve"> and accessory-gene content. Shotgun</w:t>
      </w:r>
      <w:r w:rsidR="004A470E" w:rsidRPr="00DA42F5">
        <w:t xml:space="preserve"> metagenomic reads from all stool samples of participant</w:t>
      </w:r>
      <w:r w:rsidR="004343B2" w:rsidRPr="00DA42F5">
        <w:t>s</w:t>
      </w:r>
      <w:r w:rsidR="004A470E" w:rsidRPr="00DA42F5">
        <w:t xml:space="preserve"> H and A </w:t>
      </w:r>
      <w:r w:rsidRPr="00DA42F5">
        <w:t>were mapped to these strain-specific genes with</w:t>
      </w:r>
      <w:r w:rsidR="00F20C2F" w:rsidRPr="00DA42F5">
        <w:t xml:space="preserve"> </w:t>
      </w:r>
      <w:proofErr w:type="spellStart"/>
      <w:r w:rsidR="00F20C2F" w:rsidRPr="00DA42F5">
        <w:t>bowtie2</w:t>
      </w:r>
      <w:proofErr w:type="spellEnd"/>
      <w:r w:rsidR="00150795" w:rsidRPr="00DA42F5">
        <w:t xml:space="preserve"> </w:t>
      </w:r>
      <w:r w:rsidRPr="00DA42F5">
        <w:t>using</w:t>
      </w:r>
      <w:r w:rsidR="00BD2E54" w:rsidRPr="00DA42F5">
        <w:t xml:space="preserve"> the </w:t>
      </w:r>
      <w:r w:rsidR="004343B2" w:rsidRPr="00DA42F5">
        <w:t>--very-sensitive</w:t>
      </w:r>
      <w:r w:rsidR="00F20C2F" w:rsidRPr="00DA42F5">
        <w:t xml:space="preserve"> </w:t>
      </w:r>
      <w:r w:rsidR="004343B2" w:rsidRPr="00DA42F5">
        <w:t xml:space="preserve">flag </w:t>
      </w:r>
      <w:r w:rsidR="00F20C2F" w:rsidRPr="00DA42F5">
        <w:fldChar w:fldCharType="begin"/>
      </w:r>
      <w:r w:rsidR="00494014">
        <w:instrText xml:space="preserve"> ADDIN ZOTERO_ITEM CSL_CITATION {"citationID":"4rTOr7DE","properties":{"formattedCitation":"(Langmead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00F20C2F" w:rsidRPr="00DA42F5">
        <w:fldChar w:fldCharType="separate"/>
      </w:r>
      <w:r w:rsidR="00F20C2F" w:rsidRPr="00DA42F5">
        <w:t>(Langmead &amp; Salzberg, 2012)</w:t>
      </w:r>
      <w:r w:rsidR="00F20C2F" w:rsidRPr="00DA42F5">
        <w:fldChar w:fldCharType="end"/>
      </w:r>
      <w:r w:rsidR="00F20C2F" w:rsidRPr="00DA42F5">
        <w:t xml:space="preserve">. Participant A </w:t>
      </w:r>
      <w:r w:rsidR="004A470E" w:rsidRPr="00DA42F5">
        <w:t>served as</w:t>
      </w:r>
      <w:r w:rsidR="00F20C2F" w:rsidRPr="00DA42F5">
        <w:t xml:space="preserve"> a negative control for this approach, as </w:t>
      </w:r>
      <w:r w:rsidR="00F20C2F" w:rsidRPr="00DA42F5">
        <w:rPr>
          <w:i/>
          <w:iCs/>
        </w:rPr>
        <w:t>C. saudiense</w:t>
      </w:r>
      <w:r w:rsidR="00F20C2F" w:rsidRPr="00DA42F5">
        <w:t xml:space="preserve"> was detected </w:t>
      </w:r>
      <w:r w:rsidR="004343B2" w:rsidRPr="00DA42F5">
        <w:t>at</w:t>
      </w:r>
      <w:r w:rsidR="00F20C2F" w:rsidRPr="00DA42F5">
        <w:t xml:space="preserve"> very low abundance in only one of his 1</w:t>
      </w:r>
      <w:r w:rsidR="004A470E" w:rsidRPr="00DA42F5">
        <w:t>2</w:t>
      </w:r>
      <w:r w:rsidR="00F20C2F" w:rsidRPr="00DA42F5">
        <w:t xml:space="preserve"> samples</w:t>
      </w:r>
      <w:r w:rsidR="00571F06" w:rsidRPr="00DA42F5">
        <w:t xml:space="preserve">. </w:t>
      </w:r>
      <w:r w:rsidR="004343B2" w:rsidRPr="00DA42F5">
        <w:t xml:space="preserve">We </w:t>
      </w:r>
      <w:r w:rsidR="00BD2E54" w:rsidRPr="00DA42F5">
        <w:t>normalised</w:t>
      </w:r>
      <w:r w:rsidR="004343B2" w:rsidRPr="00DA42F5">
        <w:t xml:space="preserve"> the number of reads mapped to each </w:t>
      </w:r>
      <w:proofErr w:type="gramStart"/>
      <w:r w:rsidR="004343B2" w:rsidRPr="00DA42F5">
        <w:t>gene by gene</w:t>
      </w:r>
      <w:proofErr w:type="gramEnd"/>
      <w:r w:rsidR="004343B2" w:rsidRPr="00DA42F5">
        <w:t xml:space="preserve"> length and, for each strain</w:t>
      </w:r>
      <w:r w:rsidR="00BD2E54" w:rsidRPr="00DA42F5">
        <w:t>,</w:t>
      </w:r>
      <w:r w:rsidR="004343B2" w:rsidRPr="00DA42F5">
        <w:t xml:space="preserve"> by the number of genes</w:t>
      </w:r>
      <w:r w:rsidR="006B77C8" w:rsidRPr="00DA42F5">
        <w:t xml:space="preserve"> </w:t>
      </w:r>
      <w:r w:rsidR="00571F06" w:rsidRPr="00DA42F5">
        <w:t>detected</w:t>
      </w:r>
      <w:r w:rsidR="004343B2" w:rsidRPr="00DA42F5">
        <w:t xml:space="preserve"> for </w:t>
      </w:r>
      <w:r w:rsidR="00BD2E54" w:rsidRPr="00DA42F5">
        <w:t>that</w:t>
      </w:r>
      <w:r w:rsidR="004343B2" w:rsidRPr="00DA42F5">
        <w:t xml:space="preserve"> strain. </w:t>
      </w:r>
      <w:r w:rsidR="00CF5058" w:rsidRPr="00DA42F5">
        <w:br w:type="page"/>
      </w:r>
    </w:p>
    <w:p w14:paraId="5A7903ED" w14:textId="3ABC9756" w:rsidR="009B3EB0" w:rsidRPr="00DA42F5" w:rsidRDefault="009B3EB0" w:rsidP="00221812">
      <w:pPr>
        <w:pStyle w:val="Heading1"/>
        <w:numPr>
          <w:ilvl w:val="0"/>
          <w:numId w:val="26"/>
        </w:numPr>
      </w:pPr>
      <w:bookmarkStart w:id="184" w:name="_Toc212712211"/>
      <w:bookmarkStart w:id="185" w:name="_Toc216099744"/>
      <w:bookmarkStart w:id="186" w:name="_Toc220591395"/>
      <w:r w:rsidRPr="00DA42F5">
        <w:lastRenderedPageBreak/>
        <w:t>RESULTS</w:t>
      </w:r>
      <w:bookmarkEnd w:id="184"/>
      <w:bookmarkEnd w:id="185"/>
      <w:bookmarkEnd w:id="186"/>
    </w:p>
    <w:p w14:paraId="5DC70B3A" w14:textId="77777777" w:rsidR="00A0613C" w:rsidRPr="00DA42F5" w:rsidRDefault="00A0613C" w:rsidP="00A0613C"/>
    <w:p w14:paraId="3259460E" w14:textId="7250699A" w:rsidR="00CD77AB" w:rsidRPr="00DA42F5" w:rsidRDefault="00EE3CC9" w:rsidP="00221812">
      <w:pPr>
        <w:pStyle w:val="Heading2"/>
        <w:numPr>
          <w:ilvl w:val="1"/>
          <w:numId w:val="26"/>
        </w:numPr>
      </w:pPr>
      <w:bookmarkStart w:id="187" w:name="_Toc212712213"/>
      <w:bookmarkStart w:id="188" w:name="_Toc216099745"/>
      <w:bookmarkStart w:id="189" w:name="_Toc220591396"/>
      <w:commentRangeStart w:id="190"/>
      <w:commentRangeStart w:id="191"/>
      <w:r w:rsidRPr="00DA42F5">
        <w:t>COMPARISON OF ISOLATION PROTOCOLS FOR BACTERIAL DNA FROM HUMAN STOOL SAMPLES</w:t>
      </w:r>
      <w:bookmarkEnd w:id="187"/>
      <w:bookmarkEnd w:id="188"/>
      <w:r w:rsidR="003D12EB" w:rsidRPr="00DA42F5">
        <w:t xml:space="preserve"> </w:t>
      </w:r>
      <w:commentRangeEnd w:id="190"/>
      <w:r w:rsidR="003031E8" w:rsidRPr="00DA42F5">
        <w:rPr>
          <w:rStyle w:val="CommentReference"/>
          <w:rFonts w:eastAsiaTheme="minorHAnsi" w:cstheme="minorBidi"/>
          <w:bCs w:val="0"/>
          <w:color w:val="auto"/>
        </w:rPr>
        <w:commentReference w:id="190"/>
      </w:r>
      <w:commentRangeEnd w:id="191"/>
      <w:r w:rsidR="00494014">
        <w:rPr>
          <w:rStyle w:val="CommentReference"/>
          <w:rFonts w:eastAsiaTheme="minorHAnsi" w:cstheme="minorBidi"/>
          <w:bCs w:val="0"/>
          <w:color w:val="auto"/>
        </w:rPr>
        <w:commentReference w:id="191"/>
      </w:r>
      <w:bookmarkEnd w:id="189"/>
    </w:p>
    <w:p w14:paraId="3258E888" w14:textId="59F67DDF" w:rsidR="002E26D9" w:rsidRPr="00DA42F5" w:rsidRDefault="002E26D9" w:rsidP="002E26D9">
      <w:pPr>
        <w:rPr>
          <w:rFonts w:cs="Times New Roman"/>
          <w:szCs w:val="24"/>
        </w:rPr>
      </w:pPr>
      <w:r w:rsidRPr="00DA42F5">
        <w:rPr>
          <w:rFonts w:cs="Times New Roman"/>
          <w:szCs w:val="24"/>
        </w:rPr>
        <w:t xml:space="preserve">Four DNA isolation protocols were compared </w:t>
      </w:r>
      <w:r w:rsidR="00643FE9" w:rsidRPr="00DA42F5">
        <w:rPr>
          <w:rFonts w:cs="Times New Roman"/>
          <w:szCs w:val="24"/>
        </w:rPr>
        <w:t>using</w:t>
      </w:r>
      <w:r w:rsidRPr="00DA42F5">
        <w:rPr>
          <w:rFonts w:cs="Times New Roman"/>
          <w:szCs w:val="24"/>
        </w:rPr>
        <w:t xml:space="preserve"> three stool samples and a negative control</w:t>
      </w:r>
      <w:r w:rsidR="001E2632" w:rsidRPr="00DA42F5">
        <w:rPr>
          <w:rFonts w:cs="Times New Roman"/>
          <w:szCs w:val="24"/>
        </w:rPr>
        <w:t xml:space="preserve">, each processed </w:t>
      </w:r>
      <w:r w:rsidRPr="00DA42F5">
        <w:rPr>
          <w:rFonts w:cs="Times New Roman"/>
          <w:szCs w:val="24"/>
        </w:rPr>
        <w:t xml:space="preserve">in triplicate. Amplicon sequencing of the </w:t>
      </w:r>
      <w:proofErr w:type="spellStart"/>
      <w:r w:rsidRPr="00DA42F5">
        <w:rPr>
          <w:rFonts w:cs="Times New Roman"/>
          <w:szCs w:val="24"/>
        </w:rPr>
        <w:t>V3-V4</w:t>
      </w:r>
      <w:proofErr w:type="spellEnd"/>
      <w:r w:rsidRPr="00DA42F5">
        <w:rPr>
          <w:rFonts w:cs="Times New Roman"/>
          <w:szCs w:val="24"/>
        </w:rPr>
        <w:t xml:space="preserve"> region of the </w:t>
      </w:r>
      <w:proofErr w:type="spellStart"/>
      <w:r w:rsidRPr="00DA42F5">
        <w:rPr>
          <w:rFonts w:cs="Times New Roman"/>
          <w:szCs w:val="24"/>
        </w:rPr>
        <w:t>16S</w:t>
      </w:r>
      <w:proofErr w:type="spellEnd"/>
      <w:r w:rsidRPr="00DA42F5">
        <w:rPr>
          <w:rFonts w:cs="Times New Roman"/>
          <w:szCs w:val="24"/>
        </w:rPr>
        <w:t xml:space="preserve"> rRNA gene was performed to </w:t>
      </w:r>
      <w:r w:rsidR="00643FE9" w:rsidRPr="00DA42F5">
        <w:rPr>
          <w:rFonts w:cs="Times New Roman"/>
          <w:szCs w:val="24"/>
        </w:rPr>
        <w:t>assess</w:t>
      </w:r>
      <w:r w:rsidRPr="00DA42F5">
        <w:rPr>
          <w:rFonts w:cs="Times New Roman"/>
          <w:szCs w:val="24"/>
        </w:rPr>
        <w:t xml:space="preserve"> the efficiency of each protocol</w:t>
      </w:r>
      <w:r w:rsidR="00EC5F83" w:rsidRPr="00DA42F5">
        <w:rPr>
          <w:rFonts w:cs="Times New Roman"/>
          <w:szCs w:val="24"/>
        </w:rPr>
        <w:t xml:space="preserve"> (</w:t>
      </w:r>
      <w:commentRangeStart w:id="192"/>
      <w:commentRangeStart w:id="193"/>
      <w:r w:rsidR="00EC5F83" w:rsidRPr="00DA42F5">
        <w:rPr>
          <w:rFonts w:cs="Times New Roman"/>
          <w:szCs w:val="24"/>
        </w:rPr>
        <w:t xml:space="preserve">Supplement Table </w:t>
      </w:r>
      <w:commentRangeEnd w:id="192"/>
      <w:r w:rsidR="0024495C" w:rsidRPr="00DA42F5">
        <w:rPr>
          <w:rStyle w:val="CommentReference"/>
        </w:rPr>
        <w:commentReference w:id="192"/>
      </w:r>
      <w:commentRangeEnd w:id="193"/>
      <w:r w:rsidR="0024495C" w:rsidRPr="00DA42F5">
        <w:rPr>
          <w:rStyle w:val="CommentReference"/>
        </w:rPr>
        <w:commentReference w:id="193"/>
      </w:r>
      <w:r w:rsidR="00494014">
        <w:rPr>
          <w:rFonts w:cs="Times New Roman"/>
          <w:szCs w:val="24"/>
        </w:rPr>
        <w:t>3</w:t>
      </w:r>
      <w:r w:rsidR="00EC5F83" w:rsidRPr="00DA42F5">
        <w:rPr>
          <w:rFonts w:cs="Times New Roman"/>
          <w:szCs w:val="24"/>
        </w:rPr>
        <w:t>)</w:t>
      </w:r>
      <w:r w:rsidRPr="00DA42F5">
        <w:rPr>
          <w:rFonts w:cs="Times New Roman"/>
          <w:szCs w:val="24"/>
        </w:rPr>
        <w:t xml:space="preserve">. </w:t>
      </w:r>
      <w:r w:rsidR="001E2632" w:rsidRPr="00DA42F5">
        <w:rPr>
          <w:rFonts w:cs="Times New Roman"/>
          <w:szCs w:val="24"/>
        </w:rPr>
        <w:t>Selection of the best protocol was based on t</w:t>
      </w:r>
      <w:r w:rsidRPr="00DA42F5">
        <w:rPr>
          <w:rFonts w:cs="Times New Roman"/>
          <w:szCs w:val="24"/>
        </w:rPr>
        <w:t>wo</w:t>
      </w:r>
      <w:r w:rsidR="00643FE9" w:rsidRPr="00DA42F5">
        <w:rPr>
          <w:rFonts w:cs="Times New Roman"/>
          <w:szCs w:val="24"/>
        </w:rPr>
        <w:t xml:space="preserve"> criteria</w:t>
      </w:r>
      <w:r w:rsidRPr="00DA42F5">
        <w:rPr>
          <w:rFonts w:cs="Times New Roman"/>
          <w:szCs w:val="24"/>
        </w:rPr>
        <w:t xml:space="preserve">: the highest DNA yield and the ability to </w:t>
      </w:r>
      <w:r w:rsidR="001E2632" w:rsidRPr="00DA42F5">
        <w:rPr>
          <w:rFonts w:cs="Times New Roman"/>
          <w:szCs w:val="24"/>
        </w:rPr>
        <w:t>recover</w:t>
      </w:r>
      <w:r w:rsidRPr="00DA42F5">
        <w:rPr>
          <w:rFonts w:cs="Times New Roman"/>
          <w:szCs w:val="24"/>
        </w:rPr>
        <w:t xml:space="preserve"> all bacterial phyla known to reside in the human gut </w:t>
      </w:r>
      <w:r w:rsidRPr="00DA42F5">
        <w:rPr>
          <w:rFonts w:cs="Times New Roman"/>
          <w:szCs w:val="24"/>
        </w:rPr>
        <w:fldChar w:fldCharType="begin"/>
      </w:r>
      <w:r w:rsidR="00494014">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DA42F5">
        <w:rPr>
          <w:rFonts w:cs="Times New Roman"/>
          <w:szCs w:val="24"/>
        </w:rPr>
        <w:fldChar w:fldCharType="separate"/>
      </w:r>
      <w:r w:rsidRPr="00DA42F5">
        <w:rPr>
          <w:rFonts w:cs="Times New Roman"/>
          <w:szCs w:val="24"/>
        </w:rPr>
        <w:t>(Martino et al., 2022)</w:t>
      </w:r>
      <w:r w:rsidRPr="00DA42F5">
        <w:rPr>
          <w:rFonts w:cs="Times New Roman"/>
          <w:szCs w:val="24"/>
        </w:rPr>
        <w:fldChar w:fldCharType="end"/>
      </w:r>
      <w:r w:rsidRPr="00DA42F5">
        <w:rPr>
          <w:rFonts w:cs="Times New Roman"/>
          <w:szCs w:val="24"/>
        </w:rPr>
        <w:t xml:space="preserve">. </w:t>
      </w:r>
    </w:p>
    <w:p w14:paraId="5064ABE2" w14:textId="395B3091" w:rsidR="00CD77AB" w:rsidRPr="00DA42F5" w:rsidRDefault="002E26D9" w:rsidP="00CD77AB">
      <w:pPr>
        <w:rPr>
          <w:rFonts w:cs="Times New Roman"/>
          <w:szCs w:val="24"/>
        </w:rPr>
      </w:pPr>
      <w:r w:rsidRPr="00DA42F5">
        <w:rPr>
          <w:rFonts w:cs="Times New Roman"/>
          <w:szCs w:val="24"/>
        </w:rPr>
        <w:t xml:space="preserve">All four DNA isolation kits produced DNA concentrations sufficient for downstream molecular applications, with </w:t>
      </w:r>
      <w:r w:rsidR="001E2632" w:rsidRPr="00DA42F5">
        <w:rPr>
          <w:rFonts w:cs="Times New Roman"/>
          <w:szCs w:val="24"/>
        </w:rPr>
        <w:t xml:space="preserve">the </w:t>
      </w:r>
      <w:proofErr w:type="spellStart"/>
      <w:r w:rsidRPr="00DA42F5">
        <w:rPr>
          <w:rFonts w:cs="Times New Roman"/>
          <w:szCs w:val="24"/>
        </w:rPr>
        <w:t>PowerFecal</w:t>
      </w:r>
      <w:proofErr w:type="spellEnd"/>
      <w:r w:rsidR="00643FE9" w:rsidRPr="00DA42F5">
        <w:rPr>
          <w:rFonts w:cs="Times New Roman"/>
          <w:szCs w:val="24"/>
        </w:rPr>
        <w:t xml:space="preserve"> kit</w:t>
      </w:r>
      <w:r w:rsidRPr="00DA42F5">
        <w:rPr>
          <w:rFonts w:cs="Times New Roman"/>
          <w:szCs w:val="24"/>
        </w:rPr>
        <w:t xml:space="preserve"> yielding approximately ten times higher </w:t>
      </w:r>
      <w:r w:rsidR="001E2632" w:rsidRPr="00DA42F5">
        <w:rPr>
          <w:rFonts w:cs="Times New Roman"/>
          <w:szCs w:val="24"/>
        </w:rPr>
        <w:t xml:space="preserve">DNA </w:t>
      </w:r>
      <w:r w:rsidRPr="00DA42F5">
        <w:rPr>
          <w:rFonts w:cs="Times New Roman"/>
          <w:szCs w:val="24"/>
        </w:rPr>
        <w:t>concentrations than the other protocols (paired t-test, p &lt; 0.001</w:t>
      </w:r>
      <w:r w:rsidR="001E2632" w:rsidRPr="00DA42F5">
        <w:rPr>
          <w:rFonts w:cs="Times New Roman"/>
          <w:szCs w:val="24"/>
        </w:rPr>
        <w:t>;</w:t>
      </w:r>
      <w:r w:rsidRPr="00DA42F5">
        <w:rPr>
          <w:rFonts w:cs="Times New Roman"/>
          <w:szCs w:val="24"/>
        </w:rPr>
        <w:t xml:space="preserve"> Figure </w:t>
      </w:r>
      <w:proofErr w:type="spellStart"/>
      <w:r w:rsidRPr="00DA42F5">
        <w:rPr>
          <w:rFonts w:cs="Times New Roman"/>
          <w:szCs w:val="24"/>
        </w:rPr>
        <w:t>3A</w:t>
      </w:r>
      <w:proofErr w:type="spellEnd"/>
      <w:r w:rsidRPr="00DA42F5">
        <w:rPr>
          <w:rFonts w:cs="Times New Roman"/>
          <w:szCs w:val="24"/>
        </w:rPr>
        <w:t xml:space="preserve">). The DNA concentration of negative controls was approximately 1 ng/µl, </w:t>
      </w:r>
      <w:r w:rsidR="001E2632" w:rsidRPr="00DA42F5">
        <w:rPr>
          <w:rFonts w:cs="Times New Roman"/>
          <w:szCs w:val="24"/>
        </w:rPr>
        <w:t>with</w:t>
      </w:r>
      <w:r w:rsidRPr="00DA42F5">
        <w:rPr>
          <w:rFonts w:cs="Times New Roman"/>
          <w:szCs w:val="24"/>
        </w:rPr>
        <w:t xml:space="preserve"> OTUs </w:t>
      </w:r>
      <w:r w:rsidR="001E2632" w:rsidRPr="00DA42F5">
        <w:rPr>
          <w:rFonts w:cs="Times New Roman"/>
          <w:szCs w:val="24"/>
        </w:rPr>
        <w:t>averaging between</w:t>
      </w:r>
      <w:r w:rsidRPr="00DA42F5">
        <w:rPr>
          <w:rFonts w:cs="Times New Roman"/>
          <w:szCs w:val="24"/>
        </w:rPr>
        <w:t xml:space="preserve"> 2 </w:t>
      </w:r>
      <w:r w:rsidR="001E2632" w:rsidRPr="00DA42F5">
        <w:rPr>
          <w:rFonts w:cs="Times New Roman"/>
          <w:szCs w:val="24"/>
        </w:rPr>
        <w:t>and</w:t>
      </w:r>
      <w:r w:rsidRPr="00DA42F5">
        <w:rPr>
          <w:rFonts w:cs="Times New Roman"/>
          <w:szCs w:val="24"/>
        </w:rPr>
        <w:t xml:space="preserve"> 5 reads </w:t>
      </w:r>
      <w:r w:rsidR="00494014">
        <w:rPr>
          <w:rFonts w:cs="Times New Roman"/>
          <w:szCs w:val="24"/>
        </w:rPr>
        <w:t>per control</w:t>
      </w:r>
      <w:r w:rsidRPr="00DA42F5">
        <w:rPr>
          <w:rFonts w:cs="Times New Roman"/>
          <w:szCs w:val="24"/>
        </w:rPr>
        <w:t>.</w:t>
      </w:r>
      <w:r w:rsidR="001E2632" w:rsidRPr="00DA42F5">
        <w:rPr>
          <w:rFonts w:cs="Times New Roman"/>
          <w:szCs w:val="24"/>
        </w:rPr>
        <w:t xml:space="preserve"> Microbial community composition was significantly influenced by the DNA isolation protocol, </w:t>
      </w:r>
      <w:r w:rsidR="00571F06" w:rsidRPr="00DA42F5">
        <w:rPr>
          <w:rFonts w:cs="Times New Roman"/>
          <w:szCs w:val="24"/>
        </w:rPr>
        <w:t>explaining 19% of variation (</w:t>
      </w:r>
      <w:proofErr w:type="spellStart"/>
      <w:r w:rsidR="001E2632" w:rsidRPr="00DA42F5">
        <w:rPr>
          <w:rFonts w:cs="Times New Roman"/>
          <w:szCs w:val="24"/>
        </w:rPr>
        <w:t>PERMANOVA</w:t>
      </w:r>
      <w:proofErr w:type="spellEnd"/>
      <w:r w:rsidR="00571F06" w:rsidRPr="00DA42F5">
        <w:rPr>
          <w:rFonts w:cs="Times New Roman"/>
          <w:szCs w:val="24"/>
        </w:rPr>
        <w:t xml:space="preserve">, </w:t>
      </w:r>
      <w:r w:rsidR="001E2632" w:rsidRPr="00DA42F5">
        <w:rPr>
          <w:rFonts w:cs="Times New Roman"/>
          <w:szCs w:val="24"/>
        </w:rPr>
        <w:t>p = 0.005</w:t>
      </w:r>
      <w:r w:rsidR="00571F06" w:rsidRPr="00DA42F5">
        <w:rPr>
          <w:rFonts w:cs="Times New Roman"/>
          <w:szCs w:val="24"/>
        </w:rPr>
        <w:t xml:space="preserve">; </w:t>
      </w:r>
      <w:r w:rsidR="001E2632" w:rsidRPr="00DA42F5">
        <w:rPr>
          <w:rFonts w:cs="Times New Roman"/>
          <w:szCs w:val="24"/>
        </w:rPr>
        <w:t xml:space="preserve">Figure </w:t>
      </w:r>
      <w:proofErr w:type="spellStart"/>
      <w:r w:rsidR="001E2632" w:rsidRPr="00DA42F5">
        <w:rPr>
          <w:rFonts w:cs="Times New Roman"/>
          <w:szCs w:val="24"/>
        </w:rPr>
        <w:t>3B</w:t>
      </w:r>
      <w:proofErr w:type="spellEnd"/>
      <w:r w:rsidR="001E2632" w:rsidRPr="00DA42F5">
        <w:rPr>
          <w:rFonts w:cs="Times New Roman"/>
          <w:szCs w:val="24"/>
        </w:rPr>
        <w:t xml:space="preserve">). </w:t>
      </w:r>
      <w:r w:rsidR="00EC5F83" w:rsidRPr="00DA42F5">
        <w:rPr>
          <w:rFonts w:cs="Times New Roman"/>
          <w:szCs w:val="24"/>
        </w:rPr>
        <w:t xml:space="preserve">The </w:t>
      </w:r>
      <w:proofErr w:type="spellStart"/>
      <w:r w:rsidR="00EC5F83" w:rsidRPr="00DA42F5">
        <w:rPr>
          <w:rFonts w:cs="Times New Roman"/>
          <w:szCs w:val="24"/>
        </w:rPr>
        <w:t>DNeasy</w:t>
      </w:r>
      <w:proofErr w:type="spellEnd"/>
      <w:r w:rsidR="00EC5F83" w:rsidRPr="00DA42F5">
        <w:rPr>
          <w:rFonts w:cs="Times New Roman"/>
          <w:szCs w:val="24"/>
        </w:rPr>
        <w:t xml:space="preserve"> protocol </w:t>
      </w:r>
      <w:r w:rsidR="001E2632" w:rsidRPr="00DA42F5">
        <w:rPr>
          <w:rFonts w:cs="Times New Roman"/>
          <w:szCs w:val="24"/>
        </w:rPr>
        <w:t>yielded</w:t>
      </w:r>
      <w:r w:rsidR="00EC5F83" w:rsidRPr="00DA42F5">
        <w:rPr>
          <w:rFonts w:cs="Times New Roman"/>
          <w:szCs w:val="24"/>
        </w:rPr>
        <w:t xml:space="preserve"> significantly lower alpha diversity</w:t>
      </w:r>
      <w:r w:rsidR="001E2632" w:rsidRPr="00DA42F5">
        <w:rPr>
          <w:rFonts w:cs="Times New Roman"/>
          <w:szCs w:val="24"/>
        </w:rPr>
        <w:t xml:space="preserve"> compared to the other three </w:t>
      </w:r>
      <w:r w:rsidR="00571F06" w:rsidRPr="00DA42F5">
        <w:rPr>
          <w:rFonts w:cs="Times New Roman"/>
          <w:szCs w:val="24"/>
        </w:rPr>
        <w:t>protocols</w:t>
      </w:r>
      <w:r w:rsidR="00EC5F83" w:rsidRPr="00DA42F5">
        <w:rPr>
          <w:rFonts w:cs="Times New Roman"/>
          <w:szCs w:val="24"/>
        </w:rPr>
        <w:t xml:space="preserve"> (</w:t>
      </w:r>
      <w:r w:rsidR="00571F06" w:rsidRPr="00DA42F5">
        <w:rPr>
          <w:rFonts w:cs="Times New Roman"/>
          <w:szCs w:val="24"/>
        </w:rPr>
        <w:t xml:space="preserve">paired </w:t>
      </w:r>
      <w:r w:rsidR="00EC5F83" w:rsidRPr="00DA42F5">
        <w:rPr>
          <w:rFonts w:cs="Times New Roman"/>
          <w:szCs w:val="24"/>
        </w:rPr>
        <w:t>t-test, p &lt; 0.005</w:t>
      </w:r>
      <w:r w:rsidR="00571F06" w:rsidRPr="00DA42F5">
        <w:rPr>
          <w:rFonts w:cs="Times New Roman"/>
          <w:szCs w:val="24"/>
        </w:rPr>
        <w:t>;</w:t>
      </w:r>
      <w:r w:rsidR="00EC5F83" w:rsidRPr="00DA42F5">
        <w:rPr>
          <w:rFonts w:cs="Times New Roman"/>
          <w:szCs w:val="24"/>
        </w:rPr>
        <w:t xml:space="preserve"> Figure </w:t>
      </w:r>
      <w:proofErr w:type="spellStart"/>
      <w:r w:rsidR="00EC5F83" w:rsidRPr="00DA42F5">
        <w:rPr>
          <w:rFonts w:cs="Times New Roman"/>
          <w:szCs w:val="24"/>
        </w:rPr>
        <w:t>3</w:t>
      </w:r>
      <w:r w:rsidR="001E2632" w:rsidRPr="00DA42F5">
        <w:rPr>
          <w:rFonts w:cs="Times New Roman"/>
          <w:szCs w:val="24"/>
        </w:rPr>
        <w:t>C</w:t>
      </w:r>
      <w:proofErr w:type="spellEnd"/>
      <w:r w:rsidR="00EC5F83" w:rsidRPr="00DA42F5">
        <w:rPr>
          <w:rFonts w:cs="Times New Roman"/>
          <w:szCs w:val="24"/>
        </w:rPr>
        <w:t>)</w:t>
      </w:r>
      <w:r w:rsidR="001E2632" w:rsidRPr="00DA42F5">
        <w:rPr>
          <w:rFonts w:cs="Times New Roman"/>
          <w:szCs w:val="24"/>
        </w:rPr>
        <w:t xml:space="preserve">, largely due to its reduced efficiency in isolating bacteria from phylum </w:t>
      </w:r>
      <w:r w:rsidR="001E2632" w:rsidRPr="00DA42F5">
        <w:rPr>
          <w:rFonts w:cs="Times New Roman"/>
          <w:i/>
          <w:iCs/>
          <w:szCs w:val="24"/>
        </w:rPr>
        <w:t>Bacteroides</w:t>
      </w:r>
      <w:r w:rsidR="00EC5F83" w:rsidRPr="00DA42F5">
        <w:rPr>
          <w:rFonts w:cs="Times New Roman"/>
          <w:szCs w:val="24"/>
        </w:rPr>
        <w:t xml:space="preserve"> </w:t>
      </w:r>
      <w:r w:rsidR="0062246A" w:rsidRPr="00DA42F5">
        <w:rPr>
          <w:rFonts w:cs="Times New Roman"/>
          <w:szCs w:val="24"/>
        </w:rPr>
        <w:t xml:space="preserve">(Figure 3D). </w:t>
      </w:r>
      <w:r w:rsidR="00643FE9" w:rsidRPr="00DA42F5">
        <w:rPr>
          <w:rFonts w:cs="Times New Roman"/>
          <w:szCs w:val="24"/>
        </w:rPr>
        <w:t>The r</w:t>
      </w:r>
      <w:r w:rsidR="0062246A" w:rsidRPr="00DA42F5">
        <w:rPr>
          <w:rFonts w:cs="Times New Roman"/>
          <w:szCs w:val="24"/>
        </w:rPr>
        <w:t xml:space="preserve">emaining three isolation protocols all </w:t>
      </w:r>
      <w:r w:rsidR="00643FE9" w:rsidRPr="00DA42F5">
        <w:rPr>
          <w:rFonts w:cs="Times New Roman"/>
          <w:szCs w:val="24"/>
        </w:rPr>
        <w:t>produced</w:t>
      </w:r>
      <w:r w:rsidR="0062246A" w:rsidRPr="00DA42F5">
        <w:rPr>
          <w:rFonts w:cs="Times New Roman"/>
          <w:szCs w:val="24"/>
        </w:rPr>
        <w:t xml:space="preserve"> distinct communities, which however did not significantly differ in alpha diversity metrics. </w:t>
      </w:r>
      <w:r w:rsidR="00695568" w:rsidRPr="00DA42F5">
        <w:rPr>
          <w:rFonts w:cs="Times New Roman"/>
          <w:szCs w:val="24"/>
        </w:rPr>
        <w:t xml:space="preserve">Consequently, </w:t>
      </w:r>
      <w:r w:rsidR="0062246A" w:rsidRPr="00DA42F5">
        <w:rPr>
          <w:rFonts w:cs="Times New Roman"/>
          <w:szCs w:val="24"/>
        </w:rPr>
        <w:t xml:space="preserve">the </w:t>
      </w:r>
      <w:proofErr w:type="spellStart"/>
      <w:r w:rsidR="00CD77AB" w:rsidRPr="00DA42F5">
        <w:rPr>
          <w:rFonts w:cs="Times New Roman"/>
          <w:szCs w:val="24"/>
        </w:rPr>
        <w:t>PowerFecal</w:t>
      </w:r>
      <w:proofErr w:type="spellEnd"/>
      <w:r w:rsidR="00CD77AB" w:rsidRPr="00DA42F5">
        <w:rPr>
          <w:rFonts w:cs="Times New Roman"/>
          <w:szCs w:val="24"/>
        </w:rPr>
        <w:t xml:space="preserve"> protocol </w:t>
      </w:r>
      <w:r w:rsidR="00695568" w:rsidRPr="00DA42F5">
        <w:rPr>
          <w:rFonts w:cs="Times New Roman"/>
          <w:szCs w:val="24"/>
        </w:rPr>
        <w:t xml:space="preserve">was </w:t>
      </w:r>
      <w:r w:rsidR="0062246A" w:rsidRPr="00DA42F5">
        <w:rPr>
          <w:rFonts w:cs="Times New Roman"/>
          <w:szCs w:val="24"/>
        </w:rPr>
        <w:t xml:space="preserve">selected for subsequent analysis </w:t>
      </w:r>
      <w:r w:rsidR="00695568" w:rsidRPr="00DA42F5">
        <w:rPr>
          <w:rFonts w:cs="Times New Roman"/>
          <w:szCs w:val="24"/>
        </w:rPr>
        <w:t xml:space="preserve">because </w:t>
      </w:r>
      <w:r w:rsidR="00643FE9" w:rsidRPr="00DA42F5">
        <w:rPr>
          <w:rFonts w:cs="Times New Roman"/>
          <w:szCs w:val="24"/>
        </w:rPr>
        <w:t>it provided</w:t>
      </w:r>
      <w:r w:rsidR="00CD77AB" w:rsidRPr="00DA42F5">
        <w:rPr>
          <w:rFonts w:cs="Times New Roman"/>
          <w:szCs w:val="24"/>
        </w:rPr>
        <w:t xml:space="preserve"> </w:t>
      </w:r>
      <w:r w:rsidR="00335FC4" w:rsidRPr="00DA42F5">
        <w:rPr>
          <w:rFonts w:cs="Times New Roman"/>
          <w:szCs w:val="24"/>
        </w:rPr>
        <w:t xml:space="preserve">the </w:t>
      </w:r>
      <w:r w:rsidR="00CD77AB" w:rsidRPr="00DA42F5">
        <w:rPr>
          <w:rFonts w:cs="Times New Roman"/>
          <w:szCs w:val="24"/>
        </w:rPr>
        <w:t>highest DNA yield</w:t>
      </w:r>
      <w:r w:rsidR="0062246A" w:rsidRPr="00DA42F5">
        <w:rPr>
          <w:rFonts w:cs="Times New Roman"/>
          <w:szCs w:val="24"/>
        </w:rPr>
        <w:t xml:space="preserve"> and comprehensive bacterial recovery</w:t>
      </w:r>
      <w:r w:rsidR="00695568" w:rsidRPr="00DA42F5">
        <w:rPr>
          <w:rFonts w:cs="Times New Roman"/>
          <w:szCs w:val="24"/>
        </w:rPr>
        <w:t>.</w:t>
      </w:r>
    </w:p>
    <w:p w14:paraId="7916B3A2" w14:textId="787BA44E" w:rsidR="0062246A" w:rsidRPr="00DA42F5" w:rsidRDefault="0062246A" w:rsidP="00CD77AB">
      <w:pPr>
        <w:rPr>
          <w:rFonts w:cs="Times New Roman"/>
          <w:szCs w:val="24"/>
        </w:rPr>
      </w:pPr>
      <w:r w:rsidRPr="00DA42F5">
        <w:rPr>
          <w:rFonts w:cs="Times New Roman"/>
          <w:szCs w:val="24"/>
        </w:rPr>
        <w:t xml:space="preserve">These findings </w:t>
      </w:r>
      <w:r w:rsidR="00643FE9" w:rsidRPr="00DA42F5">
        <w:rPr>
          <w:rFonts w:cs="Times New Roman"/>
          <w:szCs w:val="24"/>
        </w:rPr>
        <w:t>are consistent</w:t>
      </w:r>
      <w:r w:rsidRPr="00DA42F5">
        <w:rPr>
          <w:rFonts w:cs="Times New Roman"/>
          <w:szCs w:val="24"/>
        </w:rPr>
        <w:t xml:space="preserve"> with published evaluations</w:t>
      </w:r>
      <w:r w:rsidR="00643FE9" w:rsidRPr="00DA42F5">
        <w:rPr>
          <w:rFonts w:cs="Times New Roman"/>
          <w:szCs w:val="24"/>
        </w:rPr>
        <w:t xml:space="preserve"> reporting</w:t>
      </w:r>
      <w:r w:rsidRPr="00DA42F5">
        <w:rPr>
          <w:rFonts w:cs="Times New Roman"/>
          <w:szCs w:val="24"/>
        </w:rPr>
        <w:t xml:space="preserve"> that the </w:t>
      </w:r>
      <w:proofErr w:type="spellStart"/>
      <w:r w:rsidRPr="00DA42F5">
        <w:rPr>
          <w:rFonts w:cs="Times New Roman"/>
          <w:szCs w:val="24"/>
        </w:rPr>
        <w:t>PowerFecal</w:t>
      </w:r>
      <w:proofErr w:type="spellEnd"/>
      <w:r w:rsidRPr="00DA42F5">
        <w:rPr>
          <w:rFonts w:cs="Times New Roman"/>
          <w:szCs w:val="24"/>
        </w:rPr>
        <w:t xml:space="preserve"> kit </w:t>
      </w:r>
      <w:r w:rsidR="00643FE9" w:rsidRPr="00DA42F5">
        <w:rPr>
          <w:rFonts w:cs="Times New Roman"/>
          <w:szCs w:val="24"/>
        </w:rPr>
        <w:t>provides</w:t>
      </w:r>
      <w:r w:rsidRPr="00DA42F5">
        <w:rPr>
          <w:rFonts w:cs="Times New Roman"/>
          <w:szCs w:val="24"/>
        </w:rPr>
        <w:t xml:space="preserve"> high DNA yields, efficient lysis particularly of Gram-positive bacteria, and recovery of high-quality DNA suitable for microbiome studies </w:t>
      </w:r>
      <w:r w:rsidRPr="00DA42F5">
        <w:rPr>
          <w:rFonts w:cs="Times New Roman"/>
          <w:szCs w:val="24"/>
        </w:rPr>
        <w:fldChar w:fldCharType="begin"/>
      </w:r>
      <w:r w:rsidR="00494014">
        <w:rPr>
          <w:rFonts w:cs="Times New Roman"/>
          <w:szCs w:val="24"/>
        </w:rPr>
        <w:instrText xml:space="preserve"> ADDIN ZOTERO_ITEM CSL_CITATION {"citationID":"qLWX3dz5","properties":{"formattedCitation":"(Gall-David et al., 2023)","plainCitation":"(Gall-David et al., 2023)","noteIndex":0},"citationItems":[{"id":3448,"uris":["http://zotero.org/users/8873894/items/JHT4AWWT"],"itemData":{"id":3448,"type":"article-journal","abstract":"Aim: The current study investigated the performance of 4 widely used DNA extraction kits using different types of high (stool) and low biomass samples (chyme, broncho alveolar lavage and sputum). Methods: Qiagen Powerfecal Pro DNA kit, Macherey Nucleospin Soil kit, Macherey Nucleospin Tissue Kit and MagnaPure LC DNA isolation kit III were evaluated in terms of DNA quantity, quality, diversity and composition profiles. Results: The quantity and quality of DNA varied among the four kits. The microbiota of the stool samples showed similar diversity and compositional profiles for the 4 kits. Conclusion: Despite differences in DNA quality and quantity, the 4 kits yielded similar results for stool samples, while all kits were not sensitive enough for low biomass samples. DNA extraction is a major factor affecting the microbial profile of various samples. Considering that different kits are commonly used such as QIAamp PowerFecal Pro DNA kit (QPFPD, QIAGEN), Macherey Nucleospin Soil (MNS, MACHEREY-NAGEL) Macherey Nucleospin Tissue (MNT, MACHEREY-NAGEL) and MagnaPure LC DNA isolation kit III (MPLCD, ROCHE), this study aimed to assess their performance using high (feces) and low-biomass samples. The kits were equally effective for feces samples but not sensitive enough for low biomass samples (chyme, bronchoalveolar lavage fluid and sputum).","container-title":"Future Science OA","DOI":"10.2144/fsoa-2022-0072","ISSN":"null","issue":"1","note":"_eprint: https://doi.org/10.2144/fsoa-2022-0072","page":"FSO837","PMID":"37006230","publisher":"Taylor &amp; Francis","source":"Taylor and Francis+NEJM","title":"Comparison of Four DNA Extraction Kits Efficiency for 16SrDNA Microbiota Profiling of Diverse Human Samples","volume":"9","author":[{"family":"Gall-David","given":"Sandrine Le"},{"family":"Boudry","given":"Gaëlle"},{"family":"Buffet-Bataillon","given":"Sylvie"}],"issued":{"date-parts":[["2023",1,1]]}}}],"schema":"https://github.com/citation-style-language/schema/raw/master/csl-citation.json"} </w:instrText>
      </w:r>
      <w:r w:rsidRPr="00DA42F5">
        <w:rPr>
          <w:rFonts w:cs="Times New Roman"/>
          <w:szCs w:val="24"/>
        </w:rPr>
        <w:fldChar w:fldCharType="separate"/>
      </w:r>
      <w:r w:rsidRPr="00DA42F5">
        <w:rPr>
          <w:rFonts w:cs="Times New Roman"/>
        </w:rPr>
        <w:t>(Gall-David et al., 2023)</w:t>
      </w:r>
      <w:r w:rsidRPr="00DA42F5">
        <w:rPr>
          <w:rFonts w:cs="Times New Roman"/>
          <w:szCs w:val="24"/>
        </w:rPr>
        <w:fldChar w:fldCharType="end"/>
      </w:r>
      <w:r w:rsidRPr="00DA42F5">
        <w:rPr>
          <w:rFonts w:cs="Times New Roman"/>
          <w:szCs w:val="24"/>
        </w:rPr>
        <w:t>.</w:t>
      </w:r>
    </w:p>
    <w:p w14:paraId="458F1F69" w14:textId="182F2350" w:rsidR="00801198" w:rsidRPr="00DA42F5" w:rsidRDefault="007B5403" w:rsidP="00801198">
      <w:pPr>
        <w:keepNext/>
      </w:pPr>
      <w:r>
        <w:rPr>
          <w:rFonts w:cs="Times New Roman"/>
          <w:noProof/>
          <w:szCs w:val="24"/>
        </w:rPr>
        <w:lastRenderedPageBreak/>
        <w:drawing>
          <wp:inline distT="0" distB="0" distL="0" distR="0" wp14:anchorId="0552B456" wp14:editId="07F2D3D1">
            <wp:extent cx="5934710" cy="4114800"/>
            <wp:effectExtent l="0" t="0" r="8890" b="0"/>
            <wp:docPr id="5790103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710" cy="4114800"/>
                    </a:xfrm>
                    <a:prstGeom prst="rect">
                      <a:avLst/>
                    </a:prstGeom>
                    <a:noFill/>
                    <a:ln>
                      <a:noFill/>
                    </a:ln>
                  </pic:spPr>
                </pic:pic>
              </a:graphicData>
            </a:graphic>
          </wp:inline>
        </w:drawing>
      </w:r>
    </w:p>
    <w:p w14:paraId="23F80B6A" w14:textId="01D3E2BE" w:rsidR="00C2620A" w:rsidRPr="00DA42F5" w:rsidRDefault="00801198" w:rsidP="00801198">
      <w:pPr>
        <w:pStyle w:val="Caption"/>
        <w:rPr>
          <w:b w:val="0"/>
          <w:bCs/>
        </w:rPr>
      </w:pPr>
      <w:bookmarkStart w:id="194" w:name="_Hlk219364750"/>
      <w:bookmarkStart w:id="195" w:name="_Toc216101617"/>
      <w:r w:rsidRPr="00DA42F5">
        <w:t xml:space="preserve">Figure </w:t>
      </w:r>
      <w:r w:rsidRPr="00DA42F5">
        <w:fldChar w:fldCharType="begin"/>
      </w:r>
      <w:r w:rsidRPr="00DA42F5">
        <w:instrText xml:space="preserve"> SEQ Figure \* ARABIC </w:instrText>
      </w:r>
      <w:r w:rsidRPr="00DA42F5">
        <w:fldChar w:fldCharType="separate"/>
      </w:r>
      <w:r w:rsidR="00C11001">
        <w:rPr>
          <w:noProof/>
        </w:rPr>
        <w:t>3</w:t>
      </w:r>
      <w:r w:rsidRPr="00DA42F5">
        <w:fldChar w:fldCharType="end"/>
      </w:r>
      <w:r w:rsidRPr="00DA42F5">
        <w:t>. Comparison of DNA concentration, alpha and beta diversity, and the number of unique OTUs from three human stool samples using four different DNA isolation protocols.</w:t>
      </w:r>
      <w:bookmarkStart w:id="196" w:name="_Toc184220363"/>
      <w:r w:rsidRPr="00DA42F5">
        <w:t xml:space="preserve"> </w:t>
      </w:r>
      <w:bookmarkEnd w:id="194"/>
      <w:r w:rsidR="00643FE9" w:rsidRPr="00DA42F5">
        <w:rPr>
          <w:b w:val="0"/>
          <w:bCs/>
        </w:rPr>
        <w:t>A) DNA concentrations [ng/µl] after isolation, measured with the Quant-</w:t>
      </w:r>
      <w:proofErr w:type="spellStart"/>
      <w:r w:rsidR="00643FE9" w:rsidRPr="00DA42F5">
        <w:rPr>
          <w:b w:val="0"/>
          <w:bCs/>
        </w:rPr>
        <w:t>iT</w:t>
      </w:r>
      <w:proofErr w:type="spellEnd"/>
      <w:r w:rsidR="00643FE9" w:rsidRPr="00DA42F5">
        <w:rPr>
          <w:b w:val="0"/>
          <w:bCs/>
        </w:rPr>
        <w:t xml:space="preserve">™ </w:t>
      </w:r>
      <w:proofErr w:type="spellStart"/>
      <w:r w:rsidR="00643FE9" w:rsidRPr="00DA42F5">
        <w:rPr>
          <w:b w:val="0"/>
          <w:bCs/>
        </w:rPr>
        <w:t>PicoGreen</w:t>
      </w:r>
      <w:proofErr w:type="spellEnd"/>
      <w:r w:rsidR="00643FE9" w:rsidRPr="00DA42F5">
        <w:rPr>
          <w:b w:val="0"/>
          <w:bCs/>
        </w:rPr>
        <w:t>™ dsDNA Assay and dsDNA Reagents (Invitrogen™</w:t>
      </w:r>
      <w:r w:rsidR="00571F06" w:rsidRPr="00DA42F5">
        <w:rPr>
          <w:b w:val="0"/>
          <w:bCs/>
        </w:rPr>
        <w:t>, USA</w:t>
      </w:r>
      <w:r w:rsidR="00643FE9" w:rsidRPr="00DA42F5">
        <w:rPr>
          <w:b w:val="0"/>
          <w:bCs/>
        </w:rPr>
        <w:t>)</w:t>
      </w:r>
      <w:r w:rsidR="00571F06" w:rsidRPr="00DA42F5">
        <w:rPr>
          <w:b w:val="0"/>
          <w:bCs/>
        </w:rPr>
        <w:t>, with p</w:t>
      </w:r>
      <w:r w:rsidR="00643FE9" w:rsidRPr="00DA42F5">
        <w:rPr>
          <w:b w:val="0"/>
          <w:bCs/>
        </w:rPr>
        <w:t>-values above the connecting boxplots from paired t-tests. B) Non-metric multidimensional scaling (NMDS) ordination based on Bray–Curtis distances, with permutational multivariate analysis of variance used to assess differences between kits (</w:t>
      </w:r>
      <w:proofErr w:type="spellStart"/>
      <w:r w:rsidR="00643FE9" w:rsidRPr="00DA42F5">
        <w:rPr>
          <w:b w:val="0"/>
          <w:bCs/>
        </w:rPr>
        <w:t>PERMANOVA</w:t>
      </w:r>
      <w:proofErr w:type="spellEnd"/>
      <w:r w:rsidR="00643FE9" w:rsidRPr="00DA42F5">
        <w:rPr>
          <w:b w:val="0"/>
          <w:bCs/>
        </w:rPr>
        <w:t xml:space="preserve">). C) Shannon index for alpha diversity, with p-values above the connecting boxplots from paired t-tests. D) Number of </w:t>
      </w:r>
      <w:r w:rsidR="00571F06" w:rsidRPr="00DA42F5">
        <w:rPr>
          <w:b w:val="0"/>
          <w:bCs/>
        </w:rPr>
        <w:t xml:space="preserve">unique </w:t>
      </w:r>
      <w:r w:rsidR="00643FE9" w:rsidRPr="00DA42F5">
        <w:rPr>
          <w:b w:val="0"/>
          <w:bCs/>
        </w:rPr>
        <w:t xml:space="preserve">OTUs in each bacterial phylum across samples for each DNA isolation protocol, </w:t>
      </w:r>
      <w:r w:rsidR="00571F06" w:rsidRPr="00DA42F5">
        <w:rPr>
          <w:b w:val="0"/>
          <w:bCs/>
        </w:rPr>
        <w:t>concatenating</w:t>
      </w:r>
      <w:r w:rsidR="00643FE9" w:rsidRPr="00DA42F5">
        <w:rPr>
          <w:b w:val="0"/>
          <w:bCs/>
        </w:rPr>
        <w:t xml:space="preserve"> phyla with fewer than 5 OTUs</w:t>
      </w:r>
      <w:r w:rsidR="00571F06" w:rsidRPr="00DA42F5">
        <w:rPr>
          <w:b w:val="0"/>
          <w:bCs/>
        </w:rPr>
        <w:t xml:space="preserve"> into one group (&lt; 5 OTUs)</w:t>
      </w:r>
      <w:r w:rsidR="00643FE9" w:rsidRPr="00DA42F5">
        <w:rPr>
          <w:b w:val="0"/>
          <w:bCs/>
        </w:rPr>
        <w:t xml:space="preserve">. Legend: </w:t>
      </w:r>
      <w:proofErr w:type="spellStart"/>
      <w:r w:rsidR="00643FE9" w:rsidRPr="00DA42F5">
        <w:rPr>
          <w:b w:val="0"/>
          <w:bCs/>
        </w:rPr>
        <w:t>FastDNA</w:t>
      </w:r>
      <w:proofErr w:type="spellEnd"/>
      <w:r w:rsidR="00643FE9" w:rsidRPr="00DA42F5">
        <w:rPr>
          <w:b w:val="0"/>
          <w:bCs/>
        </w:rPr>
        <w:t xml:space="preserve">: </w:t>
      </w:r>
      <w:proofErr w:type="spellStart"/>
      <w:r w:rsidR="00643FE9" w:rsidRPr="00DA42F5">
        <w:rPr>
          <w:b w:val="0"/>
          <w:bCs/>
        </w:rPr>
        <w:t>QIAamp</w:t>
      </w:r>
      <w:proofErr w:type="spellEnd"/>
      <w:r w:rsidR="00643FE9" w:rsidRPr="00DA42F5">
        <w:rPr>
          <w:b w:val="0"/>
          <w:bCs/>
        </w:rPr>
        <w:t xml:space="preserve"> Fast DNA Stool Mini Kit; </w:t>
      </w:r>
      <w:proofErr w:type="spellStart"/>
      <w:r w:rsidR="00643FE9" w:rsidRPr="00DA42F5">
        <w:rPr>
          <w:b w:val="0"/>
          <w:bCs/>
        </w:rPr>
        <w:t>NucleoSpin</w:t>
      </w:r>
      <w:proofErr w:type="spellEnd"/>
      <w:r w:rsidR="00643FE9" w:rsidRPr="00DA42F5">
        <w:rPr>
          <w:b w:val="0"/>
          <w:bCs/>
        </w:rPr>
        <w:t xml:space="preserve">: </w:t>
      </w:r>
      <w:proofErr w:type="spellStart"/>
      <w:r w:rsidR="00643FE9" w:rsidRPr="00DA42F5">
        <w:rPr>
          <w:b w:val="0"/>
          <w:bCs/>
        </w:rPr>
        <w:t>NucleoSpin</w:t>
      </w:r>
      <w:proofErr w:type="spellEnd"/>
      <w:r w:rsidR="00643FE9" w:rsidRPr="00DA42F5">
        <w:rPr>
          <w:b w:val="0"/>
          <w:bCs/>
        </w:rPr>
        <w:t xml:space="preserve"> Soil Mini Kit, </w:t>
      </w:r>
      <w:proofErr w:type="spellStart"/>
      <w:r w:rsidR="00643FE9" w:rsidRPr="00DA42F5">
        <w:rPr>
          <w:b w:val="0"/>
          <w:bCs/>
        </w:rPr>
        <w:t>PowerFecal</w:t>
      </w:r>
      <w:proofErr w:type="spellEnd"/>
      <w:r w:rsidR="00643FE9" w:rsidRPr="00DA42F5">
        <w:rPr>
          <w:b w:val="0"/>
          <w:bCs/>
        </w:rPr>
        <w:t xml:space="preserve">: </w:t>
      </w:r>
      <w:proofErr w:type="spellStart"/>
      <w:r w:rsidR="00643FE9" w:rsidRPr="00DA42F5">
        <w:rPr>
          <w:b w:val="0"/>
          <w:bCs/>
        </w:rPr>
        <w:t>QIAamp</w:t>
      </w:r>
      <w:proofErr w:type="spellEnd"/>
      <w:r w:rsidR="00643FE9" w:rsidRPr="00DA42F5">
        <w:rPr>
          <w:b w:val="0"/>
          <w:bCs/>
        </w:rPr>
        <w:t xml:space="preserve"> </w:t>
      </w:r>
      <w:proofErr w:type="spellStart"/>
      <w:r w:rsidR="00643FE9" w:rsidRPr="00DA42F5">
        <w:rPr>
          <w:b w:val="0"/>
          <w:bCs/>
        </w:rPr>
        <w:t>PowerFecal</w:t>
      </w:r>
      <w:proofErr w:type="spellEnd"/>
      <w:r w:rsidR="00643FE9" w:rsidRPr="00DA42F5">
        <w:rPr>
          <w:b w:val="0"/>
          <w:bCs/>
        </w:rPr>
        <w:t xml:space="preserve"> Pro DNA Kit; </w:t>
      </w:r>
      <w:proofErr w:type="spellStart"/>
      <w:r w:rsidR="00643FE9" w:rsidRPr="00DA42F5">
        <w:rPr>
          <w:b w:val="0"/>
          <w:bCs/>
        </w:rPr>
        <w:t>DNAeasy</w:t>
      </w:r>
      <w:proofErr w:type="spellEnd"/>
      <w:r w:rsidR="00643FE9" w:rsidRPr="00DA42F5">
        <w:rPr>
          <w:b w:val="0"/>
          <w:bCs/>
        </w:rPr>
        <w:t xml:space="preserve">: in-house protocol based on the </w:t>
      </w:r>
      <w:proofErr w:type="spellStart"/>
      <w:r w:rsidR="00643FE9" w:rsidRPr="00DA42F5">
        <w:rPr>
          <w:b w:val="0"/>
          <w:bCs/>
        </w:rPr>
        <w:t>DNeasy</w:t>
      </w:r>
      <w:proofErr w:type="spellEnd"/>
      <w:r w:rsidR="00643FE9" w:rsidRPr="00DA42F5">
        <w:rPr>
          <w:b w:val="0"/>
          <w:bCs/>
        </w:rPr>
        <w:t xml:space="preserve"> Blood &amp; Tissue protocol.</w:t>
      </w:r>
      <w:bookmarkEnd w:id="195"/>
    </w:p>
    <w:p w14:paraId="34E966E5" w14:textId="6D05CC89" w:rsidR="00801198" w:rsidRPr="00DA42F5" w:rsidRDefault="00801198">
      <w:pPr>
        <w:spacing w:line="259" w:lineRule="auto"/>
        <w:jc w:val="left"/>
      </w:pPr>
      <w:r w:rsidRPr="00DA42F5">
        <w:br w:type="page"/>
      </w:r>
    </w:p>
    <w:p w14:paraId="7E8114A3" w14:textId="3C696DE2" w:rsidR="0002799D" w:rsidRPr="00DA42F5" w:rsidRDefault="00EE3CC9" w:rsidP="00CD77AB">
      <w:pPr>
        <w:pStyle w:val="Heading2"/>
        <w:numPr>
          <w:ilvl w:val="1"/>
          <w:numId w:val="26"/>
        </w:numPr>
      </w:pPr>
      <w:bookmarkStart w:id="197" w:name="_Hlk184885377"/>
      <w:bookmarkStart w:id="198" w:name="_Toc216099746"/>
      <w:bookmarkStart w:id="199" w:name="_Toc220591397"/>
      <w:bookmarkEnd w:id="196"/>
      <w:r w:rsidRPr="00DA42F5">
        <w:lastRenderedPageBreak/>
        <w:t>OPTIMIZATION OF PRE-TREATMENT FOR DNA ISOLATION FROM SPORE</w:t>
      </w:r>
      <w:r w:rsidR="00A12243" w:rsidRPr="00DA42F5">
        <w:t>S</w:t>
      </w:r>
      <w:r w:rsidR="00707035" w:rsidRPr="00DA42F5">
        <w:t xml:space="preserve"> AND OTHER RESISTANT BACTERIA</w:t>
      </w:r>
      <w:r w:rsidRPr="00DA42F5">
        <w:t xml:space="preserve"> IN STOOL SAMPLE</w:t>
      </w:r>
      <w:bookmarkEnd w:id="197"/>
      <w:r w:rsidRPr="00DA42F5">
        <w:t>S</w:t>
      </w:r>
      <w:bookmarkEnd w:id="198"/>
      <w:bookmarkEnd w:id="199"/>
    </w:p>
    <w:p w14:paraId="2360B20B" w14:textId="33B6DEF3" w:rsidR="004A20A8" w:rsidRPr="00DA42F5" w:rsidRDefault="00C50FA4" w:rsidP="00643FE9">
      <w:r w:rsidRPr="00DA42F5">
        <w:t>The experiment included two stool samples, each treated in duplicate with either ethanol shock using 70% ethanol for 24 hours or heat shock at 80 °C for 30 minutes (selected based on previous experiments, see Supplement Text 1). Free DNA and DNA in lysed cells were subsequently removed by ethidium bromide monoazide (EMA) treatment with illumination times</w:t>
      </w:r>
      <w:r w:rsidR="00C62B09" w:rsidRPr="00DA42F5">
        <w:t xml:space="preserve"> of 5, 10, or 15 minutes</w:t>
      </w:r>
      <w:r w:rsidRPr="00DA42F5">
        <w:t>. Negative controls included a water sample treated alongside the stool</w:t>
      </w:r>
      <w:r w:rsidR="00643FE9" w:rsidRPr="00DA42F5">
        <w:t xml:space="preserve"> samples</w:t>
      </w:r>
      <w:r w:rsidRPr="00DA42F5">
        <w:t xml:space="preserve">, </w:t>
      </w:r>
      <w:r w:rsidR="00C62B09" w:rsidRPr="00DA42F5">
        <w:t xml:space="preserve">which was </w:t>
      </w:r>
      <w:r w:rsidRPr="00DA42F5">
        <w:t xml:space="preserve">not sequenced due to low DNA concentration. </w:t>
      </w:r>
      <w:r w:rsidR="00C62B09" w:rsidRPr="00DA42F5">
        <w:t>Additional controls comprised an untreated stool sample</w:t>
      </w:r>
      <w:r w:rsidR="004A20A8" w:rsidRPr="00DA42F5">
        <w:t>, used to assess the fraction of the community removed by shocks,</w:t>
      </w:r>
      <w:r w:rsidR="00C62B09" w:rsidRPr="00DA42F5">
        <w:t xml:space="preserve"> and</w:t>
      </w:r>
      <w:r w:rsidR="004A20A8" w:rsidRPr="00DA42F5">
        <w:t xml:space="preserve"> ethanol- and heat-shocked samples washed only with </w:t>
      </w:r>
      <w:r w:rsidR="007B5A5E" w:rsidRPr="00DA42F5">
        <w:t>nuclease-free</w:t>
      </w:r>
      <w:r w:rsidR="004A20A8" w:rsidRPr="00DA42F5">
        <w:t xml:space="preserve"> water (without EMA),</w:t>
      </w:r>
      <w:r w:rsidR="00C62B09" w:rsidRPr="00DA42F5">
        <w:t xml:space="preserve"> as EMA-efficiency contro</w:t>
      </w:r>
      <w:r w:rsidR="004A20A8" w:rsidRPr="00DA42F5">
        <w:t>ls</w:t>
      </w:r>
      <w:r w:rsidR="00C62B09" w:rsidRPr="00DA42F5">
        <w:t xml:space="preserve">. </w:t>
      </w:r>
    </w:p>
    <w:p w14:paraId="58C9DF89" w14:textId="32644053" w:rsidR="004A20A8" w:rsidRPr="00DA42F5" w:rsidRDefault="004A20A8" w:rsidP="00643FE9">
      <w:r w:rsidRPr="00DA42F5">
        <w:t xml:space="preserve">Removal efficiency of non-spore-forming bacteria was evaluated using amplicon sequencing, focusing on taxa </w:t>
      </w:r>
      <w:r w:rsidR="00C62B09" w:rsidRPr="00DA42F5">
        <w:t xml:space="preserve">known </w:t>
      </w:r>
      <w:r w:rsidRPr="00DA42F5">
        <w:t xml:space="preserve">to form </w:t>
      </w:r>
      <w:r w:rsidR="00C62B09" w:rsidRPr="00DA42F5">
        <w:t>spore</w:t>
      </w:r>
      <w:r w:rsidRPr="00DA42F5">
        <w:t>s</w:t>
      </w:r>
      <w:r w:rsidR="00C62B09" w:rsidRPr="00DA42F5">
        <w:t xml:space="preserve"> </w:t>
      </w:r>
      <w:r w:rsidRPr="00DA42F5">
        <w:t>according to</w:t>
      </w:r>
      <w:r w:rsidR="00C62B09" w:rsidRPr="00DA42F5">
        <w:t xml:space="preserve"> the literature</w:t>
      </w:r>
      <w:r w:rsidR="00571F06" w:rsidRPr="00DA42F5">
        <w:t xml:space="preserve"> (Figure 4)</w:t>
      </w:r>
      <w:r w:rsidR="00C62B09" w:rsidRPr="00DA42F5">
        <w:t xml:space="preserve">. </w:t>
      </w:r>
      <w:r w:rsidR="00571F06" w:rsidRPr="00DA42F5">
        <w:t xml:space="preserve">Number of unique OTUs for each of the most abundant </w:t>
      </w:r>
      <w:r w:rsidR="00C62B09" w:rsidRPr="00DA42F5">
        <w:t>bacterial phyla were calculated across biological replicates for each treatment and compared</w:t>
      </w:r>
      <w:r w:rsidRPr="00DA42F5">
        <w:t xml:space="preserve"> with</w:t>
      </w:r>
      <w:r w:rsidR="00C62B09" w:rsidRPr="00DA42F5">
        <w:t xml:space="preserve"> the untreated stool sample</w:t>
      </w:r>
      <w:r w:rsidRPr="00DA42F5">
        <w:t xml:space="preserve"> and the</w:t>
      </w:r>
      <w:r w:rsidR="00C62B09" w:rsidRPr="00DA42F5">
        <w:t xml:space="preserve"> EMA-efficiency control</w:t>
      </w:r>
      <w:r w:rsidRPr="00DA42F5">
        <w:t>s</w:t>
      </w:r>
      <w:r w:rsidR="00C62B09" w:rsidRPr="00DA42F5">
        <w:t xml:space="preserve">. </w:t>
      </w:r>
      <w:r w:rsidR="00C50FA4" w:rsidRPr="00DA42F5">
        <w:t xml:space="preserve">Both ethanol shock and heat shock enriched </w:t>
      </w:r>
      <w:r w:rsidR="00571F06" w:rsidRPr="00DA42F5">
        <w:t xml:space="preserve">for </w:t>
      </w:r>
      <w:r w:rsidR="00C50FA4" w:rsidRPr="00DA42F5">
        <w:t xml:space="preserve">OTUs </w:t>
      </w:r>
      <w:r w:rsidRPr="00DA42F5">
        <w:t xml:space="preserve">belonging to the </w:t>
      </w:r>
      <w:r w:rsidR="00C50FA4" w:rsidRPr="00DA42F5">
        <w:t xml:space="preserve">phylum </w:t>
      </w:r>
      <w:r w:rsidR="00C50FA4" w:rsidRPr="00DA42F5">
        <w:rPr>
          <w:i/>
          <w:iCs/>
        </w:rPr>
        <w:t>Bacillota</w:t>
      </w:r>
      <w:r w:rsidR="00C50FA4" w:rsidRPr="00DA42F5">
        <w:t xml:space="preserve"> and reduced the </w:t>
      </w:r>
      <w:r w:rsidRPr="00DA42F5">
        <w:t xml:space="preserve">number </w:t>
      </w:r>
      <w:r w:rsidR="00C50FA4" w:rsidRPr="00DA42F5">
        <w:t xml:space="preserve">of </w:t>
      </w:r>
      <w:r w:rsidRPr="00DA42F5">
        <w:t xml:space="preserve">OTUs from </w:t>
      </w:r>
      <w:r w:rsidR="00C50FA4" w:rsidRPr="00DA42F5">
        <w:t xml:space="preserve">other phyla compared to the original stool sample and </w:t>
      </w:r>
      <w:r w:rsidR="00695568" w:rsidRPr="00DA42F5">
        <w:t>EMA-efficiency controls</w:t>
      </w:r>
      <w:r w:rsidR="00C50FA4" w:rsidRPr="00DA42F5">
        <w:t xml:space="preserve">. The 15-minute </w:t>
      </w:r>
      <w:r w:rsidRPr="00DA42F5">
        <w:t xml:space="preserve">EMA </w:t>
      </w:r>
      <w:r w:rsidR="00C50FA4" w:rsidRPr="00DA42F5">
        <w:t>illumination</w:t>
      </w:r>
      <w:r w:rsidRPr="00DA42F5">
        <w:t xml:space="preserve"> </w:t>
      </w:r>
      <w:r w:rsidR="00571F06" w:rsidRPr="00DA42F5">
        <w:t>resulted in</w:t>
      </w:r>
      <w:r w:rsidRPr="00DA42F5">
        <w:t xml:space="preserve"> the strongest depletion of non-spore-forming </w:t>
      </w:r>
      <w:r w:rsidR="00571F06" w:rsidRPr="00DA42F5">
        <w:t>phyla but</w:t>
      </w:r>
      <w:r w:rsidRPr="00DA42F5">
        <w:t xml:space="preserve"> </w:t>
      </w:r>
      <w:r w:rsidR="00571F06" w:rsidRPr="00DA42F5">
        <w:t xml:space="preserve">had </w:t>
      </w:r>
      <w:r w:rsidRPr="00DA42F5">
        <w:t>a low success rate of DNA isolation</w:t>
      </w:r>
      <w:r w:rsidR="00571F06" w:rsidRPr="00DA42F5">
        <w:t xml:space="preserve">. Only 5 out of 16 samples had DNA of sufficient concentration and quality for </w:t>
      </w:r>
      <w:r w:rsidR="005330D0" w:rsidRPr="00DA42F5">
        <w:t>sequencing</w:t>
      </w:r>
      <w:r w:rsidR="00571F06" w:rsidRPr="00DA42F5">
        <w:t xml:space="preserve">, compared to </w:t>
      </w:r>
      <w:r w:rsidRPr="00DA42F5">
        <w:t xml:space="preserve">5 minutes (14/16) and 10 minutes (8/16). </w:t>
      </w:r>
      <w:r w:rsidR="00C50FA4" w:rsidRPr="00DA42F5">
        <w:t xml:space="preserve"> </w:t>
      </w:r>
    </w:p>
    <w:p w14:paraId="5BE0251E" w14:textId="77777777" w:rsidR="00801198" w:rsidRPr="00DA42F5" w:rsidRDefault="00C50FA4" w:rsidP="00CD77AB">
      <w:r w:rsidRPr="00DA42F5">
        <w:t xml:space="preserve">For isolation of DNA from spores in human stool samples, </w:t>
      </w:r>
      <w:r w:rsidR="004A20A8" w:rsidRPr="00DA42F5">
        <w:t xml:space="preserve">ethanol shock combined with EMA treatment and 10-minute illumination was selected as the optimal compromise between selectivity and sequencing success rate. </w:t>
      </w:r>
    </w:p>
    <w:p w14:paraId="07E17AA7" w14:textId="77777777" w:rsidR="00801198" w:rsidRPr="00DA42F5" w:rsidRDefault="00C2620A" w:rsidP="00801198">
      <w:pPr>
        <w:keepNext/>
      </w:pPr>
      <w:r w:rsidRPr="00DA42F5">
        <w:rPr>
          <w:rFonts w:cs="Times New Roman"/>
          <w:noProof/>
          <w:szCs w:val="24"/>
        </w:rPr>
        <w:lastRenderedPageBreak/>
        <w:drawing>
          <wp:inline distT="0" distB="0" distL="0" distR="0" wp14:anchorId="2341AF3F" wp14:editId="55968824">
            <wp:extent cx="5962650" cy="5895655"/>
            <wp:effectExtent l="0" t="0" r="0" b="0"/>
            <wp:docPr id="1360317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b="7089"/>
                    <a:stretch/>
                  </pic:blipFill>
                  <pic:spPr bwMode="auto">
                    <a:xfrm>
                      <a:off x="0" y="0"/>
                      <a:ext cx="5967646" cy="5900595"/>
                    </a:xfrm>
                    <a:prstGeom prst="rect">
                      <a:avLst/>
                    </a:prstGeom>
                    <a:noFill/>
                    <a:ln>
                      <a:noFill/>
                    </a:ln>
                    <a:extLst>
                      <a:ext uri="{53640926-AAD7-44D8-BBD7-CCE9431645EC}">
                        <a14:shadowObscured xmlns:a14="http://schemas.microsoft.com/office/drawing/2010/main"/>
                      </a:ext>
                    </a:extLst>
                  </pic:spPr>
                </pic:pic>
              </a:graphicData>
            </a:graphic>
          </wp:inline>
        </w:drawing>
      </w:r>
    </w:p>
    <w:p w14:paraId="074B9F2C" w14:textId="5CADF733" w:rsidR="00D2438A" w:rsidRPr="00DA42F5" w:rsidRDefault="00801198" w:rsidP="00801198">
      <w:pPr>
        <w:pStyle w:val="Caption"/>
        <w:rPr>
          <w:b w:val="0"/>
          <w:bCs/>
          <w:szCs w:val="22"/>
        </w:rPr>
      </w:pPr>
      <w:bookmarkStart w:id="200" w:name="_Toc216101618"/>
      <w:r w:rsidRPr="00DA42F5">
        <w:t xml:space="preserve">Figure </w:t>
      </w:r>
      <w:r w:rsidRPr="00DA42F5">
        <w:fldChar w:fldCharType="begin"/>
      </w:r>
      <w:r w:rsidRPr="00DA42F5">
        <w:instrText xml:space="preserve"> SEQ Figure \* ARABIC </w:instrText>
      </w:r>
      <w:r w:rsidRPr="00DA42F5">
        <w:fldChar w:fldCharType="separate"/>
      </w:r>
      <w:r w:rsidR="00C11001">
        <w:rPr>
          <w:noProof/>
        </w:rPr>
        <w:t>4</w:t>
      </w:r>
      <w:r w:rsidRPr="00DA42F5">
        <w:fldChar w:fldCharType="end"/>
      </w:r>
      <w:r w:rsidRPr="00DA42F5">
        <w:t xml:space="preserve">. Efficiency of lysis and subsequent removal of free DNA and DNA in lysed cells by EMA treatment after heat or ethanol shock. </w:t>
      </w:r>
      <w:r w:rsidR="00571F06" w:rsidRPr="00DA42F5">
        <w:rPr>
          <w:b w:val="0"/>
          <w:bCs/>
        </w:rPr>
        <w:t>Each plot represents</w:t>
      </w:r>
      <w:r w:rsidR="00571F06" w:rsidRPr="00DA42F5">
        <w:t xml:space="preserve"> </w:t>
      </w:r>
      <w:r w:rsidR="00571F06" w:rsidRPr="00DA42F5">
        <w:rPr>
          <w:b w:val="0"/>
          <w:bCs/>
        </w:rPr>
        <w:t xml:space="preserve">one of the most abundant phyla in stool samples. </w:t>
      </w:r>
      <w:r w:rsidR="00643FE9" w:rsidRPr="00DA42F5">
        <w:rPr>
          <w:b w:val="0"/>
          <w:bCs/>
        </w:rPr>
        <w:t>Number of OTUs</w:t>
      </w:r>
      <w:r w:rsidR="00571F06" w:rsidRPr="00DA42F5">
        <w:rPr>
          <w:b w:val="0"/>
          <w:bCs/>
        </w:rPr>
        <w:t xml:space="preserve"> is represented on the y-axis</w:t>
      </w:r>
      <w:r w:rsidR="00BC2437" w:rsidRPr="00DA42F5">
        <w:rPr>
          <w:b w:val="0"/>
          <w:bCs/>
        </w:rPr>
        <w:t>. The boxplots are colour-coded by</w:t>
      </w:r>
      <w:r w:rsidR="00643FE9" w:rsidRPr="00DA42F5">
        <w:rPr>
          <w:b w:val="0"/>
          <w:bCs/>
        </w:rPr>
        <w:t xml:space="preserve"> non-treated stool (blue), stool samples treated with ethanol shock (red), or heat shock (green), with different illumination times after EMA treatment (only water, 5 min, 10 min, and 15 min).</w:t>
      </w:r>
      <w:bookmarkEnd w:id="200"/>
      <w:r w:rsidR="00643FE9" w:rsidRPr="00DA42F5">
        <w:rPr>
          <w:b w:val="0"/>
          <w:bCs/>
        </w:rPr>
        <w:t xml:space="preserve"> </w:t>
      </w:r>
    </w:p>
    <w:p w14:paraId="01D7A073" w14:textId="0512F14F" w:rsidR="00BC2437" w:rsidRPr="00DA42F5" w:rsidRDefault="00BC2437">
      <w:pPr>
        <w:spacing w:line="259" w:lineRule="auto"/>
        <w:jc w:val="left"/>
      </w:pPr>
      <w:r w:rsidRPr="00DA42F5">
        <w:br w:type="page"/>
      </w:r>
    </w:p>
    <w:p w14:paraId="1C122AE1" w14:textId="0759C682" w:rsidR="0052596E" w:rsidRPr="00DA42F5" w:rsidRDefault="001E1E8D" w:rsidP="00221812">
      <w:pPr>
        <w:pStyle w:val="Heading2"/>
        <w:numPr>
          <w:ilvl w:val="1"/>
          <w:numId w:val="26"/>
        </w:numPr>
      </w:pPr>
      <w:bookmarkStart w:id="201" w:name="_Toc216099747"/>
      <w:bookmarkStart w:id="202" w:name="_Toc220591398"/>
      <w:r w:rsidRPr="00DA42F5">
        <w:lastRenderedPageBreak/>
        <w:t>DESCRIPTION AND COMPARISON OF THE TEMPORAL STABILITY OF THE GUT MICROBIOTA AND SPOROBIOTA IN HEALTHY INDIVIDUALS</w:t>
      </w:r>
      <w:bookmarkEnd w:id="201"/>
      <w:bookmarkEnd w:id="202"/>
    </w:p>
    <w:p w14:paraId="592C0419" w14:textId="5A90CF33" w:rsidR="00EE3CC9" w:rsidRPr="00DA42F5" w:rsidRDefault="005E294F" w:rsidP="00221812">
      <w:pPr>
        <w:pStyle w:val="Heading3"/>
        <w:numPr>
          <w:ilvl w:val="2"/>
          <w:numId w:val="26"/>
        </w:numPr>
      </w:pPr>
      <w:bookmarkStart w:id="203" w:name="_Toc216099748"/>
      <w:bookmarkStart w:id="204" w:name="_Toc220591399"/>
      <w:r w:rsidRPr="00DA42F5">
        <w:t>Composition, abundance and diversity of human gut microbiota</w:t>
      </w:r>
      <w:bookmarkEnd w:id="203"/>
      <w:bookmarkEnd w:id="204"/>
      <w:r w:rsidRPr="00DA42F5">
        <w:t xml:space="preserve"> </w:t>
      </w:r>
    </w:p>
    <w:p w14:paraId="7DE02A59" w14:textId="7D018D1D" w:rsidR="003E5633" w:rsidRDefault="009B0CC2" w:rsidP="005E294F">
      <w:pPr>
        <w:rPr>
          <w:ins w:id="205" w:author="Urša Miklavčič" w:date="2026-01-29T14:56:00Z" w16du:dateUtc="2026-01-29T13:56:00Z"/>
          <w:rFonts w:cs="Times New Roman"/>
          <w:szCs w:val="24"/>
        </w:rPr>
      </w:pPr>
      <w:r w:rsidRPr="00DA42F5">
        <w:rPr>
          <w:rFonts w:cs="Times New Roman"/>
          <w:szCs w:val="24"/>
        </w:rPr>
        <w:t xml:space="preserve">We obtained </w:t>
      </w:r>
      <w:r w:rsidR="00471671" w:rsidRPr="00DA42F5">
        <w:rPr>
          <w:rFonts w:cs="Times New Roman"/>
          <w:szCs w:val="24"/>
        </w:rPr>
        <w:t xml:space="preserve">at least </w:t>
      </w:r>
      <w:r w:rsidRPr="00DA42F5">
        <w:rPr>
          <w:rFonts w:cs="Times New Roman"/>
          <w:szCs w:val="24"/>
        </w:rPr>
        <w:t xml:space="preserve">12 stool samples from each </w:t>
      </w:r>
      <w:r w:rsidR="009301C0" w:rsidRPr="00DA42F5">
        <w:rPr>
          <w:rFonts w:cs="Times New Roman"/>
          <w:szCs w:val="24"/>
        </w:rPr>
        <w:t>participant over a six-month period</w:t>
      </w:r>
      <w:r w:rsidR="00667D9E" w:rsidRPr="00DA42F5">
        <w:rPr>
          <w:rFonts w:cs="Times New Roman"/>
          <w:szCs w:val="24"/>
        </w:rPr>
        <w:t xml:space="preserve"> (Supplement Table 1)</w:t>
      </w:r>
      <w:r w:rsidR="009301C0" w:rsidRPr="00DA42F5">
        <w:rPr>
          <w:rFonts w:cs="Times New Roman"/>
          <w:szCs w:val="24"/>
        </w:rPr>
        <w:t>.</w:t>
      </w:r>
      <w:r w:rsidRPr="00DA42F5">
        <w:rPr>
          <w:rFonts w:cs="Times New Roman"/>
          <w:szCs w:val="24"/>
        </w:rPr>
        <w:t xml:space="preserve"> </w:t>
      </w:r>
      <w:commentRangeStart w:id="206"/>
      <w:commentRangeStart w:id="207"/>
      <w:ins w:id="208" w:author="Urša Miklavčič" w:date="2026-01-29T14:57:00Z" w16du:dateUtc="2026-01-29T13:57:00Z">
        <w:r w:rsidR="003E5633" w:rsidRPr="00DA42F5">
          <w:rPr>
            <w:rFonts w:cs="Times New Roman"/>
            <w:szCs w:val="24"/>
          </w:rPr>
          <w:t>The population consist</w:t>
        </w:r>
        <w:r w:rsidR="003E5633">
          <w:rPr>
            <w:rFonts w:cs="Times New Roman"/>
            <w:szCs w:val="24"/>
          </w:rPr>
          <w:t>ed</w:t>
        </w:r>
        <w:r w:rsidR="003E5633" w:rsidRPr="00DA42F5">
          <w:rPr>
            <w:rFonts w:cs="Times New Roman"/>
            <w:szCs w:val="24"/>
          </w:rPr>
          <w:t xml:space="preserve"> of healthy adult males, with a BMI between 18 and 33</w:t>
        </w:r>
        <w:r w:rsidR="003E5633">
          <w:rPr>
            <w:rFonts w:cs="Times New Roman"/>
            <w:szCs w:val="24"/>
          </w:rPr>
          <w:t xml:space="preserve">. </w:t>
        </w:r>
        <w:r w:rsidR="003E5633" w:rsidRPr="00DA42F5">
          <w:rPr>
            <w:rFonts w:cs="Times New Roman"/>
            <w:szCs w:val="24"/>
          </w:rPr>
          <w:t>All except one individual follow</w:t>
        </w:r>
        <w:r w:rsidR="003E5633">
          <w:rPr>
            <w:rFonts w:cs="Times New Roman"/>
            <w:szCs w:val="24"/>
          </w:rPr>
          <w:t>ed</w:t>
        </w:r>
        <w:r w:rsidR="003E5633" w:rsidRPr="00DA42F5">
          <w:rPr>
            <w:rFonts w:cs="Times New Roman"/>
            <w:szCs w:val="24"/>
          </w:rPr>
          <w:t xml:space="preserve"> an omnivorous diet (participant I follow</w:t>
        </w:r>
        <w:r w:rsidR="003E5633">
          <w:rPr>
            <w:rFonts w:cs="Times New Roman"/>
            <w:szCs w:val="24"/>
          </w:rPr>
          <w:t>ed</w:t>
        </w:r>
        <w:r w:rsidR="003E5633" w:rsidRPr="00DA42F5">
          <w:rPr>
            <w:rFonts w:cs="Times New Roman"/>
            <w:szCs w:val="24"/>
          </w:rPr>
          <w:t xml:space="preserve"> a lactose-free omnivorous diet). All participants report</w:t>
        </w:r>
        <w:r w:rsidR="003E5633">
          <w:rPr>
            <w:rFonts w:cs="Times New Roman"/>
            <w:szCs w:val="24"/>
          </w:rPr>
          <w:t>ed</w:t>
        </w:r>
        <w:r w:rsidR="003E5633" w:rsidRPr="00DA42F5">
          <w:rPr>
            <w:rFonts w:cs="Times New Roman"/>
            <w:szCs w:val="24"/>
          </w:rPr>
          <w:t xml:space="preserve"> regular digestion, with Bristol stool types ranging from 2 to 4. The use of regular food supplements varies, including omega-3 (A, I), protein powder (C, D, G), and probiotic yoghurt (D). Only participant I consistently consumed probiotics (</w:t>
        </w:r>
        <w:proofErr w:type="spellStart"/>
        <w:r w:rsidR="003E5633" w:rsidRPr="00DA42F5">
          <w:rPr>
            <w:rFonts w:cs="Times New Roman"/>
            <w:szCs w:val="24"/>
          </w:rPr>
          <w:t>Vivomox</w:t>
        </w:r>
        <w:proofErr w:type="spellEnd"/>
        <w:r w:rsidR="003E5633" w:rsidRPr="00DA42F5">
          <w:rPr>
            <w:rFonts w:cs="Times New Roman"/>
            <w:szCs w:val="24"/>
          </w:rPr>
          <w:t xml:space="preserve">, </w:t>
        </w:r>
        <w:proofErr w:type="spellStart"/>
        <w:r w:rsidR="003E5633" w:rsidRPr="00DA42F5">
          <w:rPr>
            <w:rFonts w:cs="Times New Roman"/>
            <w:szCs w:val="24"/>
          </w:rPr>
          <w:t>EkoŠkrnicl</w:t>
        </w:r>
        <w:proofErr w:type="spellEnd"/>
        <w:r w:rsidR="003E5633" w:rsidRPr="00DA42F5">
          <w:rPr>
            <w:rFonts w:cs="Times New Roman"/>
            <w:szCs w:val="24"/>
          </w:rPr>
          <w:t xml:space="preserve"> </w:t>
        </w:r>
        <w:proofErr w:type="spellStart"/>
        <w:r w:rsidR="003E5633" w:rsidRPr="00DA42F5">
          <w:rPr>
            <w:rFonts w:cs="Times New Roman"/>
            <w:szCs w:val="24"/>
          </w:rPr>
          <w:t>Unibiotic</w:t>
        </w:r>
        <w:proofErr w:type="spellEnd"/>
        <w:r w:rsidR="003E5633" w:rsidRPr="00DA42F5">
          <w:rPr>
            <w:rFonts w:cs="Times New Roman"/>
            <w:szCs w:val="24"/>
          </w:rPr>
          <w:t xml:space="preserve"> Strong). Others reported probiotic supplementation overlapping with antibiotic use, travel, or food poisoning. Participants E and H consumed antibiotics during the study – doxycycline and amoxicillin, respectively. Participants reported only travel longer than three days outside their country of residence. Most reported visits were to other European countries: Croatia (A, B, F, G, H), the UK (C), Switzerland and the Netherlands (D). However, one individual also travelled to Tanzania and Kenya (B).</w:t>
        </w:r>
        <w:commentRangeEnd w:id="206"/>
        <w:r w:rsidR="003E5633" w:rsidRPr="00DA42F5">
          <w:rPr>
            <w:rStyle w:val="CommentReference"/>
          </w:rPr>
          <w:commentReference w:id="206"/>
        </w:r>
        <w:commentRangeEnd w:id="207"/>
        <w:r w:rsidR="003E5633" w:rsidRPr="00DA42F5">
          <w:rPr>
            <w:rStyle w:val="CommentReference"/>
          </w:rPr>
          <w:commentReference w:id="207"/>
        </w:r>
      </w:ins>
    </w:p>
    <w:p w14:paraId="7A8EB664" w14:textId="4137345A" w:rsidR="008624F9" w:rsidRDefault="009B0CC2" w:rsidP="005E294F">
      <w:pPr>
        <w:rPr>
          <w:rFonts w:cs="Times New Roman"/>
          <w:szCs w:val="24"/>
        </w:rPr>
      </w:pPr>
      <w:r w:rsidRPr="00DA42F5">
        <w:rPr>
          <w:rFonts w:cs="Times New Roman"/>
          <w:szCs w:val="24"/>
        </w:rPr>
        <w:t>DNA</w:t>
      </w:r>
      <w:r w:rsidR="009301C0" w:rsidRPr="00DA42F5">
        <w:rPr>
          <w:rFonts w:cs="Times New Roman"/>
          <w:szCs w:val="24"/>
        </w:rPr>
        <w:t xml:space="preserve"> was isolated</w:t>
      </w:r>
      <w:r w:rsidR="005063E4" w:rsidRPr="00DA42F5">
        <w:rPr>
          <w:rFonts w:cs="Times New Roman"/>
          <w:szCs w:val="24"/>
        </w:rPr>
        <w:t xml:space="preserve"> </w:t>
      </w:r>
      <w:r w:rsidRPr="00DA42F5">
        <w:rPr>
          <w:rFonts w:cs="Times New Roman"/>
          <w:szCs w:val="24"/>
        </w:rPr>
        <w:t>from</w:t>
      </w:r>
      <w:r w:rsidR="005063E4" w:rsidRPr="00DA42F5">
        <w:rPr>
          <w:rFonts w:cs="Times New Roman"/>
          <w:szCs w:val="24"/>
        </w:rPr>
        <w:t xml:space="preserve"> </w:t>
      </w:r>
      <w:r w:rsidR="0041006B" w:rsidRPr="00DA42F5">
        <w:rPr>
          <w:rFonts w:cs="Times New Roman"/>
          <w:szCs w:val="24"/>
        </w:rPr>
        <w:t>untreated</w:t>
      </w:r>
      <w:r w:rsidRPr="00DA42F5">
        <w:rPr>
          <w:rFonts w:cs="Times New Roman"/>
          <w:szCs w:val="24"/>
        </w:rPr>
        <w:t xml:space="preserve"> </w:t>
      </w:r>
      <w:r w:rsidR="009301C0" w:rsidRPr="00DA42F5">
        <w:rPr>
          <w:rFonts w:cs="Times New Roman"/>
          <w:szCs w:val="24"/>
        </w:rPr>
        <w:t>stool sample</w:t>
      </w:r>
      <w:r w:rsidR="00A55D4B" w:rsidRPr="00DA42F5">
        <w:rPr>
          <w:rFonts w:cs="Times New Roman"/>
          <w:szCs w:val="24"/>
        </w:rPr>
        <w:t>s</w:t>
      </w:r>
      <w:r w:rsidR="009301C0" w:rsidRPr="00DA42F5">
        <w:rPr>
          <w:rFonts w:cs="Times New Roman"/>
          <w:szCs w:val="24"/>
        </w:rPr>
        <w:t xml:space="preserve"> </w:t>
      </w:r>
      <w:commentRangeStart w:id="209"/>
      <w:r w:rsidRPr="00DA42F5">
        <w:rPr>
          <w:rFonts w:cs="Times New Roman"/>
          <w:szCs w:val="24"/>
        </w:rPr>
        <w:t>and from ethano</w:t>
      </w:r>
      <w:r w:rsidR="00253CCD">
        <w:rPr>
          <w:rFonts w:cs="Times New Roman"/>
          <w:szCs w:val="24"/>
        </w:rPr>
        <w:t>l treated samples</w:t>
      </w:r>
      <w:r w:rsidRPr="00DA42F5">
        <w:rPr>
          <w:rFonts w:cs="Times New Roman"/>
          <w:szCs w:val="24"/>
        </w:rPr>
        <w:t>.</w:t>
      </w:r>
      <w:commentRangeEnd w:id="209"/>
      <w:r w:rsidR="0041006B" w:rsidRPr="00DA42F5">
        <w:rPr>
          <w:rStyle w:val="CommentReference"/>
        </w:rPr>
        <w:commentReference w:id="209"/>
      </w:r>
      <w:r w:rsidRPr="00DA42F5">
        <w:rPr>
          <w:rFonts w:cs="Times New Roman"/>
          <w:szCs w:val="24"/>
        </w:rPr>
        <w:t xml:space="preserve"> </w:t>
      </w:r>
      <w:r w:rsidR="00A55D4B" w:rsidRPr="00DA42F5">
        <w:rPr>
          <w:rFonts w:cs="Times New Roman"/>
          <w:szCs w:val="24"/>
        </w:rPr>
        <w:t>Of</w:t>
      </w:r>
      <w:r w:rsidR="005E294F" w:rsidRPr="00DA42F5">
        <w:rPr>
          <w:rFonts w:cs="Times New Roman"/>
          <w:szCs w:val="24"/>
        </w:rPr>
        <w:t xml:space="preserve"> </w:t>
      </w:r>
      <w:r w:rsidR="0041006B" w:rsidRPr="00DA42F5">
        <w:rPr>
          <w:rFonts w:cs="Times New Roman"/>
          <w:szCs w:val="24"/>
        </w:rPr>
        <w:t xml:space="preserve">all </w:t>
      </w:r>
      <w:r w:rsidR="005E294F" w:rsidRPr="00DA42F5">
        <w:rPr>
          <w:rFonts w:cs="Times New Roman"/>
          <w:szCs w:val="24"/>
        </w:rPr>
        <w:t xml:space="preserve">234 samples (117 </w:t>
      </w:r>
      <w:r w:rsidR="00F950DC">
        <w:rPr>
          <w:rFonts w:cs="Times New Roman"/>
          <w:szCs w:val="24"/>
        </w:rPr>
        <w:t>untreated</w:t>
      </w:r>
      <w:r w:rsidR="005E294F" w:rsidRPr="00DA42F5">
        <w:rPr>
          <w:rFonts w:cs="Times New Roman"/>
          <w:szCs w:val="24"/>
        </w:rPr>
        <w:t xml:space="preserve"> and 117 ethanol treated</w:t>
      </w:r>
      <w:r w:rsidR="00F950DC">
        <w:rPr>
          <w:rFonts w:cs="Times New Roman"/>
          <w:szCs w:val="24"/>
        </w:rPr>
        <w:t xml:space="preserve"> samples</w:t>
      </w:r>
      <w:r w:rsidR="005E294F" w:rsidRPr="00DA42F5">
        <w:rPr>
          <w:rFonts w:cs="Times New Roman"/>
          <w:szCs w:val="24"/>
        </w:rPr>
        <w:t>)</w:t>
      </w:r>
      <w:r w:rsidR="00A55D4B" w:rsidRPr="00DA42F5">
        <w:rPr>
          <w:rFonts w:cs="Times New Roman"/>
          <w:szCs w:val="24"/>
        </w:rPr>
        <w:t xml:space="preserve">, </w:t>
      </w:r>
      <w:r w:rsidR="005E294F" w:rsidRPr="00DA42F5">
        <w:rPr>
          <w:rFonts w:cs="Times New Roman"/>
          <w:szCs w:val="24"/>
        </w:rPr>
        <w:t xml:space="preserve">we successfully sequenced 201 </w:t>
      </w:r>
      <w:r w:rsidR="0041006B" w:rsidRPr="00DA42F5">
        <w:rPr>
          <w:rFonts w:cs="Times New Roman"/>
          <w:szCs w:val="24"/>
        </w:rPr>
        <w:t xml:space="preserve">samples </w:t>
      </w:r>
      <w:r w:rsidR="009301C0" w:rsidRPr="00DA42F5">
        <w:rPr>
          <w:rFonts w:cs="Times New Roman"/>
          <w:szCs w:val="24"/>
        </w:rPr>
        <w:t xml:space="preserve">using shotgun metagenomic sequencing </w:t>
      </w:r>
      <w:r w:rsidR="005E294F" w:rsidRPr="00DA42F5">
        <w:rPr>
          <w:rFonts w:cs="Times New Roman"/>
          <w:szCs w:val="24"/>
        </w:rPr>
        <w:t xml:space="preserve">(116 </w:t>
      </w:r>
      <w:r w:rsidR="00F950DC">
        <w:rPr>
          <w:rFonts w:cs="Times New Roman"/>
          <w:szCs w:val="24"/>
        </w:rPr>
        <w:t>untreated</w:t>
      </w:r>
      <w:r w:rsidR="00F950DC" w:rsidRPr="00DA42F5">
        <w:rPr>
          <w:rFonts w:cs="Times New Roman"/>
          <w:szCs w:val="24"/>
        </w:rPr>
        <w:t xml:space="preserve"> </w:t>
      </w:r>
      <w:r w:rsidR="005E294F" w:rsidRPr="00DA42F5">
        <w:rPr>
          <w:rFonts w:cs="Times New Roman"/>
          <w:szCs w:val="24"/>
        </w:rPr>
        <w:t>and 85 ethanol treated</w:t>
      </w:r>
      <w:r w:rsidR="00F950DC">
        <w:rPr>
          <w:rFonts w:cs="Times New Roman"/>
          <w:szCs w:val="24"/>
        </w:rPr>
        <w:t xml:space="preserve"> samples</w:t>
      </w:r>
      <w:r w:rsidR="005E294F" w:rsidRPr="00DA42F5">
        <w:rPr>
          <w:rFonts w:cs="Times New Roman"/>
          <w:szCs w:val="24"/>
        </w:rPr>
        <w:t xml:space="preserve">) and </w:t>
      </w:r>
      <w:r w:rsidR="004C129A" w:rsidRPr="00DA42F5">
        <w:rPr>
          <w:rFonts w:cs="Times New Roman"/>
          <w:szCs w:val="24"/>
        </w:rPr>
        <w:t xml:space="preserve">all </w:t>
      </w:r>
      <w:r w:rsidR="005E294F" w:rsidRPr="00DA42F5">
        <w:rPr>
          <w:rFonts w:cs="Times New Roman"/>
          <w:szCs w:val="24"/>
        </w:rPr>
        <w:t>23</w:t>
      </w:r>
      <w:r w:rsidR="004C129A" w:rsidRPr="00DA42F5">
        <w:rPr>
          <w:rFonts w:cs="Times New Roman"/>
          <w:szCs w:val="24"/>
        </w:rPr>
        <w:t>4</w:t>
      </w:r>
      <w:r w:rsidR="005E294F" w:rsidRPr="00DA42F5">
        <w:rPr>
          <w:rFonts w:cs="Times New Roman"/>
          <w:szCs w:val="24"/>
        </w:rPr>
        <w:t xml:space="preserve"> </w:t>
      </w:r>
      <w:r w:rsidR="009301C0" w:rsidRPr="00DA42F5">
        <w:rPr>
          <w:rFonts w:cs="Times New Roman"/>
          <w:szCs w:val="24"/>
        </w:rPr>
        <w:t>samples using</w:t>
      </w:r>
      <w:r w:rsidR="005E294F" w:rsidRPr="00DA42F5">
        <w:rPr>
          <w:rFonts w:cs="Times New Roman"/>
          <w:szCs w:val="24"/>
        </w:rPr>
        <w:t xml:space="preserve"> amplicon sequencing (Supplement Table</w:t>
      </w:r>
      <w:r w:rsidR="005B6BC0" w:rsidRPr="00DA42F5">
        <w:rPr>
          <w:rFonts w:cs="Times New Roman"/>
          <w:szCs w:val="24"/>
        </w:rPr>
        <w:t xml:space="preserve"> 4</w:t>
      </w:r>
      <w:r w:rsidR="005E294F" w:rsidRPr="00DA42F5">
        <w:rPr>
          <w:rFonts w:cs="Times New Roman"/>
          <w:szCs w:val="24"/>
        </w:rPr>
        <w:t>).</w:t>
      </w:r>
      <w:r w:rsidR="004247C3" w:rsidRPr="00DA42F5">
        <w:rPr>
          <w:rFonts w:cs="Times New Roman"/>
          <w:szCs w:val="24"/>
        </w:rPr>
        <w:t xml:space="preserve"> </w:t>
      </w:r>
      <w:r w:rsidR="00724A8D" w:rsidRPr="00DA42F5">
        <w:rPr>
          <w:rFonts w:cs="Times New Roman"/>
          <w:szCs w:val="24"/>
        </w:rPr>
        <w:t>The</w:t>
      </w:r>
      <w:r w:rsidRPr="00DA42F5">
        <w:rPr>
          <w:rFonts w:cs="Times New Roman"/>
          <w:szCs w:val="24"/>
        </w:rPr>
        <w:t xml:space="preserve"> </w:t>
      </w:r>
      <w:r w:rsidR="009301C0" w:rsidRPr="00DA42F5">
        <w:rPr>
          <w:rFonts w:cs="Times New Roman"/>
          <w:szCs w:val="24"/>
        </w:rPr>
        <w:t>two</w:t>
      </w:r>
      <w:r w:rsidR="00724A8D" w:rsidRPr="00DA42F5">
        <w:rPr>
          <w:rFonts w:cs="Times New Roman"/>
          <w:szCs w:val="24"/>
        </w:rPr>
        <w:t xml:space="preserve"> </w:t>
      </w:r>
      <w:r w:rsidRPr="00DA42F5">
        <w:rPr>
          <w:rFonts w:cs="Times New Roman"/>
          <w:szCs w:val="24"/>
        </w:rPr>
        <w:t xml:space="preserve">sequencing approaches </w:t>
      </w:r>
      <w:r w:rsidR="009301C0" w:rsidRPr="00DA42F5">
        <w:rPr>
          <w:rFonts w:cs="Times New Roman"/>
          <w:szCs w:val="24"/>
        </w:rPr>
        <w:t xml:space="preserve">provided complementary </w:t>
      </w:r>
      <w:r w:rsidR="0041006B" w:rsidRPr="00DA42F5">
        <w:rPr>
          <w:rFonts w:cs="Times New Roman"/>
          <w:szCs w:val="24"/>
        </w:rPr>
        <w:t>results</w:t>
      </w:r>
      <w:r w:rsidRPr="00DA42F5">
        <w:rPr>
          <w:rFonts w:cs="Times New Roman"/>
          <w:szCs w:val="24"/>
        </w:rPr>
        <w:t xml:space="preserve">. Amplicon sequencing </w:t>
      </w:r>
      <w:r w:rsidR="00712C14" w:rsidRPr="00DA42F5">
        <w:rPr>
          <w:rFonts w:cs="Times New Roman"/>
          <w:szCs w:val="24"/>
        </w:rPr>
        <w:t>offers</w:t>
      </w:r>
      <w:r w:rsidRPr="00DA42F5">
        <w:rPr>
          <w:rFonts w:cs="Times New Roman"/>
          <w:szCs w:val="24"/>
        </w:rPr>
        <w:t xml:space="preserve"> greater depth but lower </w:t>
      </w:r>
      <w:r w:rsidR="009301C0" w:rsidRPr="00DA42F5">
        <w:rPr>
          <w:rFonts w:cs="Times New Roman"/>
          <w:szCs w:val="24"/>
        </w:rPr>
        <w:t xml:space="preserve">taxonomic </w:t>
      </w:r>
      <w:r w:rsidR="004247C3" w:rsidRPr="00DA42F5">
        <w:rPr>
          <w:rFonts w:cs="Times New Roman"/>
          <w:szCs w:val="24"/>
        </w:rPr>
        <w:t>resolution</w:t>
      </w:r>
      <w:r w:rsidR="009301C0" w:rsidRPr="00DA42F5">
        <w:rPr>
          <w:rFonts w:cs="Times New Roman"/>
          <w:szCs w:val="24"/>
        </w:rPr>
        <w:t>, while s</w:t>
      </w:r>
      <w:r w:rsidRPr="00DA42F5">
        <w:rPr>
          <w:rFonts w:cs="Times New Roman"/>
          <w:szCs w:val="24"/>
        </w:rPr>
        <w:t>hotgun metagenomic sequencing</w:t>
      </w:r>
      <w:r w:rsidR="00AE3DD6" w:rsidRPr="00DA42F5">
        <w:rPr>
          <w:rFonts w:cs="Times New Roman"/>
          <w:szCs w:val="24"/>
        </w:rPr>
        <w:t>,</w:t>
      </w:r>
      <w:r w:rsidRPr="00DA42F5">
        <w:rPr>
          <w:rFonts w:cs="Times New Roman"/>
          <w:szCs w:val="24"/>
        </w:rPr>
        <w:t xml:space="preserve"> despite </w:t>
      </w:r>
      <w:r w:rsidR="00A55D4B" w:rsidRPr="00DA42F5">
        <w:rPr>
          <w:rFonts w:cs="Times New Roman"/>
          <w:szCs w:val="24"/>
        </w:rPr>
        <w:t>its high</w:t>
      </w:r>
      <w:r w:rsidRPr="00DA42F5">
        <w:rPr>
          <w:rFonts w:cs="Times New Roman"/>
          <w:szCs w:val="24"/>
        </w:rPr>
        <w:t xml:space="preserve"> sequencing depth</w:t>
      </w:r>
      <w:r w:rsidR="009301C0" w:rsidRPr="00DA42F5">
        <w:rPr>
          <w:rFonts w:cs="Times New Roman"/>
          <w:szCs w:val="24"/>
        </w:rPr>
        <w:t>, is less sensitive to low-</w:t>
      </w:r>
      <w:r w:rsidR="004E49B9" w:rsidRPr="00DA42F5">
        <w:rPr>
          <w:rFonts w:cs="Times New Roman"/>
          <w:szCs w:val="24"/>
        </w:rPr>
        <w:t>abundan</w:t>
      </w:r>
      <w:r w:rsidR="00643FE9" w:rsidRPr="00DA42F5">
        <w:rPr>
          <w:rFonts w:cs="Times New Roman"/>
          <w:szCs w:val="24"/>
        </w:rPr>
        <w:t>ce</w:t>
      </w:r>
      <w:r w:rsidR="004E49B9" w:rsidRPr="00DA42F5">
        <w:rPr>
          <w:rFonts w:cs="Times New Roman"/>
          <w:szCs w:val="24"/>
        </w:rPr>
        <w:t xml:space="preserve"> </w:t>
      </w:r>
      <w:r w:rsidR="009301C0" w:rsidRPr="00DA42F5">
        <w:rPr>
          <w:rFonts w:cs="Times New Roman"/>
          <w:szCs w:val="24"/>
        </w:rPr>
        <w:t>organisms but allow</w:t>
      </w:r>
      <w:r w:rsidR="004C129A" w:rsidRPr="00DA42F5">
        <w:rPr>
          <w:rFonts w:cs="Times New Roman"/>
          <w:szCs w:val="24"/>
        </w:rPr>
        <w:t xml:space="preserve">s </w:t>
      </w:r>
      <w:r w:rsidR="00A55D4B" w:rsidRPr="00DA42F5">
        <w:rPr>
          <w:rFonts w:cs="Times New Roman"/>
          <w:szCs w:val="24"/>
        </w:rPr>
        <w:t xml:space="preserve">both </w:t>
      </w:r>
      <w:r w:rsidR="009301C0" w:rsidRPr="00DA42F5">
        <w:rPr>
          <w:rFonts w:cs="Times New Roman"/>
          <w:szCs w:val="24"/>
        </w:rPr>
        <w:t xml:space="preserve">functional </w:t>
      </w:r>
      <w:r w:rsidR="00A55D4B" w:rsidRPr="00DA42F5">
        <w:rPr>
          <w:rFonts w:cs="Times New Roman"/>
          <w:szCs w:val="24"/>
        </w:rPr>
        <w:t>and</w:t>
      </w:r>
      <w:r w:rsidR="009301C0" w:rsidRPr="00DA42F5">
        <w:rPr>
          <w:rFonts w:cs="Times New Roman"/>
          <w:szCs w:val="24"/>
        </w:rPr>
        <w:t xml:space="preserve"> taxonomic profiling </w:t>
      </w:r>
      <w:r w:rsidR="00777E42" w:rsidRPr="00DA42F5">
        <w:rPr>
          <w:rFonts w:cs="Times New Roman"/>
          <w:szCs w:val="24"/>
        </w:rPr>
        <w:fldChar w:fldCharType="begin"/>
      </w:r>
      <w:r w:rsidR="00494014">
        <w:rPr>
          <w:rFonts w:cs="Times New Roman"/>
          <w:szCs w:val="24"/>
        </w:rPr>
        <w:instrText xml:space="preserve"> ADDIN ZOTERO_ITEM CSL_CITATION {"citationID":"kzxOKozc","properties":{"formattedCitation":"(Clooney et al., 2016; Jovel et al., 2016)","plainCitation":"(Clooney et al., 2016; Jovel et al., 2016)","noteIndex":0},"citationItems":[{"id":3430,"uris":["http://zotero.org/users/8873894/items/5LZFDQCP"],"itemData":{"id":3430,"type":"article-journal","abstract":"Rapid advancements in sequencing technologies along with falling costs present widespread opportunities for microbiome studies across a vast and diverse array of environments. These impressive technological developments have been accompanied by a considerable growth in the number of methodological variables, including sampling, storage, DNA extraction, primer pairs, sequencing technology, chemistry version, read length, insert size, and analysis pipelines, amongst others. This increase in variability threatens to compromise both the reproducibility and the comparability of studies conducted. Here we perform the first reported study comparing both amplicon and shotgun sequencing for the three leading next-generation sequencing technologies. These were applied to six human stool samples using Illumina HiSeq, MiSeq and Ion PGM shotgun sequencing, as well as amplicon sequencing across two variable 16S rRNA gene regions. Notably, we found that the factor responsible for the greatest variance in microbiota composition was the chosen methodology rather than the natural inter-individual variance, which is commonly one of the most significant drivers in microbiome studies. Amplicon sequencing suffered from this to a large extent, and this issue was particularly apparent when the 16S rRNA V1-V2 region amplicons were sequenced with MiSeq. Somewhat surprisingly, the choice of taxonomic binning software for shotgun sequences proved to be of crucial importance with even greater discriminatory power than sequencing technology and choice of amplicon. Optimal N50 assembly values for the HiSeq was obtained for 10 million reads per sample, whereas the applied MiSeq and PGM sequencing depths proved less sufficient for shotgun sequencing of stool samples. The latter technologies, on the other hand, provide a better basis for functional gene categorisation, possibly due to their longer read lengths. Hence, in addition to highlighting methodological biases, this study demonstrates the risks associated with comparing data generated using different strategies. We also recommend that laboratories with particular interests in certain microbes should optimise their protocols to accurately detect these taxa using different techniques.","container-title":"PloS One","DOI":"10.1371/journal.pone.0148028","ISSN":"1932-6203","issue":"2","journalAbbreviation":"PLoS One","language":"eng","page":"e0148028","PMID":"26849217","PMCID":"PMC4746063","source":"PubMed","title":"Comparing Apples and Oranges?: Next Generation Sequencing and Its Impact on Microbiome Analysis","title-short":"Comparing Apples and Oranges?","volume":"11","author":[{"family":"Clooney","given":"Adam G."},{"family":"Fouhy","given":"Fiona"},{"family":"Sleator","given":"Roy D."},{"family":"O' Driscoll","given":"Aisling"},{"family":"Stanton","given":"Catherine"},{"family":"Cotter","given":"Paul D."},{"family":"Claesson","given":"Marcus J."}],"issued":{"date-parts":[["2016"]]}}},{"id":3427,"uris":["http://zotero.org/users/8873894/items/Q4DDC2PG"],"itemData":{"id":3427,"type":"article-journal","abstract":"The advent of next generation sequencing (NGS) has enabled investigations of the gut microbiome with unprecedented resolution and throughput. This has stimulated the development of sophisticated bioinformatics tools to analyze the massive amounts of data generated. Researchers therefore need a clear understanding of the key concepts required for the design, execution and interpretation of NGS experiments on microbiomes. We conducted a literature review and used our own data to determine which approaches work best. The two main approaches for analyzing the microbiome, 16S ribosomal RNA (rRNA) gene amplicons and shotgun metagenomics, are illustrated with analyses of libraries designed to highlight their strengths and weaknesses. Several methods for taxonomic classification of bacterial sequences are discussed. We present simulations to assess the number of sequences that are required to perform reliable appraisals of bacterial community structure. To the extent that fluctuations in the diversity of gut bacterial populations correlate with health and disease, we emphasize various techniques for the analysis of bacterial communities within samples (α-diversity) and between samples (β-diversity). Finally, we demonstrate techniques to infer the metabolic capabilities of a bacteria community from these 16S and shotgun data.","container-title":"Frontiers in Microbiology","DOI":"10.3389/fmicb.2016.00459","ISSN":"1664-302X","journalAbbreviation":"Front Microbiol","language":"eng","page":"459","PMID":"27148170","PMCID":"PMC4837688","source":"PubMed","title":"Characterization of the Gut Microbiome Using 16S or Shotgun Metagenomics","volume":"7","author":[{"family":"Jovel","given":"Juan"},{"family":"Patterson","given":"Jordan"},{"family":"Wang","given":"Weiwei"},{"family":"Hotte","given":"Naomi"},{"family":"O'Keefe","given":"Sandra"},{"family":"Mitchel","given":"Troy"},{"family":"Perry","given":"Troy"},{"family":"Kao","given":"Dina"},{"family":"Mason","given":"Andrew L."},{"family":"Madsen","given":"Karen L."},{"family":"Wong","given":"Gane K.-S."}],"issued":{"date-parts":[["2016"]]}}}],"schema":"https://github.com/citation-style-language/schema/raw/master/csl-citation.json"} </w:instrText>
      </w:r>
      <w:r w:rsidR="00777E42" w:rsidRPr="00DA42F5">
        <w:rPr>
          <w:rFonts w:cs="Times New Roman"/>
          <w:szCs w:val="24"/>
        </w:rPr>
        <w:fldChar w:fldCharType="separate"/>
      </w:r>
      <w:r w:rsidR="00777E42" w:rsidRPr="00DA42F5">
        <w:rPr>
          <w:rFonts w:cs="Times New Roman"/>
        </w:rPr>
        <w:t>(Clooney et al., 2016; Jovel et al., 2016)</w:t>
      </w:r>
      <w:r w:rsidR="00777E42" w:rsidRPr="00DA42F5">
        <w:rPr>
          <w:rFonts w:cs="Times New Roman"/>
          <w:szCs w:val="24"/>
        </w:rPr>
        <w:fldChar w:fldCharType="end"/>
      </w:r>
      <w:r w:rsidR="009301C0" w:rsidRPr="00DA42F5">
        <w:rPr>
          <w:rFonts w:cs="Times New Roman"/>
          <w:szCs w:val="24"/>
        </w:rPr>
        <w:t xml:space="preserve">. </w:t>
      </w:r>
    </w:p>
    <w:p w14:paraId="2904B523" w14:textId="663E0D19" w:rsidR="00643FE9" w:rsidRPr="00DA42F5" w:rsidRDefault="004E49B9" w:rsidP="005E294F">
      <w:pPr>
        <w:rPr>
          <w:rFonts w:cs="Times New Roman"/>
          <w:szCs w:val="24"/>
        </w:rPr>
      </w:pPr>
      <w:r w:rsidRPr="00DA42F5">
        <w:rPr>
          <w:rFonts w:cs="Times New Roman"/>
          <w:szCs w:val="24"/>
        </w:rPr>
        <w:t xml:space="preserve">In </w:t>
      </w:r>
      <w:r w:rsidR="00643FE9" w:rsidRPr="00DA42F5">
        <w:rPr>
          <w:rFonts w:cs="Times New Roman"/>
          <w:szCs w:val="24"/>
        </w:rPr>
        <w:t xml:space="preserve">the </w:t>
      </w:r>
      <w:r w:rsidR="00DA3ACF" w:rsidRPr="00DA42F5">
        <w:rPr>
          <w:rFonts w:cs="Times New Roman"/>
          <w:szCs w:val="24"/>
        </w:rPr>
        <w:t>shotgun</w:t>
      </w:r>
      <w:r w:rsidRPr="00DA42F5">
        <w:rPr>
          <w:rFonts w:cs="Times New Roman"/>
          <w:szCs w:val="24"/>
        </w:rPr>
        <w:t xml:space="preserve"> data, b</w:t>
      </w:r>
      <w:r w:rsidR="005E294F" w:rsidRPr="00DA42F5">
        <w:rPr>
          <w:rFonts w:cs="Times New Roman"/>
          <w:szCs w:val="24"/>
        </w:rPr>
        <w:t>ased on sequence alignment and</w:t>
      </w:r>
      <w:r w:rsidR="00A55D4B" w:rsidRPr="00DA42F5">
        <w:rPr>
          <w:rFonts w:cs="Times New Roman"/>
          <w:szCs w:val="24"/>
        </w:rPr>
        <w:t xml:space="preserve"> the</w:t>
      </w:r>
      <w:r w:rsidR="005E294F" w:rsidRPr="00DA42F5">
        <w:rPr>
          <w:rFonts w:cs="Times New Roman"/>
          <w:szCs w:val="24"/>
        </w:rPr>
        <w:t xml:space="preserve"> last</w:t>
      </w:r>
      <w:r w:rsidR="00A55D4B" w:rsidRPr="00DA42F5">
        <w:rPr>
          <w:rFonts w:cs="Times New Roman"/>
          <w:szCs w:val="24"/>
        </w:rPr>
        <w:t xml:space="preserve"> </w:t>
      </w:r>
      <w:r w:rsidR="005E294F" w:rsidRPr="00DA42F5">
        <w:rPr>
          <w:rFonts w:cs="Times New Roman"/>
          <w:szCs w:val="24"/>
        </w:rPr>
        <w:t>common ancestor (</w:t>
      </w:r>
      <w:proofErr w:type="spellStart"/>
      <w:r w:rsidR="005E294F" w:rsidRPr="00DA42F5">
        <w:rPr>
          <w:rFonts w:cs="Times New Roman"/>
          <w:szCs w:val="24"/>
        </w:rPr>
        <w:t>LCA</w:t>
      </w:r>
      <w:proofErr w:type="spellEnd"/>
      <w:r w:rsidR="005E294F" w:rsidRPr="00DA42F5">
        <w:rPr>
          <w:rFonts w:cs="Times New Roman"/>
          <w:szCs w:val="24"/>
        </w:rPr>
        <w:t xml:space="preserve">) algorithm we </w:t>
      </w:r>
      <w:r w:rsidR="00A55D4B" w:rsidRPr="00DA42F5">
        <w:rPr>
          <w:rFonts w:cs="Times New Roman"/>
          <w:szCs w:val="24"/>
        </w:rPr>
        <w:t xml:space="preserve">determined the </w:t>
      </w:r>
      <w:r w:rsidR="008624F9" w:rsidRPr="00DA42F5">
        <w:rPr>
          <w:rFonts w:cs="Times New Roman"/>
          <w:szCs w:val="24"/>
        </w:rPr>
        <w:t xml:space="preserve">taxonomy of </w:t>
      </w:r>
      <w:r w:rsidR="00A55D4B" w:rsidRPr="00DA42F5">
        <w:rPr>
          <w:rFonts w:cs="Times New Roman"/>
          <w:szCs w:val="24"/>
        </w:rPr>
        <w:t xml:space="preserve">approximately </w:t>
      </w:r>
      <w:r w:rsidR="005E294F" w:rsidRPr="00DA42F5">
        <w:rPr>
          <w:rFonts w:cs="Times New Roman"/>
          <w:szCs w:val="24"/>
        </w:rPr>
        <w:t xml:space="preserve">97% of contigs. </w:t>
      </w:r>
      <w:r w:rsidR="004C129A" w:rsidRPr="00DA42F5">
        <w:rPr>
          <w:rFonts w:cs="Times New Roman"/>
          <w:szCs w:val="24"/>
        </w:rPr>
        <w:t xml:space="preserve">Nearly </w:t>
      </w:r>
      <w:r w:rsidR="005E294F" w:rsidRPr="00DA42F5">
        <w:rPr>
          <w:rFonts w:cs="Times New Roman"/>
          <w:szCs w:val="24"/>
        </w:rPr>
        <w:t xml:space="preserve">92% of contigs </w:t>
      </w:r>
      <w:r w:rsidR="008624F9" w:rsidRPr="00DA42F5">
        <w:rPr>
          <w:rFonts w:cs="Times New Roman"/>
          <w:szCs w:val="24"/>
        </w:rPr>
        <w:t>were of</w:t>
      </w:r>
      <w:r w:rsidR="005E294F" w:rsidRPr="00DA42F5">
        <w:rPr>
          <w:rFonts w:cs="Times New Roman"/>
          <w:szCs w:val="24"/>
        </w:rPr>
        <w:t xml:space="preserve"> bacterial origin, 3% </w:t>
      </w:r>
      <w:r w:rsidR="00A55D4B" w:rsidRPr="00DA42F5">
        <w:rPr>
          <w:rFonts w:cs="Times New Roman"/>
          <w:szCs w:val="24"/>
        </w:rPr>
        <w:t>were</w:t>
      </w:r>
      <w:r w:rsidR="005E294F" w:rsidRPr="00DA42F5">
        <w:rPr>
          <w:rFonts w:cs="Times New Roman"/>
          <w:szCs w:val="24"/>
        </w:rPr>
        <w:t xml:space="preserve"> viral</w:t>
      </w:r>
      <w:r w:rsidR="00A55D4B" w:rsidRPr="00DA42F5">
        <w:rPr>
          <w:rFonts w:cs="Times New Roman"/>
          <w:szCs w:val="24"/>
        </w:rPr>
        <w:t>,</w:t>
      </w:r>
      <w:r w:rsidR="005E294F" w:rsidRPr="00DA42F5">
        <w:rPr>
          <w:rFonts w:cs="Times New Roman"/>
          <w:szCs w:val="24"/>
        </w:rPr>
        <w:t xml:space="preserve"> and around </w:t>
      </w:r>
      <w:commentRangeStart w:id="210"/>
      <w:r w:rsidR="005E294F" w:rsidRPr="00DA42F5">
        <w:rPr>
          <w:rFonts w:cs="Times New Roman"/>
          <w:szCs w:val="24"/>
        </w:rPr>
        <w:t xml:space="preserve">1% </w:t>
      </w:r>
      <w:r w:rsidR="00A55D4B" w:rsidRPr="00DA42F5">
        <w:rPr>
          <w:rFonts w:cs="Times New Roman"/>
          <w:szCs w:val="24"/>
        </w:rPr>
        <w:t>were</w:t>
      </w:r>
      <w:r w:rsidR="005E294F" w:rsidRPr="00DA42F5">
        <w:rPr>
          <w:rFonts w:cs="Times New Roman"/>
          <w:szCs w:val="24"/>
        </w:rPr>
        <w:t xml:space="preserve"> </w:t>
      </w:r>
      <w:del w:id="211" w:author="Urša Miklavčič" w:date="2026-01-28T15:21:00Z" w16du:dateUtc="2026-01-28T14:21:00Z">
        <w:r w:rsidR="005E294F" w:rsidRPr="00DA42F5" w:rsidDel="0097501B">
          <w:rPr>
            <w:rFonts w:cs="Times New Roman"/>
            <w:szCs w:val="24"/>
          </w:rPr>
          <w:delText>eukary</w:delText>
        </w:r>
        <w:r w:rsidR="00A55D4B" w:rsidRPr="00DA42F5" w:rsidDel="0097501B">
          <w:rPr>
            <w:rFonts w:cs="Times New Roman"/>
            <w:szCs w:val="24"/>
          </w:rPr>
          <w:delText>otic</w:delText>
        </w:r>
      </w:del>
      <w:ins w:id="212" w:author="Urša Miklavčič" w:date="2026-01-21T14:33:00Z" w16du:dateUtc="2026-01-21T13:33:00Z">
        <w:r w:rsidR="006F2CC2">
          <w:rPr>
            <w:rFonts w:cs="Times New Roman"/>
            <w:szCs w:val="24"/>
          </w:rPr>
          <w:t xml:space="preserve">fungi and other </w:t>
        </w:r>
      </w:ins>
      <w:ins w:id="213" w:author="Urša Miklavčič" w:date="2026-01-28T15:21:00Z" w16du:dateUtc="2026-01-28T14:21:00Z">
        <w:r w:rsidR="0097501B">
          <w:rPr>
            <w:rFonts w:cs="Times New Roman"/>
            <w:szCs w:val="24"/>
          </w:rPr>
          <w:t>eukaryotes</w:t>
        </w:r>
      </w:ins>
      <w:r w:rsidR="00A55D4B" w:rsidRPr="00DA42F5">
        <w:rPr>
          <w:rFonts w:cs="Times New Roman"/>
          <w:szCs w:val="24"/>
        </w:rPr>
        <w:t xml:space="preserve">, </w:t>
      </w:r>
      <w:commentRangeEnd w:id="210"/>
      <w:r w:rsidR="0041006B" w:rsidRPr="00DA42F5">
        <w:rPr>
          <w:rStyle w:val="CommentReference"/>
        </w:rPr>
        <w:commentReference w:id="210"/>
      </w:r>
      <w:r w:rsidR="00A55D4B" w:rsidRPr="00DA42F5">
        <w:rPr>
          <w:rFonts w:cs="Times New Roman"/>
          <w:szCs w:val="24"/>
        </w:rPr>
        <w:t xml:space="preserve">while less than </w:t>
      </w:r>
      <w:r w:rsidR="005E294F" w:rsidRPr="00DA42F5">
        <w:rPr>
          <w:rFonts w:cs="Times New Roman"/>
          <w:szCs w:val="24"/>
        </w:rPr>
        <w:t xml:space="preserve">0.4% </w:t>
      </w:r>
      <w:r w:rsidR="00A55D4B" w:rsidRPr="00DA42F5">
        <w:rPr>
          <w:rFonts w:cs="Times New Roman"/>
          <w:szCs w:val="24"/>
        </w:rPr>
        <w:t>were of</w:t>
      </w:r>
      <w:r w:rsidR="005E294F" w:rsidRPr="00DA42F5">
        <w:rPr>
          <w:rFonts w:cs="Times New Roman"/>
          <w:szCs w:val="24"/>
        </w:rPr>
        <w:t xml:space="preserve"> archaeal ancestry across all samples</w:t>
      </w:r>
      <w:r w:rsidR="00C72835" w:rsidRPr="00DA42F5">
        <w:rPr>
          <w:rFonts w:cs="Times New Roman"/>
          <w:szCs w:val="24"/>
        </w:rPr>
        <w:t xml:space="preserve"> (Figure </w:t>
      </w:r>
      <w:proofErr w:type="spellStart"/>
      <w:r w:rsidR="00C72835" w:rsidRPr="00DA42F5">
        <w:rPr>
          <w:rFonts w:cs="Times New Roman"/>
          <w:szCs w:val="24"/>
        </w:rPr>
        <w:t>5</w:t>
      </w:r>
      <w:r w:rsidR="00A55D4B" w:rsidRPr="00DA42F5">
        <w:rPr>
          <w:rFonts w:cs="Times New Roman"/>
          <w:szCs w:val="24"/>
        </w:rPr>
        <w:t>A</w:t>
      </w:r>
      <w:proofErr w:type="spellEnd"/>
      <w:r w:rsidR="00C72835" w:rsidRPr="00DA42F5">
        <w:rPr>
          <w:rFonts w:cs="Times New Roman"/>
          <w:szCs w:val="24"/>
        </w:rPr>
        <w:t>)</w:t>
      </w:r>
      <w:r w:rsidR="005E294F" w:rsidRPr="00DA42F5">
        <w:rPr>
          <w:rFonts w:cs="Times New Roman"/>
          <w:szCs w:val="24"/>
        </w:rPr>
        <w:t xml:space="preserve">. </w:t>
      </w:r>
      <w:r w:rsidR="00643FE9" w:rsidRPr="00DA42F5">
        <w:rPr>
          <w:rFonts w:cs="Times New Roman"/>
          <w:szCs w:val="24"/>
        </w:rPr>
        <w:t>For</w:t>
      </w:r>
      <w:r w:rsidR="006D7E64" w:rsidRPr="00DA42F5">
        <w:rPr>
          <w:rFonts w:cs="Times New Roman"/>
          <w:szCs w:val="24"/>
        </w:rPr>
        <w:t xml:space="preserve"> a more reliable analysis we determined the taxonomy using </w:t>
      </w:r>
      <w:proofErr w:type="spellStart"/>
      <w:r w:rsidR="006D7E64" w:rsidRPr="00DA42F5">
        <w:rPr>
          <w:rFonts w:cs="Times New Roman"/>
          <w:szCs w:val="24"/>
        </w:rPr>
        <w:t>MetaPhlAn</w:t>
      </w:r>
      <w:proofErr w:type="spellEnd"/>
      <w:r w:rsidR="006D7E64" w:rsidRPr="00DA42F5">
        <w:rPr>
          <w:rFonts w:cs="Times New Roman"/>
          <w:szCs w:val="24"/>
        </w:rPr>
        <w:t xml:space="preserve">, </w:t>
      </w:r>
      <w:r w:rsidR="004C129A" w:rsidRPr="00DA42F5">
        <w:rPr>
          <w:rFonts w:cs="Times New Roman"/>
          <w:szCs w:val="24"/>
        </w:rPr>
        <w:t xml:space="preserve">which aligns reads to a </w:t>
      </w:r>
      <w:r w:rsidR="005E294F" w:rsidRPr="00DA42F5">
        <w:rPr>
          <w:rFonts w:cs="Times New Roman"/>
          <w:szCs w:val="24"/>
        </w:rPr>
        <w:t>database of highly curated marker genes</w:t>
      </w:r>
      <w:r w:rsidR="006D7E64" w:rsidRPr="00DA42F5">
        <w:rPr>
          <w:rFonts w:cs="Times New Roman"/>
          <w:szCs w:val="24"/>
        </w:rPr>
        <w:t xml:space="preserve"> (Figure </w:t>
      </w:r>
      <w:proofErr w:type="spellStart"/>
      <w:r w:rsidR="006D7E64" w:rsidRPr="00DA42F5">
        <w:rPr>
          <w:rFonts w:cs="Times New Roman"/>
          <w:szCs w:val="24"/>
        </w:rPr>
        <w:t>5B</w:t>
      </w:r>
      <w:proofErr w:type="spellEnd"/>
      <w:r w:rsidR="006D7E64" w:rsidRPr="00DA42F5">
        <w:rPr>
          <w:rFonts w:cs="Times New Roman"/>
          <w:szCs w:val="24"/>
        </w:rPr>
        <w:t xml:space="preserve">). </w:t>
      </w:r>
      <w:r w:rsidR="008624F9" w:rsidRPr="00DA42F5">
        <w:rPr>
          <w:rFonts w:cs="Times New Roman"/>
          <w:szCs w:val="24"/>
        </w:rPr>
        <w:t>These two ap</w:t>
      </w:r>
      <w:r w:rsidR="005E294F" w:rsidRPr="00DA42F5">
        <w:rPr>
          <w:rFonts w:cs="Times New Roman"/>
          <w:szCs w:val="24"/>
        </w:rPr>
        <w:t xml:space="preserve">proaches differ </w:t>
      </w:r>
      <w:r w:rsidR="00A55D4B" w:rsidRPr="00DA42F5">
        <w:rPr>
          <w:rFonts w:cs="Times New Roman"/>
          <w:szCs w:val="24"/>
        </w:rPr>
        <w:t>in</w:t>
      </w:r>
      <w:r w:rsidR="005E294F" w:rsidRPr="00DA42F5">
        <w:rPr>
          <w:rFonts w:cs="Times New Roman"/>
          <w:szCs w:val="24"/>
        </w:rPr>
        <w:t xml:space="preserve"> reliability, </w:t>
      </w:r>
      <w:proofErr w:type="spellStart"/>
      <w:r w:rsidR="005E294F" w:rsidRPr="00DA42F5">
        <w:rPr>
          <w:rFonts w:cs="Times New Roman"/>
          <w:szCs w:val="24"/>
        </w:rPr>
        <w:t>MetaPhlAn’s</w:t>
      </w:r>
      <w:proofErr w:type="spellEnd"/>
      <w:r w:rsidR="005E294F" w:rsidRPr="00DA42F5">
        <w:rPr>
          <w:rFonts w:cs="Times New Roman"/>
          <w:szCs w:val="24"/>
        </w:rPr>
        <w:t xml:space="preserve"> curated database has</w:t>
      </w:r>
      <w:r w:rsidRPr="00DA42F5">
        <w:rPr>
          <w:rFonts w:cs="Times New Roman"/>
          <w:szCs w:val="24"/>
        </w:rPr>
        <w:t xml:space="preserve"> </w:t>
      </w:r>
      <w:r w:rsidR="005E294F" w:rsidRPr="00DA42F5">
        <w:rPr>
          <w:rFonts w:cs="Times New Roman"/>
          <w:szCs w:val="24"/>
        </w:rPr>
        <w:t xml:space="preserve">higher accuracy but can miss taxa </w:t>
      </w:r>
      <w:r w:rsidR="006D7E64" w:rsidRPr="00DA42F5">
        <w:rPr>
          <w:rFonts w:cs="Times New Roman"/>
          <w:szCs w:val="24"/>
        </w:rPr>
        <w:t>not present</w:t>
      </w:r>
      <w:r w:rsidR="005E294F" w:rsidRPr="00DA42F5">
        <w:rPr>
          <w:rFonts w:cs="Times New Roman"/>
          <w:szCs w:val="24"/>
        </w:rPr>
        <w:t xml:space="preserve"> in the database, while a non-curated database </w:t>
      </w:r>
      <w:r w:rsidR="00A55D4B" w:rsidRPr="00DA42F5">
        <w:rPr>
          <w:rFonts w:cs="Times New Roman"/>
          <w:szCs w:val="24"/>
        </w:rPr>
        <w:t>such as</w:t>
      </w:r>
      <w:r w:rsidR="005E294F" w:rsidRPr="00DA42F5">
        <w:rPr>
          <w:rFonts w:cs="Times New Roman"/>
          <w:szCs w:val="24"/>
        </w:rPr>
        <w:t xml:space="preserve"> </w:t>
      </w:r>
      <w:proofErr w:type="spellStart"/>
      <w:r w:rsidR="005E294F" w:rsidRPr="00DA42F5">
        <w:rPr>
          <w:rFonts w:cs="Times New Roman"/>
          <w:szCs w:val="24"/>
        </w:rPr>
        <w:t>NCBI</w:t>
      </w:r>
      <w:proofErr w:type="spellEnd"/>
      <w:r w:rsidR="005E294F" w:rsidRPr="00DA42F5">
        <w:rPr>
          <w:rFonts w:cs="Times New Roman"/>
          <w:szCs w:val="24"/>
        </w:rPr>
        <w:t xml:space="preserve"> can report false positive determinations. </w:t>
      </w:r>
    </w:p>
    <w:p w14:paraId="55A973CE" w14:textId="77777777" w:rsidR="00801198" w:rsidRPr="00DA42F5" w:rsidRDefault="00927C42" w:rsidP="00801198">
      <w:pPr>
        <w:keepNext/>
      </w:pPr>
      <w:r w:rsidRPr="00DA42F5">
        <w:rPr>
          <w:rFonts w:cs="Times New Roman"/>
          <w:noProof/>
          <w:szCs w:val="24"/>
        </w:rPr>
        <w:lastRenderedPageBreak/>
        <w:drawing>
          <wp:inline distT="0" distB="0" distL="0" distR="0" wp14:anchorId="1099FDA6" wp14:editId="37D7659E">
            <wp:extent cx="4550980" cy="2750820"/>
            <wp:effectExtent l="0" t="0" r="2540" b="0"/>
            <wp:docPr id="2016091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20754" t="3790"/>
                    <a:stretch/>
                  </pic:blipFill>
                  <pic:spPr bwMode="auto">
                    <a:xfrm>
                      <a:off x="0" y="0"/>
                      <a:ext cx="4607204" cy="2784804"/>
                    </a:xfrm>
                    <a:prstGeom prst="rect">
                      <a:avLst/>
                    </a:prstGeom>
                    <a:noFill/>
                    <a:ln>
                      <a:noFill/>
                    </a:ln>
                    <a:extLst>
                      <a:ext uri="{53640926-AAD7-44D8-BBD7-CCE9431645EC}">
                        <a14:shadowObscured xmlns:a14="http://schemas.microsoft.com/office/drawing/2010/main"/>
                      </a:ext>
                    </a:extLst>
                  </pic:spPr>
                </pic:pic>
              </a:graphicData>
            </a:graphic>
          </wp:inline>
        </w:drawing>
      </w:r>
    </w:p>
    <w:p w14:paraId="076578C6" w14:textId="000A8CB4" w:rsidR="007C0931" w:rsidRPr="00DA42F5" w:rsidRDefault="00801198" w:rsidP="00801198">
      <w:pPr>
        <w:pStyle w:val="Caption"/>
        <w:rPr>
          <w:b w:val="0"/>
          <w:bCs/>
        </w:rPr>
      </w:pPr>
      <w:bookmarkStart w:id="214" w:name="_Toc216101619"/>
      <w:r w:rsidRPr="00DA42F5">
        <w:t xml:space="preserve">Figure </w:t>
      </w:r>
      <w:r w:rsidRPr="00DA42F5">
        <w:fldChar w:fldCharType="begin"/>
      </w:r>
      <w:r w:rsidRPr="00DA42F5">
        <w:instrText xml:space="preserve"> SEQ Figure \* ARABIC </w:instrText>
      </w:r>
      <w:r w:rsidRPr="00DA42F5">
        <w:fldChar w:fldCharType="separate"/>
      </w:r>
      <w:r w:rsidR="00C11001">
        <w:rPr>
          <w:noProof/>
        </w:rPr>
        <w:t>5</w:t>
      </w:r>
      <w:r w:rsidRPr="00DA42F5">
        <w:fldChar w:fldCharType="end"/>
      </w:r>
      <w:r w:rsidRPr="00DA42F5">
        <w:t xml:space="preserve">. Presence of archaea, bacteria, eukaryotes, and viruses in shotgun metagenomes across all </w:t>
      </w:r>
      <w:proofErr w:type="spellStart"/>
      <w:ins w:id="215" w:author="Urša Miklavčič" w:date="2026-01-29T15:01:00Z" w16du:dateUtc="2026-01-29T14:01:00Z">
        <w:r w:rsidR="00B41263">
          <w:t>untreated</w:t>
        </w:r>
      </w:ins>
      <w:del w:id="216" w:author="Urša Miklavčič" w:date="2026-01-29T15:01:00Z" w16du:dateUtc="2026-01-29T14:01:00Z">
        <w:r w:rsidRPr="00DA42F5" w:rsidDel="00B41263">
          <w:delText xml:space="preserve">bulk microbiota </w:delText>
        </w:r>
      </w:del>
      <w:r w:rsidRPr="00DA42F5">
        <w:t>samples</w:t>
      </w:r>
      <w:proofErr w:type="spellEnd"/>
      <w:r w:rsidRPr="00DA42F5">
        <w:t xml:space="preserve"> using two different classification approaches.</w:t>
      </w:r>
      <w:r w:rsidR="0002070C" w:rsidRPr="00DA42F5">
        <w:t xml:space="preserve"> </w:t>
      </w:r>
      <w:r w:rsidR="00A55D4B" w:rsidRPr="00DA42F5">
        <w:rPr>
          <w:b w:val="0"/>
          <w:bCs/>
        </w:rPr>
        <w:t xml:space="preserve">A) </w:t>
      </w:r>
      <w:r w:rsidR="0002070C" w:rsidRPr="00DA42F5">
        <w:rPr>
          <w:b w:val="0"/>
          <w:bCs/>
        </w:rPr>
        <w:t xml:space="preserve">Determination </w:t>
      </w:r>
      <w:r w:rsidR="00A55D4B" w:rsidRPr="00DA42F5">
        <w:rPr>
          <w:b w:val="0"/>
          <w:bCs/>
        </w:rPr>
        <w:t>at</w:t>
      </w:r>
      <w:r w:rsidR="0002070C" w:rsidRPr="00DA42F5">
        <w:rPr>
          <w:b w:val="0"/>
          <w:bCs/>
        </w:rPr>
        <w:t xml:space="preserve"> the </w:t>
      </w:r>
      <w:r w:rsidR="00A55D4B" w:rsidRPr="00DA42F5">
        <w:rPr>
          <w:b w:val="0"/>
          <w:bCs/>
        </w:rPr>
        <w:t xml:space="preserve">contig </w:t>
      </w:r>
      <w:r w:rsidR="0002070C" w:rsidRPr="00DA42F5">
        <w:rPr>
          <w:b w:val="0"/>
          <w:bCs/>
        </w:rPr>
        <w:t xml:space="preserve">level (DIAMOND + </w:t>
      </w:r>
      <w:proofErr w:type="spellStart"/>
      <w:r w:rsidR="0002070C" w:rsidRPr="00DA42F5">
        <w:rPr>
          <w:b w:val="0"/>
          <w:bCs/>
        </w:rPr>
        <w:t>LCA</w:t>
      </w:r>
      <w:proofErr w:type="spellEnd"/>
      <w:r w:rsidR="0002070C" w:rsidRPr="00DA42F5">
        <w:rPr>
          <w:b w:val="0"/>
          <w:bCs/>
        </w:rPr>
        <w:t xml:space="preserve">) and </w:t>
      </w:r>
      <w:r w:rsidR="00C136C3" w:rsidRPr="00DA42F5">
        <w:rPr>
          <w:b w:val="0"/>
          <w:bCs/>
        </w:rPr>
        <w:t>B</w:t>
      </w:r>
      <w:r w:rsidR="007C0931" w:rsidRPr="00DA42F5">
        <w:rPr>
          <w:b w:val="0"/>
          <w:bCs/>
        </w:rPr>
        <w:t>)</w:t>
      </w:r>
      <w:r w:rsidR="00C136C3" w:rsidRPr="00DA42F5">
        <w:rPr>
          <w:b w:val="0"/>
          <w:bCs/>
        </w:rPr>
        <w:t xml:space="preserve"> </w:t>
      </w:r>
      <w:r w:rsidR="0002070C" w:rsidRPr="00DA42F5">
        <w:rPr>
          <w:b w:val="0"/>
          <w:bCs/>
        </w:rPr>
        <w:t>at the</w:t>
      </w:r>
      <w:r w:rsidR="00C136C3" w:rsidRPr="00DA42F5">
        <w:rPr>
          <w:b w:val="0"/>
          <w:bCs/>
        </w:rPr>
        <w:t xml:space="preserve"> </w:t>
      </w:r>
      <w:r w:rsidR="00A55D4B" w:rsidRPr="00DA42F5">
        <w:rPr>
          <w:b w:val="0"/>
          <w:bCs/>
        </w:rPr>
        <w:t xml:space="preserve">read </w:t>
      </w:r>
      <w:r w:rsidR="0002070C" w:rsidRPr="00DA42F5">
        <w:rPr>
          <w:b w:val="0"/>
          <w:bCs/>
        </w:rPr>
        <w:t>level (</w:t>
      </w:r>
      <w:proofErr w:type="spellStart"/>
      <w:r w:rsidR="0002070C" w:rsidRPr="00DA42F5">
        <w:rPr>
          <w:b w:val="0"/>
          <w:bCs/>
        </w:rPr>
        <w:t>MetaPhlAn</w:t>
      </w:r>
      <w:proofErr w:type="spellEnd"/>
      <w:r w:rsidR="0002070C" w:rsidRPr="00DA42F5">
        <w:rPr>
          <w:b w:val="0"/>
          <w:bCs/>
        </w:rPr>
        <w:t xml:space="preserve">) of all microorganisms present in </w:t>
      </w:r>
      <w:r w:rsidR="00A55D4B" w:rsidRPr="00DA42F5">
        <w:rPr>
          <w:b w:val="0"/>
          <w:bCs/>
        </w:rPr>
        <w:t>the</w:t>
      </w:r>
      <w:r w:rsidR="0002070C" w:rsidRPr="00DA42F5">
        <w:rPr>
          <w:b w:val="0"/>
          <w:bCs/>
        </w:rPr>
        <w:t xml:space="preserve"> gut microbiota</w:t>
      </w:r>
      <w:r w:rsidR="00A55D4B" w:rsidRPr="00DA42F5">
        <w:rPr>
          <w:b w:val="0"/>
          <w:bCs/>
        </w:rPr>
        <w:t xml:space="preserve"> of all participants</w:t>
      </w:r>
      <w:r w:rsidR="0002070C" w:rsidRPr="00DA42F5">
        <w:rPr>
          <w:b w:val="0"/>
          <w:bCs/>
        </w:rPr>
        <w:t>.</w:t>
      </w:r>
      <w:r w:rsidR="00B54D73" w:rsidRPr="00DA42F5">
        <w:rPr>
          <w:b w:val="0"/>
          <w:bCs/>
        </w:rPr>
        <w:t xml:space="preserve"> </w:t>
      </w:r>
      <w:proofErr w:type="spellStart"/>
      <w:r w:rsidR="00B54D73" w:rsidRPr="00DA42F5">
        <w:rPr>
          <w:b w:val="0"/>
          <w:bCs/>
        </w:rPr>
        <w:t>MetaPhlAn</w:t>
      </w:r>
      <w:proofErr w:type="spellEnd"/>
      <w:r w:rsidR="00B54D73" w:rsidRPr="00DA42F5">
        <w:rPr>
          <w:b w:val="0"/>
          <w:bCs/>
        </w:rPr>
        <w:t xml:space="preserve"> does not </w:t>
      </w:r>
      <w:r w:rsidR="007C0931" w:rsidRPr="00DA42F5">
        <w:rPr>
          <w:b w:val="0"/>
          <w:bCs/>
        </w:rPr>
        <w:t>detect</w:t>
      </w:r>
      <w:r w:rsidR="00B54D73" w:rsidRPr="00DA42F5">
        <w:rPr>
          <w:b w:val="0"/>
          <w:bCs/>
        </w:rPr>
        <w:t xml:space="preserve"> viral sequences.</w:t>
      </w:r>
      <w:bookmarkEnd w:id="214"/>
      <w:r w:rsidR="00B54D73" w:rsidRPr="00DA42F5">
        <w:rPr>
          <w:b w:val="0"/>
          <w:bCs/>
        </w:rPr>
        <w:t xml:space="preserve"> </w:t>
      </w:r>
    </w:p>
    <w:p w14:paraId="279950A3" w14:textId="77777777" w:rsidR="006D7E64" w:rsidRPr="00DA42F5" w:rsidRDefault="006D7E64" w:rsidP="007C0931"/>
    <w:p w14:paraId="7EE5EACF" w14:textId="0134F7CE" w:rsidR="00BC2437" w:rsidRPr="00DA42F5" w:rsidRDefault="007C0931" w:rsidP="007C0931">
      <w:r w:rsidRPr="00DA42F5">
        <w:t xml:space="preserve">We decided to use </w:t>
      </w:r>
      <w:proofErr w:type="spellStart"/>
      <w:r w:rsidRPr="00DA42F5">
        <w:t>MetaPhlAn</w:t>
      </w:r>
      <w:proofErr w:type="spellEnd"/>
      <w:r w:rsidRPr="00DA42F5">
        <w:t xml:space="preserve"> results due to their higher reliability. Archaea were detected in 5 out of 9 individuals in our cohort. The genus </w:t>
      </w:r>
      <w:proofErr w:type="spellStart"/>
      <w:r w:rsidRPr="00DA42F5">
        <w:rPr>
          <w:i/>
          <w:iCs/>
        </w:rPr>
        <w:t>Methanobrevibacter</w:t>
      </w:r>
      <w:proofErr w:type="spellEnd"/>
      <w:r w:rsidRPr="00DA42F5">
        <w:t xml:space="preserve"> was present in all five individuals, while </w:t>
      </w:r>
      <w:proofErr w:type="spellStart"/>
      <w:r w:rsidRPr="00DA42F5">
        <w:rPr>
          <w:i/>
          <w:iCs/>
        </w:rPr>
        <w:t>Methanosphera</w:t>
      </w:r>
      <w:proofErr w:type="spellEnd"/>
      <w:r w:rsidRPr="00DA42F5">
        <w:t xml:space="preserve"> were found in only two (Figure 6). </w:t>
      </w:r>
      <w:proofErr w:type="spellStart"/>
      <w:r w:rsidRPr="00DA42F5">
        <w:rPr>
          <w:i/>
          <w:iCs/>
        </w:rPr>
        <w:t>Methanobrevibacter</w:t>
      </w:r>
      <w:proofErr w:type="spellEnd"/>
      <w:r w:rsidRPr="00DA42F5">
        <w:rPr>
          <w:i/>
          <w:iCs/>
        </w:rPr>
        <w:t xml:space="preserve"> smithii</w:t>
      </w:r>
      <w:r w:rsidRPr="00DA42F5">
        <w:t xml:space="preserve"> exhibited oscillatory abundance within participants over time, </w:t>
      </w:r>
      <w:r w:rsidR="00BC2437" w:rsidRPr="00DA42F5">
        <w:t xml:space="preserve">while </w:t>
      </w:r>
      <w:proofErr w:type="spellStart"/>
      <w:r w:rsidR="00BC2437" w:rsidRPr="00DA42F5">
        <w:rPr>
          <w:i/>
          <w:iCs/>
        </w:rPr>
        <w:t>Methanosphera</w:t>
      </w:r>
      <w:proofErr w:type="spellEnd"/>
      <w:r w:rsidR="00BC2437" w:rsidRPr="00DA42F5">
        <w:rPr>
          <w:i/>
          <w:iCs/>
        </w:rPr>
        <w:t xml:space="preserve"> </w:t>
      </w:r>
      <w:proofErr w:type="spellStart"/>
      <w:r w:rsidR="00BC2437" w:rsidRPr="00DA42F5">
        <w:rPr>
          <w:i/>
          <w:iCs/>
        </w:rPr>
        <w:t>stadmanae</w:t>
      </w:r>
      <w:proofErr w:type="spellEnd"/>
      <w:r w:rsidR="00BC2437" w:rsidRPr="00DA42F5">
        <w:t xml:space="preserve"> </w:t>
      </w:r>
      <w:r w:rsidRPr="00DA42F5">
        <w:t>was present at a lower relative abundance</w:t>
      </w:r>
      <w:r w:rsidR="00BC2437" w:rsidRPr="00DA42F5">
        <w:t xml:space="preserve"> in a more equal abundance through time</w:t>
      </w:r>
      <w:r w:rsidRPr="00DA42F5">
        <w:t>.</w:t>
      </w:r>
      <w:r w:rsidR="00BC2437" w:rsidRPr="00DA42F5">
        <w:t xml:space="preserve"> Their abundance changes could not be connected to </w:t>
      </w:r>
      <w:r w:rsidR="0041006B" w:rsidRPr="00DA42F5">
        <w:t xml:space="preserve">selected </w:t>
      </w:r>
      <w:r w:rsidR="00BC2437" w:rsidRPr="00DA42F5">
        <w:t xml:space="preserve">events </w:t>
      </w:r>
      <w:r w:rsidR="0041006B" w:rsidRPr="00DA42F5">
        <w:t xml:space="preserve">from </w:t>
      </w:r>
      <w:r w:rsidR="00BC2437" w:rsidRPr="00DA42F5">
        <w:t xml:space="preserve">participants </w:t>
      </w:r>
      <w:r w:rsidR="0041006B" w:rsidRPr="00DA42F5">
        <w:t>questionnaire</w:t>
      </w:r>
      <w:ins w:id="217" w:author="Urša Miklavčič" w:date="2026-01-21T09:52:00Z" w16du:dateUtc="2026-01-21T08:52:00Z">
        <w:r w:rsidR="00494014">
          <w:t>s</w:t>
        </w:r>
      </w:ins>
      <w:r w:rsidR="00BC2437" w:rsidRPr="00DA42F5">
        <w:t xml:space="preserve">. </w:t>
      </w:r>
    </w:p>
    <w:p w14:paraId="1E45C3E8" w14:textId="5487F59A" w:rsidR="004271D5" w:rsidRPr="00DA42F5" w:rsidRDefault="007C0931" w:rsidP="007C0931">
      <w:pPr>
        <w:rPr>
          <w:szCs w:val="20"/>
        </w:rPr>
      </w:pPr>
      <w:r w:rsidRPr="00DA42F5">
        <w:t xml:space="preserve"> </w:t>
      </w:r>
    </w:p>
    <w:p w14:paraId="7D12386F" w14:textId="77777777" w:rsidR="00801198" w:rsidRPr="00DA42F5" w:rsidRDefault="0004536B" w:rsidP="00801198">
      <w:pPr>
        <w:keepNext/>
      </w:pPr>
      <w:r w:rsidRPr="00DA42F5">
        <w:rPr>
          <w:rFonts w:cs="Times New Roman"/>
          <w:noProof/>
          <w:szCs w:val="24"/>
        </w:rPr>
        <w:lastRenderedPageBreak/>
        <w:drawing>
          <wp:inline distT="0" distB="0" distL="0" distR="0" wp14:anchorId="479802E8" wp14:editId="62F1D857">
            <wp:extent cx="5902088" cy="2979420"/>
            <wp:effectExtent l="0" t="0" r="3810" b="0"/>
            <wp:docPr id="13482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11517"/>
                    <a:stretch/>
                  </pic:blipFill>
                  <pic:spPr bwMode="auto">
                    <a:xfrm>
                      <a:off x="0" y="0"/>
                      <a:ext cx="5913540" cy="2985201"/>
                    </a:xfrm>
                    <a:prstGeom prst="rect">
                      <a:avLst/>
                    </a:prstGeom>
                    <a:noFill/>
                    <a:ln>
                      <a:noFill/>
                    </a:ln>
                    <a:extLst>
                      <a:ext uri="{53640926-AAD7-44D8-BBD7-CCE9431645EC}">
                        <a14:shadowObscured xmlns:a14="http://schemas.microsoft.com/office/drawing/2010/main"/>
                      </a:ext>
                    </a:extLst>
                  </pic:spPr>
                </pic:pic>
              </a:graphicData>
            </a:graphic>
          </wp:inline>
        </w:drawing>
      </w:r>
    </w:p>
    <w:p w14:paraId="54F16434" w14:textId="0472FC1E" w:rsidR="00BC2437" w:rsidRPr="00DA42F5" w:rsidRDefault="00801198" w:rsidP="00BC2437">
      <w:pPr>
        <w:pStyle w:val="Caption"/>
        <w:rPr>
          <w:rFonts w:cs="Times New Roman"/>
          <w:b w:val="0"/>
          <w:bCs/>
          <w:szCs w:val="24"/>
        </w:rPr>
      </w:pPr>
      <w:bookmarkStart w:id="218" w:name="_Toc216101620"/>
      <w:r w:rsidRPr="00DA42F5">
        <w:t xml:space="preserve">Figure </w:t>
      </w:r>
      <w:r w:rsidRPr="00DA42F5">
        <w:fldChar w:fldCharType="begin"/>
      </w:r>
      <w:r w:rsidRPr="00DA42F5">
        <w:instrText xml:space="preserve"> SEQ Figure \* ARABIC </w:instrText>
      </w:r>
      <w:r w:rsidRPr="00DA42F5">
        <w:fldChar w:fldCharType="separate"/>
      </w:r>
      <w:r w:rsidR="00C11001">
        <w:rPr>
          <w:noProof/>
        </w:rPr>
        <w:t>6</w:t>
      </w:r>
      <w:r w:rsidRPr="00DA42F5">
        <w:fldChar w:fldCharType="end"/>
      </w:r>
      <w:r w:rsidRPr="00DA42F5">
        <w:t xml:space="preserve">. Relative abundance and persistence of archaeal species in participants gut microbiota. </w:t>
      </w:r>
      <w:r w:rsidRPr="00DA42F5">
        <w:rPr>
          <w:b w:val="0"/>
          <w:bCs/>
        </w:rPr>
        <w:t xml:space="preserve">Species were determined using </w:t>
      </w:r>
      <w:proofErr w:type="spellStart"/>
      <w:r w:rsidRPr="00DA42F5">
        <w:rPr>
          <w:b w:val="0"/>
          <w:bCs/>
        </w:rPr>
        <w:t>MetaPhlAn</w:t>
      </w:r>
      <w:proofErr w:type="spellEnd"/>
      <w:r w:rsidRPr="00DA42F5">
        <w:rPr>
          <w:b w:val="0"/>
          <w:bCs/>
        </w:rPr>
        <w:t>.</w:t>
      </w:r>
      <w:r w:rsidRPr="00DA42F5">
        <w:t xml:space="preserve"> </w:t>
      </w:r>
      <w:r w:rsidR="007C0931" w:rsidRPr="00DA42F5">
        <w:rPr>
          <w:b w:val="0"/>
          <w:bCs/>
        </w:rPr>
        <w:t xml:space="preserve">Each plot </w:t>
      </w:r>
      <w:r w:rsidR="00BC2437" w:rsidRPr="00DA42F5">
        <w:rPr>
          <w:b w:val="0"/>
          <w:bCs/>
        </w:rPr>
        <w:t>depicts one</w:t>
      </w:r>
      <w:r w:rsidR="007C0931" w:rsidRPr="00DA42F5">
        <w:rPr>
          <w:b w:val="0"/>
          <w:bCs/>
        </w:rPr>
        <w:t xml:space="preserve"> participant (labelled with capital letters</w:t>
      </w:r>
      <w:r w:rsidR="00BC2437" w:rsidRPr="00DA42F5">
        <w:rPr>
          <w:b w:val="0"/>
          <w:bCs/>
        </w:rPr>
        <w:t xml:space="preserve"> A to I</w:t>
      </w:r>
      <w:r w:rsidR="007C0931" w:rsidRPr="00DA42F5">
        <w:rPr>
          <w:b w:val="0"/>
          <w:bCs/>
        </w:rPr>
        <w:t xml:space="preserve">), with days </w:t>
      </w:r>
      <w:r w:rsidR="00BC2437" w:rsidRPr="00DA42F5">
        <w:rPr>
          <w:b w:val="0"/>
          <w:bCs/>
        </w:rPr>
        <w:t xml:space="preserve">on the x-axis </w:t>
      </w:r>
      <w:r w:rsidR="007C0931" w:rsidRPr="00DA42F5">
        <w:rPr>
          <w:b w:val="0"/>
          <w:bCs/>
        </w:rPr>
        <w:t>indicating when the stool samples were collected.</w:t>
      </w:r>
      <w:bookmarkEnd w:id="218"/>
      <w:r w:rsidR="00BC2437" w:rsidRPr="00DA42F5">
        <w:rPr>
          <w:b w:val="0"/>
          <w:bCs/>
        </w:rPr>
        <w:t xml:space="preserve"> Vertical coloured lines indicate out-of-the-ordinary events reported by participants in their questionnaires.  </w:t>
      </w:r>
    </w:p>
    <w:p w14:paraId="7A5138DD" w14:textId="77777777" w:rsidR="00BC2437" w:rsidRPr="00DA42F5" w:rsidRDefault="00BC2437" w:rsidP="005E294F">
      <w:pPr>
        <w:rPr>
          <w:rFonts w:cs="Times New Roman"/>
          <w:szCs w:val="24"/>
        </w:rPr>
      </w:pPr>
    </w:p>
    <w:p w14:paraId="42EB8ED4" w14:textId="0455CE5E" w:rsidR="006A3531" w:rsidRPr="0097501B" w:rsidRDefault="005E294F" w:rsidP="005E294F">
      <w:pPr>
        <w:rPr>
          <w:ins w:id="219" w:author="Urša Miklavčič" w:date="2026-01-28T15:19:00Z" w16du:dateUtc="2026-01-28T14:19:00Z"/>
          <w:rFonts w:cs="Times New Roman"/>
          <w:szCs w:val="24"/>
        </w:rPr>
      </w:pPr>
      <w:commentRangeStart w:id="220"/>
      <w:commentRangeStart w:id="221"/>
      <w:commentRangeStart w:id="222"/>
      <w:r w:rsidRPr="00DA42F5">
        <w:rPr>
          <w:rFonts w:cs="Times New Roman"/>
          <w:szCs w:val="24"/>
        </w:rPr>
        <w:t xml:space="preserve">Eukaryotes were </w:t>
      </w:r>
      <w:commentRangeEnd w:id="220"/>
      <w:r w:rsidR="00962877" w:rsidRPr="00DA42F5">
        <w:rPr>
          <w:rStyle w:val="CommentReference"/>
        </w:rPr>
        <w:commentReference w:id="220"/>
      </w:r>
      <w:commentRangeEnd w:id="221"/>
      <w:r w:rsidR="00962877" w:rsidRPr="00DA42F5">
        <w:rPr>
          <w:rStyle w:val="CommentReference"/>
        </w:rPr>
        <w:commentReference w:id="221"/>
      </w:r>
      <w:commentRangeEnd w:id="222"/>
      <w:r w:rsidR="00F950DC">
        <w:rPr>
          <w:rStyle w:val="CommentReference"/>
        </w:rPr>
        <w:commentReference w:id="222"/>
      </w:r>
      <w:r w:rsidRPr="00DA42F5">
        <w:rPr>
          <w:rFonts w:cs="Times New Roman"/>
          <w:szCs w:val="24"/>
        </w:rPr>
        <w:t>detected in 8</w:t>
      </w:r>
      <w:r w:rsidR="007C0931" w:rsidRPr="00DA42F5">
        <w:rPr>
          <w:rFonts w:cs="Times New Roman"/>
          <w:szCs w:val="24"/>
        </w:rPr>
        <w:t xml:space="preserve"> out of </w:t>
      </w:r>
      <w:r w:rsidRPr="00DA42F5">
        <w:rPr>
          <w:rFonts w:cs="Times New Roman"/>
          <w:szCs w:val="24"/>
        </w:rPr>
        <w:t>9 individuals in ou</w:t>
      </w:r>
      <w:r w:rsidR="007C0931" w:rsidRPr="00DA42F5">
        <w:rPr>
          <w:rFonts w:cs="Times New Roman"/>
          <w:szCs w:val="24"/>
        </w:rPr>
        <w:t>r</w:t>
      </w:r>
      <w:r w:rsidRPr="00DA42F5">
        <w:rPr>
          <w:rFonts w:cs="Times New Roman"/>
          <w:szCs w:val="24"/>
        </w:rPr>
        <w:t xml:space="preserve"> cohort</w:t>
      </w:r>
      <w:r w:rsidR="00EC1414" w:rsidRPr="00DA42F5">
        <w:rPr>
          <w:rFonts w:cs="Times New Roman"/>
          <w:szCs w:val="24"/>
        </w:rPr>
        <w:t xml:space="preserve">, but not persistently throughout the </w:t>
      </w:r>
      <w:r w:rsidR="007C0931" w:rsidRPr="00DA42F5">
        <w:rPr>
          <w:rFonts w:cs="Times New Roman"/>
          <w:szCs w:val="24"/>
        </w:rPr>
        <w:t xml:space="preserve">study </w:t>
      </w:r>
      <w:r w:rsidR="00EC1414" w:rsidRPr="00DA42F5">
        <w:rPr>
          <w:rFonts w:cs="Times New Roman"/>
          <w:szCs w:val="24"/>
        </w:rPr>
        <w:t xml:space="preserve">duration </w:t>
      </w:r>
      <w:r w:rsidR="00591EA4">
        <w:rPr>
          <w:rFonts w:cs="Times New Roman"/>
          <w:szCs w:val="24"/>
        </w:rPr>
        <w:t xml:space="preserve">as detected by </w:t>
      </w:r>
      <w:proofErr w:type="spellStart"/>
      <w:r w:rsidR="00591EA4">
        <w:rPr>
          <w:rFonts w:cs="Times New Roman"/>
          <w:szCs w:val="24"/>
        </w:rPr>
        <w:t>MetaPhlAn</w:t>
      </w:r>
      <w:proofErr w:type="spellEnd"/>
      <w:r w:rsidR="00591EA4">
        <w:rPr>
          <w:rFonts w:cs="Times New Roman"/>
          <w:szCs w:val="24"/>
        </w:rPr>
        <w:t xml:space="preserve"> </w:t>
      </w:r>
      <w:r w:rsidRPr="00DA42F5">
        <w:rPr>
          <w:rFonts w:cs="Times New Roman"/>
          <w:szCs w:val="24"/>
        </w:rPr>
        <w:t xml:space="preserve">(Figure </w:t>
      </w:r>
      <w:r w:rsidR="000E42D3" w:rsidRPr="00DA42F5">
        <w:rPr>
          <w:rFonts w:cs="Times New Roman"/>
          <w:szCs w:val="24"/>
        </w:rPr>
        <w:t>7</w:t>
      </w:r>
      <w:r w:rsidRPr="00DA42F5">
        <w:rPr>
          <w:rFonts w:cs="Times New Roman"/>
          <w:szCs w:val="24"/>
        </w:rPr>
        <w:t xml:space="preserve">). </w:t>
      </w:r>
      <w:r w:rsidR="0097501B">
        <w:rPr>
          <w:rFonts w:cs="Times New Roman"/>
          <w:szCs w:val="24"/>
        </w:rPr>
        <w:t xml:space="preserve">In 7 out of 9 individuals (B, C, D, E, F, G, H, I), we detected fungal species </w:t>
      </w:r>
      <w:r w:rsidR="0097501B">
        <w:rPr>
          <w:rFonts w:cs="Times New Roman"/>
          <w:i/>
          <w:iCs/>
          <w:szCs w:val="24"/>
        </w:rPr>
        <w:t>Saccharomyces cerevisiae</w:t>
      </w:r>
      <w:r w:rsidR="0097501B">
        <w:rPr>
          <w:rFonts w:cs="Times New Roman"/>
          <w:szCs w:val="24"/>
        </w:rPr>
        <w:t xml:space="preserve"> but not consistently though out the study and in </w:t>
      </w:r>
      <w:r w:rsidR="006A3531" w:rsidRPr="00DA42F5">
        <w:rPr>
          <w:rFonts w:cs="Times New Roman"/>
          <w:szCs w:val="24"/>
        </w:rPr>
        <w:t xml:space="preserve">4 out of 9 individuals (C, D, E, H), we detected the genus </w:t>
      </w:r>
      <w:r w:rsidR="006A3531" w:rsidRPr="00DA42F5">
        <w:rPr>
          <w:rFonts w:cs="Times New Roman"/>
          <w:i/>
          <w:iCs/>
          <w:szCs w:val="24"/>
        </w:rPr>
        <w:t xml:space="preserve">Blastocystis </w:t>
      </w:r>
      <w:r w:rsidR="006A3531" w:rsidRPr="00DA42F5">
        <w:rPr>
          <w:rFonts w:cs="Times New Roman"/>
          <w:szCs w:val="24"/>
        </w:rPr>
        <w:t>at low abundances (0.01 to 0.6% of total relative abundance)</w:t>
      </w:r>
      <w:r w:rsidR="0097501B">
        <w:rPr>
          <w:rFonts w:cs="Times New Roman"/>
          <w:szCs w:val="24"/>
        </w:rPr>
        <w:t xml:space="preserve">. </w:t>
      </w:r>
    </w:p>
    <w:p w14:paraId="3C214695" w14:textId="10BEDB7E" w:rsidR="00253CCD" w:rsidRDefault="00591EA4" w:rsidP="005E294F">
      <w:pPr>
        <w:rPr>
          <w:ins w:id="223" w:author="Urša Miklavčič" w:date="2026-01-28T15:09:00Z" w16du:dateUtc="2026-01-28T14:09:00Z"/>
          <w:rFonts w:cs="Times New Roman"/>
          <w:szCs w:val="24"/>
        </w:rPr>
      </w:pPr>
      <w:ins w:id="224" w:author="Urša Miklavčič" w:date="2026-01-28T15:02:00Z" w16du:dateUtc="2026-01-28T14:02:00Z">
        <w:r>
          <w:rPr>
            <w:rFonts w:cs="Times New Roman"/>
            <w:szCs w:val="24"/>
          </w:rPr>
          <w:t>For better detection of eukaryotes especially fungi, we additionally use</w:t>
        </w:r>
      </w:ins>
      <w:ins w:id="225" w:author="Urša Miklavčič" w:date="2026-01-28T15:03:00Z" w16du:dateUtc="2026-01-28T14:03:00Z">
        <w:r>
          <w:rPr>
            <w:rFonts w:cs="Times New Roman"/>
            <w:szCs w:val="24"/>
          </w:rPr>
          <w:t xml:space="preserve">d </w:t>
        </w:r>
        <w:proofErr w:type="spellStart"/>
        <w:r>
          <w:rPr>
            <w:rFonts w:cs="Times New Roman"/>
            <w:szCs w:val="24"/>
          </w:rPr>
          <w:t>EukDetect</w:t>
        </w:r>
        <w:proofErr w:type="spellEnd"/>
        <w:r>
          <w:rPr>
            <w:rFonts w:cs="Times New Roman"/>
            <w:szCs w:val="24"/>
          </w:rPr>
          <w:t xml:space="preserve"> (Supplementary Figure </w:t>
        </w:r>
      </w:ins>
      <w:ins w:id="226" w:author="Urša Miklavčič" w:date="2026-01-29T14:42:00Z" w16du:dateUtc="2026-01-29T13:42:00Z">
        <w:r w:rsidR="00717053">
          <w:rPr>
            <w:rFonts w:cs="Times New Roman"/>
            <w:szCs w:val="24"/>
          </w:rPr>
          <w:t>7</w:t>
        </w:r>
      </w:ins>
      <w:ins w:id="227" w:author="Urša Miklavčič" w:date="2026-01-28T15:03:00Z" w16du:dateUtc="2026-01-28T14:03:00Z">
        <w:r>
          <w:rPr>
            <w:rFonts w:cs="Times New Roman"/>
            <w:szCs w:val="24"/>
          </w:rPr>
          <w:t>)</w:t>
        </w:r>
      </w:ins>
      <w:ins w:id="228" w:author="Urša Miklavčič" w:date="2026-01-28T15:24:00Z" w16du:dateUtc="2026-01-28T14:24:00Z">
        <w:r w:rsidR="0097501B">
          <w:rPr>
            <w:rFonts w:cs="Times New Roman"/>
            <w:szCs w:val="24"/>
          </w:rPr>
          <w:t xml:space="preserve">. Results from this tool </w:t>
        </w:r>
      </w:ins>
      <w:ins w:id="229" w:author="Urša Miklavčič" w:date="2026-01-28T15:08:00Z" w16du:dateUtc="2026-01-28T14:08:00Z">
        <w:r>
          <w:rPr>
            <w:rFonts w:cs="Times New Roman"/>
            <w:szCs w:val="24"/>
          </w:rPr>
          <w:t xml:space="preserve">could not be compared to </w:t>
        </w:r>
      </w:ins>
      <w:ins w:id="230" w:author="Urša Miklavčič" w:date="2026-01-28T15:09:00Z" w16du:dateUtc="2026-01-28T14:09:00Z">
        <w:r>
          <w:rPr>
            <w:rFonts w:cs="Times New Roman"/>
            <w:szCs w:val="24"/>
          </w:rPr>
          <w:t xml:space="preserve">results from </w:t>
        </w:r>
        <w:proofErr w:type="spellStart"/>
        <w:r>
          <w:rPr>
            <w:rFonts w:cs="Times New Roman"/>
            <w:szCs w:val="24"/>
          </w:rPr>
          <w:t>MetaPhlAn</w:t>
        </w:r>
        <w:proofErr w:type="spellEnd"/>
        <w:r>
          <w:rPr>
            <w:rFonts w:cs="Times New Roman"/>
            <w:szCs w:val="24"/>
          </w:rPr>
          <w:t xml:space="preserve">, as </w:t>
        </w:r>
        <w:proofErr w:type="spellStart"/>
        <w:r>
          <w:rPr>
            <w:rFonts w:cs="Times New Roman"/>
            <w:szCs w:val="24"/>
          </w:rPr>
          <w:t>EukDetect</w:t>
        </w:r>
        <w:proofErr w:type="spellEnd"/>
        <w:r>
          <w:rPr>
            <w:rFonts w:cs="Times New Roman"/>
            <w:szCs w:val="24"/>
          </w:rPr>
          <w:t xml:space="preserve"> only reports number of reads mapped to marker genes of each species and not relative abundance. </w:t>
        </w:r>
      </w:ins>
    </w:p>
    <w:p w14:paraId="530D9702" w14:textId="76129B86" w:rsidR="0097501B" w:rsidRPr="0097501B" w:rsidRDefault="0097501B" w:rsidP="005E294F">
      <w:pPr>
        <w:rPr>
          <w:ins w:id="231" w:author="Urša Miklavčič" w:date="2026-01-28T15:25:00Z" w16du:dateUtc="2026-01-28T14:25:00Z"/>
          <w:rFonts w:cs="Times New Roman"/>
          <w:szCs w:val="24"/>
        </w:rPr>
      </w:pPr>
      <w:ins w:id="232" w:author="Urša Miklavčič" w:date="2026-01-28T15:26:00Z" w16du:dateUtc="2026-01-28T14:26:00Z">
        <w:r>
          <w:rPr>
            <w:rFonts w:cs="Times New Roman"/>
            <w:szCs w:val="24"/>
          </w:rPr>
          <w:t xml:space="preserve">With </w:t>
        </w:r>
        <w:proofErr w:type="spellStart"/>
        <w:r>
          <w:rPr>
            <w:rFonts w:cs="Times New Roman"/>
            <w:szCs w:val="24"/>
          </w:rPr>
          <w:t>EukDetect</w:t>
        </w:r>
        <w:proofErr w:type="spellEnd"/>
        <w:r>
          <w:rPr>
            <w:rFonts w:cs="Times New Roman"/>
            <w:szCs w:val="24"/>
          </w:rPr>
          <w:t xml:space="preserve"> </w:t>
        </w:r>
        <w:r w:rsidRPr="00F950DC">
          <w:rPr>
            <w:rFonts w:cs="Times New Roman"/>
            <w:i/>
            <w:iCs/>
            <w:szCs w:val="24"/>
          </w:rPr>
          <w:t>Blastocystis</w:t>
        </w:r>
        <w:r>
          <w:rPr>
            <w:rFonts w:cs="Times New Roman"/>
            <w:szCs w:val="24"/>
          </w:rPr>
          <w:t xml:space="preserve"> sp. was still the most abundant eukaryotic species detected, but we also detected some other species from phylum </w:t>
        </w:r>
        <w:proofErr w:type="spellStart"/>
        <w:r w:rsidRPr="00F950DC">
          <w:rPr>
            <w:rFonts w:cs="Times New Roman"/>
            <w:i/>
            <w:iCs/>
            <w:szCs w:val="24"/>
          </w:rPr>
          <w:t>Ascomycetota</w:t>
        </w:r>
        <w:proofErr w:type="spellEnd"/>
        <w:r>
          <w:rPr>
            <w:rFonts w:cs="Times New Roman"/>
            <w:szCs w:val="24"/>
          </w:rPr>
          <w:t xml:space="preserve"> such as </w:t>
        </w:r>
      </w:ins>
      <w:ins w:id="233" w:author="Urša Miklavčič" w:date="2026-01-28T15:28:00Z">
        <w:r w:rsidRPr="00F950DC">
          <w:rPr>
            <w:rFonts w:cs="Times New Roman"/>
            <w:i/>
            <w:iCs/>
            <w:szCs w:val="24"/>
          </w:rPr>
          <w:t>Penicillium </w:t>
        </w:r>
        <w:proofErr w:type="spellStart"/>
        <w:r w:rsidRPr="00F950DC">
          <w:rPr>
            <w:rFonts w:cs="Times New Roman"/>
            <w:i/>
            <w:iCs/>
            <w:szCs w:val="24"/>
          </w:rPr>
          <w:t>nalgiovense</w:t>
        </w:r>
      </w:ins>
      <w:proofErr w:type="spellEnd"/>
      <w:ins w:id="234" w:author="Urša Miklavčič" w:date="2026-01-28T15:27:00Z" w16du:dateUtc="2026-01-28T14:27:00Z">
        <w:r>
          <w:rPr>
            <w:rFonts w:cs="Times New Roman"/>
            <w:szCs w:val="24"/>
          </w:rPr>
          <w:t xml:space="preserve">, </w:t>
        </w:r>
      </w:ins>
      <w:ins w:id="235" w:author="Urša Miklavčič" w:date="2026-01-28T15:28:00Z">
        <w:r w:rsidRPr="00F950DC">
          <w:rPr>
            <w:rFonts w:cs="Times New Roman"/>
            <w:i/>
            <w:iCs/>
            <w:szCs w:val="24"/>
          </w:rPr>
          <w:t>Candida albicans</w:t>
        </w:r>
      </w:ins>
      <w:ins w:id="236" w:author="Urša Miklavčič" w:date="2026-01-28T15:27:00Z" w16du:dateUtc="2026-01-28T14:27:00Z">
        <w:r>
          <w:rPr>
            <w:rFonts w:cs="Times New Roman"/>
            <w:szCs w:val="24"/>
          </w:rPr>
          <w:t xml:space="preserve">, </w:t>
        </w:r>
      </w:ins>
      <w:proofErr w:type="gramStart"/>
      <w:ins w:id="237" w:author="Urša Miklavčič" w:date="2026-01-28T15:28:00Z" w16du:dateUtc="2026-01-28T14:28:00Z">
        <w:r>
          <w:rPr>
            <w:rFonts w:cs="Times New Roman"/>
            <w:i/>
            <w:iCs/>
            <w:szCs w:val="24"/>
          </w:rPr>
          <w:t>C</w:t>
        </w:r>
      </w:ins>
      <w:ins w:id="238" w:author="Urša Miklavčič" w:date="2026-01-28T15:29:00Z" w16du:dateUtc="2026-01-28T14:29:00Z">
        <w:r>
          <w:rPr>
            <w:rFonts w:cs="Times New Roman"/>
            <w:i/>
            <w:iCs/>
            <w:szCs w:val="24"/>
          </w:rPr>
          <w:t>andida</w:t>
        </w:r>
        <w:proofErr w:type="gramEnd"/>
        <w:r>
          <w:rPr>
            <w:rFonts w:cs="Times New Roman"/>
            <w:i/>
            <w:iCs/>
            <w:szCs w:val="24"/>
          </w:rPr>
          <w:t xml:space="preserve"> </w:t>
        </w:r>
        <w:r w:rsidRPr="0097501B">
          <w:rPr>
            <w:rFonts w:cs="Times New Roman"/>
            <w:i/>
            <w:iCs/>
            <w:szCs w:val="24"/>
          </w:rPr>
          <w:t>sake</w:t>
        </w:r>
        <w:r>
          <w:rPr>
            <w:rFonts w:cs="Times New Roman"/>
            <w:szCs w:val="24"/>
          </w:rPr>
          <w:t xml:space="preserve">, </w:t>
        </w:r>
      </w:ins>
      <w:proofErr w:type="spellStart"/>
      <w:ins w:id="239" w:author="Urša Miklavčič" w:date="2026-01-28T15:27:00Z">
        <w:r w:rsidRPr="00F950DC">
          <w:rPr>
            <w:rFonts w:cs="Times New Roman"/>
            <w:i/>
            <w:iCs/>
            <w:szCs w:val="24"/>
          </w:rPr>
          <w:t>Debaryomyces</w:t>
        </w:r>
        <w:proofErr w:type="spellEnd"/>
        <w:r w:rsidRPr="00F950DC">
          <w:rPr>
            <w:rFonts w:cs="Times New Roman"/>
            <w:i/>
            <w:iCs/>
            <w:szCs w:val="24"/>
          </w:rPr>
          <w:t> </w:t>
        </w:r>
        <w:proofErr w:type="spellStart"/>
        <w:r w:rsidRPr="00F950DC">
          <w:rPr>
            <w:rFonts w:cs="Times New Roman"/>
            <w:i/>
            <w:iCs/>
            <w:szCs w:val="24"/>
          </w:rPr>
          <w:t>hansenii</w:t>
        </w:r>
      </w:ins>
      <w:proofErr w:type="spellEnd"/>
      <w:ins w:id="240" w:author="Urša Miklavčič" w:date="2026-01-28T15:28:00Z" w16du:dateUtc="2026-01-28T14:28:00Z">
        <w:r>
          <w:rPr>
            <w:rFonts w:cs="Times New Roman"/>
            <w:szCs w:val="24"/>
          </w:rPr>
          <w:t xml:space="preserve">, </w:t>
        </w:r>
      </w:ins>
      <w:ins w:id="241" w:author="Urša Miklavčič" w:date="2026-01-28T15:27:00Z" w16du:dateUtc="2026-01-28T14:27:00Z">
        <w:r>
          <w:rPr>
            <w:rFonts w:cs="Times New Roman"/>
            <w:szCs w:val="24"/>
          </w:rPr>
          <w:t xml:space="preserve">and </w:t>
        </w:r>
      </w:ins>
      <w:proofErr w:type="spellStart"/>
      <w:ins w:id="242" w:author="Urša Miklavčič" w:date="2026-01-28T15:27:00Z">
        <w:r w:rsidRPr="00F950DC">
          <w:rPr>
            <w:rFonts w:cs="Times New Roman"/>
            <w:i/>
            <w:iCs/>
            <w:szCs w:val="24"/>
          </w:rPr>
          <w:t>Yarrowia</w:t>
        </w:r>
        <w:proofErr w:type="spellEnd"/>
        <w:r w:rsidRPr="00F950DC">
          <w:rPr>
            <w:rFonts w:cs="Times New Roman"/>
            <w:i/>
            <w:iCs/>
            <w:szCs w:val="24"/>
          </w:rPr>
          <w:t> </w:t>
        </w:r>
        <w:proofErr w:type="spellStart"/>
        <w:r w:rsidRPr="00F950DC">
          <w:rPr>
            <w:rFonts w:cs="Times New Roman"/>
            <w:i/>
            <w:iCs/>
            <w:szCs w:val="24"/>
          </w:rPr>
          <w:t>lipolytica</w:t>
        </w:r>
      </w:ins>
      <w:proofErr w:type="spellEnd"/>
      <w:ins w:id="243" w:author="Urša Miklavčič" w:date="2026-01-28T15:27:00Z" w16du:dateUtc="2026-01-28T14:27:00Z">
        <w:r>
          <w:rPr>
            <w:rFonts w:cs="Times New Roman"/>
            <w:szCs w:val="24"/>
          </w:rPr>
          <w:t xml:space="preserve"> besides </w:t>
        </w:r>
        <w:r>
          <w:rPr>
            <w:rFonts w:cs="Times New Roman"/>
            <w:i/>
            <w:iCs/>
            <w:szCs w:val="24"/>
          </w:rPr>
          <w:t>Saccharomyces cerevisiae</w:t>
        </w:r>
      </w:ins>
      <w:ins w:id="244" w:author="Urša Miklavčič" w:date="2026-01-28T15:28:00Z" w16du:dateUtc="2026-01-28T14:28:00Z">
        <w:r>
          <w:rPr>
            <w:rFonts w:cs="Times New Roman"/>
            <w:szCs w:val="24"/>
          </w:rPr>
          <w:t xml:space="preserve">. </w:t>
        </w:r>
      </w:ins>
      <w:ins w:id="245" w:author="Urša Miklavčič" w:date="2026-01-28T15:29:00Z" w16du:dateUtc="2026-01-28T14:29:00Z">
        <w:r>
          <w:rPr>
            <w:rFonts w:cs="Times New Roman"/>
            <w:szCs w:val="24"/>
          </w:rPr>
          <w:t xml:space="preserve">We also detected two fungal species </w:t>
        </w:r>
      </w:ins>
      <w:ins w:id="246" w:author="Urša Miklavčič" w:date="2026-01-28T15:30:00Z" w16du:dateUtc="2026-01-28T14:30:00Z">
        <w:r>
          <w:rPr>
            <w:rFonts w:cs="Times New Roman"/>
            <w:szCs w:val="24"/>
          </w:rPr>
          <w:t xml:space="preserve">outside </w:t>
        </w:r>
        <w:proofErr w:type="spellStart"/>
        <w:r w:rsidRPr="00C74F81">
          <w:rPr>
            <w:rFonts w:cs="Times New Roman"/>
            <w:i/>
            <w:iCs/>
            <w:szCs w:val="24"/>
          </w:rPr>
          <w:t>Ascomycetota</w:t>
        </w:r>
        <w:proofErr w:type="spellEnd"/>
        <w:r>
          <w:rPr>
            <w:rFonts w:cs="Times New Roman"/>
            <w:szCs w:val="24"/>
          </w:rPr>
          <w:t xml:space="preserve"> phylum namely </w:t>
        </w:r>
      </w:ins>
      <w:proofErr w:type="spellStart"/>
      <w:ins w:id="247" w:author="Urša Miklavčič" w:date="2026-01-28T15:30:00Z">
        <w:r w:rsidRPr="00F950DC">
          <w:rPr>
            <w:rFonts w:cs="Times New Roman"/>
            <w:i/>
            <w:iCs/>
            <w:szCs w:val="24"/>
          </w:rPr>
          <w:t>Wallemia</w:t>
        </w:r>
        <w:proofErr w:type="spellEnd"/>
        <w:r w:rsidRPr="00F950DC">
          <w:rPr>
            <w:rFonts w:cs="Times New Roman"/>
            <w:i/>
            <w:iCs/>
            <w:szCs w:val="24"/>
          </w:rPr>
          <w:t> </w:t>
        </w:r>
        <w:proofErr w:type="spellStart"/>
        <w:r w:rsidRPr="00F950DC">
          <w:rPr>
            <w:rFonts w:cs="Times New Roman"/>
            <w:i/>
            <w:iCs/>
            <w:szCs w:val="24"/>
          </w:rPr>
          <w:t>mellicola</w:t>
        </w:r>
      </w:ins>
      <w:proofErr w:type="spellEnd"/>
      <w:ins w:id="248" w:author="Urša Miklavčič" w:date="2026-01-28T15:30:00Z" w16du:dateUtc="2026-01-28T14:30:00Z">
        <w:r>
          <w:rPr>
            <w:rFonts w:cs="Times New Roman"/>
            <w:szCs w:val="24"/>
          </w:rPr>
          <w:t xml:space="preserve"> and </w:t>
        </w:r>
      </w:ins>
      <w:ins w:id="249" w:author="Urša Miklavčič" w:date="2026-01-28T15:30:00Z">
        <w:r w:rsidRPr="00F950DC">
          <w:rPr>
            <w:rFonts w:cs="Times New Roman"/>
            <w:i/>
            <w:iCs/>
            <w:szCs w:val="24"/>
          </w:rPr>
          <w:t>Entamoeba dispar</w:t>
        </w:r>
      </w:ins>
      <w:ins w:id="250" w:author="Urša Miklavčič" w:date="2026-01-28T15:30:00Z" w16du:dateUtc="2026-01-28T14:30:00Z">
        <w:r>
          <w:rPr>
            <w:rFonts w:cs="Times New Roman"/>
            <w:szCs w:val="24"/>
          </w:rPr>
          <w:t xml:space="preserve"> but with only 2 and 3 reads mapping to their marker </w:t>
        </w:r>
      </w:ins>
      <w:ins w:id="251" w:author="Urša Miklavčič" w:date="2026-01-28T15:31:00Z" w16du:dateUtc="2026-01-28T14:31:00Z">
        <w:r>
          <w:rPr>
            <w:rFonts w:cs="Times New Roman"/>
            <w:szCs w:val="24"/>
          </w:rPr>
          <w:t xml:space="preserve">genes, respectively. </w:t>
        </w:r>
        <w:r w:rsidR="00F950DC">
          <w:rPr>
            <w:rFonts w:cs="Times New Roman"/>
            <w:szCs w:val="24"/>
          </w:rPr>
          <w:t xml:space="preserve">The same </w:t>
        </w:r>
      </w:ins>
      <w:ins w:id="252" w:author="Urša Miklavčič" w:date="2026-01-28T15:32:00Z" w16du:dateUtc="2026-01-28T14:32:00Z">
        <w:r w:rsidR="00F950DC">
          <w:rPr>
            <w:rFonts w:cs="Times New Roman"/>
            <w:szCs w:val="24"/>
          </w:rPr>
          <w:t>number</w:t>
        </w:r>
      </w:ins>
      <w:ins w:id="253" w:author="Urša Miklavčič" w:date="2026-01-28T15:31:00Z" w16du:dateUtc="2026-01-28T14:31:00Z">
        <w:r w:rsidR="00F950DC">
          <w:rPr>
            <w:rFonts w:cs="Times New Roman"/>
            <w:szCs w:val="24"/>
          </w:rPr>
          <w:t xml:space="preserve"> of reads was observed for the roundworm </w:t>
        </w:r>
      </w:ins>
      <w:ins w:id="254" w:author="Urša Miklavčič" w:date="2026-01-28T15:31:00Z">
        <w:r w:rsidR="00F950DC" w:rsidRPr="00F950DC">
          <w:rPr>
            <w:rFonts w:cs="Times New Roman"/>
            <w:i/>
            <w:iCs/>
            <w:szCs w:val="24"/>
          </w:rPr>
          <w:t>Caenorhabditis elegans</w:t>
        </w:r>
      </w:ins>
      <w:ins w:id="255" w:author="Urša Miklavčič" w:date="2026-01-28T15:31:00Z" w16du:dateUtc="2026-01-28T14:31:00Z">
        <w:r w:rsidR="00F950DC">
          <w:rPr>
            <w:rFonts w:cs="Times New Roman"/>
            <w:szCs w:val="24"/>
          </w:rPr>
          <w:t xml:space="preserve"> in one sample of participant H.  </w:t>
        </w:r>
      </w:ins>
    </w:p>
    <w:p w14:paraId="41526ED3" w14:textId="13AE10B4" w:rsidR="00591EA4" w:rsidRPr="0012562B" w:rsidRDefault="00F950DC" w:rsidP="005E294F">
      <w:pPr>
        <w:rPr>
          <w:ins w:id="256" w:author="Urša Miklavčič" w:date="2026-01-21T14:33:00Z" w16du:dateUtc="2026-01-21T13:33:00Z"/>
          <w:rFonts w:cs="Times New Roman"/>
          <w:i/>
          <w:iCs/>
          <w:szCs w:val="24"/>
        </w:rPr>
      </w:pPr>
      <w:ins w:id="257" w:author="Urša Miklavčič" w:date="2026-01-28T15:32:00Z" w16du:dateUtc="2026-01-28T14:32:00Z">
        <w:r>
          <w:rPr>
            <w:rFonts w:cs="Times New Roman"/>
            <w:szCs w:val="24"/>
          </w:rPr>
          <w:t>The</w:t>
        </w:r>
      </w:ins>
      <w:ins w:id="258" w:author="Urša Miklavčič" w:date="2026-01-28T15:09:00Z" w16du:dateUtc="2026-01-28T14:09:00Z">
        <w:r w:rsidR="00591EA4">
          <w:rPr>
            <w:rFonts w:cs="Times New Roman"/>
            <w:szCs w:val="24"/>
          </w:rPr>
          <w:t xml:space="preserve"> most abundant fungal species was </w:t>
        </w:r>
        <w:r w:rsidR="0012562B">
          <w:rPr>
            <w:rFonts w:cs="Times New Roman"/>
            <w:szCs w:val="24"/>
          </w:rPr>
          <w:t>sti</w:t>
        </w:r>
      </w:ins>
      <w:ins w:id="259" w:author="Urša Miklavčič" w:date="2026-01-28T15:10:00Z" w16du:dateUtc="2026-01-28T14:10:00Z">
        <w:r w:rsidR="0012562B">
          <w:rPr>
            <w:rFonts w:cs="Times New Roman"/>
            <w:szCs w:val="24"/>
          </w:rPr>
          <w:t xml:space="preserve">ll </w:t>
        </w:r>
        <w:r w:rsidR="0012562B">
          <w:rPr>
            <w:rFonts w:cs="Times New Roman"/>
            <w:i/>
            <w:iCs/>
            <w:szCs w:val="24"/>
          </w:rPr>
          <w:t>Saccharomyces cerevisiae</w:t>
        </w:r>
        <w:r w:rsidR="0012562B">
          <w:rPr>
            <w:rFonts w:cs="Times New Roman"/>
            <w:szCs w:val="24"/>
          </w:rPr>
          <w:t xml:space="preserve">, followed by </w:t>
        </w:r>
      </w:ins>
      <w:proofErr w:type="spellStart"/>
      <w:ins w:id="260" w:author="Urša Miklavčič" w:date="2026-01-28T15:12:00Z" w16du:dateUtc="2026-01-28T14:12:00Z">
        <w:r w:rsidR="0012562B" w:rsidRPr="0012562B">
          <w:rPr>
            <w:rFonts w:cs="Times New Roman"/>
            <w:i/>
            <w:iCs/>
            <w:szCs w:val="24"/>
          </w:rPr>
          <w:t>Debaryomyces</w:t>
        </w:r>
        <w:proofErr w:type="spellEnd"/>
        <w:r w:rsidR="0012562B" w:rsidRPr="0012562B">
          <w:rPr>
            <w:rFonts w:cs="Times New Roman"/>
            <w:i/>
            <w:iCs/>
            <w:szCs w:val="24"/>
          </w:rPr>
          <w:t xml:space="preserve"> </w:t>
        </w:r>
        <w:proofErr w:type="spellStart"/>
        <w:r w:rsidR="0012562B" w:rsidRPr="0012562B">
          <w:rPr>
            <w:rFonts w:cs="Times New Roman"/>
            <w:i/>
            <w:iCs/>
            <w:szCs w:val="24"/>
          </w:rPr>
          <w:t>hansenii</w:t>
        </w:r>
        <w:proofErr w:type="spellEnd"/>
        <w:r w:rsidR="0012562B">
          <w:rPr>
            <w:rFonts w:cs="Times New Roman"/>
            <w:szCs w:val="24"/>
          </w:rPr>
          <w:t xml:space="preserve"> also from the </w:t>
        </w:r>
        <w:proofErr w:type="spellStart"/>
        <w:r w:rsidR="0012562B" w:rsidRPr="0012562B">
          <w:rPr>
            <w:rFonts w:cs="Times New Roman"/>
            <w:i/>
            <w:iCs/>
            <w:szCs w:val="24"/>
          </w:rPr>
          <w:t>Saccharomycetaceae</w:t>
        </w:r>
        <w:proofErr w:type="spellEnd"/>
        <w:r w:rsidR="0012562B">
          <w:rPr>
            <w:rFonts w:cs="Times New Roman"/>
            <w:szCs w:val="24"/>
          </w:rPr>
          <w:t xml:space="preserve"> family, although the difference between them is 10-fold. A</w:t>
        </w:r>
      </w:ins>
      <w:ins w:id="261" w:author="Urša Miklavčič" w:date="2026-01-28T15:13:00Z" w16du:dateUtc="2026-01-28T14:13:00Z">
        <w:r w:rsidR="0012562B">
          <w:rPr>
            <w:rFonts w:cs="Times New Roman"/>
            <w:szCs w:val="24"/>
          </w:rPr>
          <w:t xml:space="preserve">ll other fungal species represented less than 0.0001 % of reads in all samples combined. </w:t>
        </w:r>
      </w:ins>
    </w:p>
    <w:p w14:paraId="370ECB41" w14:textId="77777777" w:rsidR="00287EE1" w:rsidRPr="00DA42F5" w:rsidRDefault="0004536B" w:rsidP="00287EE1">
      <w:pPr>
        <w:keepNext/>
      </w:pPr>
      <w:r w:rsidRPr="00DA42F5">
        <w:rPr>
          <w:rFonts w:cs="Times New Roman"/>
          <w:noProof/>
          <w:szCs w:val="24"/>
        </w:rPr>
        <w:lastRenderedPageBreak/>
        <w:drawing>
          <wp:inline distT="0" distB="0" distL="0" distR="0" wp14:anchorId="15E1A999" wp14:editId="3A998011">
            <wp:extent cx="5934075" cy="3514725"/>
            <wp:effectExtent l="0" t="0" r="9525" b="9525"/>
            <wp:docPr id="571377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b="11723"/>
                    <a:stretch/>
                  </pic:blipFill>
                  <pic:spPr bwMode="auto">
                    <a:xfrm>
                      <a:off x="0" y="0"/>
                      <a:ext cx="5934075" cy="3514725"/>
                    </a:xfrm>
                    <a:prstGeom prst="rect">
                      <a:avLst/>
                    </a:prstGeom>
                    <a:noFill/>
                    <a:ln>
                      <a:noFill/>
                    </a:ln>
                    <a:extLst>
                      <a:ext uri="{53640926-AAD7-44D8-BBD7-CCE9431645EC}">
                        <a14:shadowObscured xmlns:a14="http://schemas.microsoft.com/office/drawing/2010/main"/>
                      </a:ext>
                    </a:extLst>
                  </pic:spPr>
                </pic:pic>
              </a:graphicData>
            </a:graphic>
          </wp:inline>
        </w:drawing>
      </w:r>
    </w:p>
    <w:p w14:paraId="7FEC7B69" w14:textId="311E5251" w:rsidR="00BC2437" w:rsidRPr="00DA42F5" w:rsidRDefault="00287EE1" w:rsidP="00BC2437">
      <w:pPr>
        <w:pStyle w:val="Caption"/>
        <w:rPr>
          <w:rFonts w:cs="Times New Roman"/>
          <w:b w:val="0"/>
          <w:bCs/>
          <w:szCs w:val="24"/>
        </w:rPr>
      </w:pPr>
      <w:bookmarkStart w:id="262" w:name="_Toc216101621"/>
      <w:r w:rsidRPr="00DA42F5">
        <w:t xml:space="preserve">Figure </w:t>
      </w:r>
      <w:r w:rsidRPr="00DA42F5">
        <w:fldChar w:fldCharType="begin"/>
      </w:r>
      <w:r w:rsidRPr="00DA42F5">
        <w:instrText xml:space="preserve"> SEQ Figure \* ARABIC </w:instrText>
      </w:r>
      <w:r w:rsidRPr="00DA42F5">
        <w:fldChar w:fldCharType="separate"/>
      </w:r>
      <w:r w:rsidR="00C11001">
        <w:rPr>
          <w:noProof/>
        </w:rPr>
        <w:t>7</w:t>
      </w:r>
      <w:r w:rsidRPr="00DA42F5">
        <w:fldChar w:fldCharType="end"/>
      </w:r>
      <w:r w:rsidRPr="00DA42F5">
        <w:t xml:space="preserve">. Relative abundance and persistence of </w:t>
      </w:r>
      <w:r w:rsidR="00BC2437" w:rsidRPr="00DA42F5">
        <w:t>eukaryotic</w:t>
      </w:r>
      <w:r w:rsidRPr="00DA42F5">
        <w:t xml:space="preserve"> species in participants gut microbiota. </w:t>
      </w:r>
      <w:r w:rsidR="00EC1414" w:rsidRPr="00DA42F5">
        <w:rPr>
          <w:b w:val="0"/>
          <w:bCs/>
        </w:rPr>
        <w:t xml:space="preserve">Species were </w:t>
      </w:r>
      <w:r w:rsidR="00721B43" w:rsidRPr="00DA42F5">
        <w:rPr>
          <w:b w:val="0"/>
          <w:bCs/>
        </w:rPr>
        <w:t>identified</w:t>
      </w:r>
      <w:r w:rsidR="00EC1414" w:rsidRPr="00DA42F5">
        <w:rPr>
          <w:b w:val="0"/>
          <w:bCs/>
        </w:rPr>
        <w:t xml:space="preserve"> </w:t>
      </w:r>
      <w:r w:rsidR="00721B43" w:rsidRPr="00DA42F5">
        <w:rPr>
          <w:b w:val="0"/>
          <w:bCs/>
        </w:rPr>
        <w:t>using</w:t>
      </w:r>
      <w:r w:rsidR="00EC1414" w:rsidRPr="00DA42F5">
        <w:rPr>
          <w:b w:val="0"/>
          <w:bCs/>
        </w:rPr>
        <w:t xml:space="preserve"> </w:t>
      </w:r>
      <w:proofErr w:type="spellStart"/>
      <w:r w:rsidR="00EC1414" w:rsidRPr="00DA42F5">
        <w:rPr>
          <w:b w:val="0"/>
          <w:bCs/>
        </w:rPr>
        <w:t>MetaPhlAn</w:t>
      </w:r>
      <w:proofErr w:type="spellEnd"/>
      <w:r w:rsidR="00BC2437" w:rsidRPr="00DA42F5">
        <w:rPr>
          <w:b w:val="0"/>
          <w:bCs/>
        </w:rPr>
        <w:t>.</w:t>
      </w:r>
      <w:r w:rsidR="00EC1414" w:rsidRPr="00DA42F5">
        <w:rPr>
          <w:b w:val="0"/>
          <w:bCs/>
        </w:rPr>
        <w:t xml:space="preserve"> </w:t>
      </w:r>
      <w:r w:rsidR="00BC2437" w:rsidRPr="00DA42F5">
        <w:rPr>
          <w:b w:val="0"/>
          <w:bCs/>
        </w:rPr>
        <w:t>E</w:t>
      </w:r>
      <w:r w:rsidR="00EC1414" w:rsidRPr="00DA42F5">
        <w:rPr>
          <w:b w:val="0"/>
          <w:bCs/>
        </w:rPr>
        <w:t>ach plot depicts a participant (</w:t>
      </w:r>
      <w:r w:rsidR="00721B43" w:rsidRPr="00DA42F5">
        <w:rPr>
          <w:b w:val="0"/>
          <w:bCs/>
        </w:rPr>
        <w:t>labelled with capital letters</w:t>
      </w:r>
      <w:r w:rsidR="00BC2437" w:rsidRPr="00DA42F5">
        <w:rPr>
          <w:b w:val="0"/>
          <w:bCs/>
        </w:rPr>
        <w:t xml:space="preserve"> A to I</w:t>
      </w:r>
      <w:r w:rsidR="00EC1414" w:rsidRPr="00DA42F5">
        <w:rPr>
          <w:b w:val="0"/>
          <w:bCs/>
        </w:rPr>
        <w:t xml:space="preserve">), with days </w:t>
      </w:r>
      <w:r w:rsidR="00BC2437" w:rsidRPr="00DA42F5">
        <w:rPr>
          <w:b w:val="0"/>
          <w:bCs/>
        </w:rPr>
        <w:t xml:space="preserve">on the x-axis </w:t>
      </w:r>
      <w:r w:rsidR="00721B43" w:rsidRPr="00DA42F5">
        <w:rPr>
          <w:b w:val="0"/>
          <w:bCs/>
        </w:rPr>
        <w:t xml:space="preserve">indicating when </w:t>
      </w:r>
      <w:r w:rsidR="00EC1414" w:rsidRPr="00DA42F5">
        <w:rPr>
          <w:b w:val="0"/>
          <w:bCs/>
        </w:rPr>
        <w:t xml:space="preserve">the stool samples were </w:t>
      </w:r>
      <w:r w:rsidR="00721B43" w:rsidRPr="00DA42F5">
        <w:rPr>
          <w:b w:val="0"/>
          <w:bCs/>
        </w:rPr>
        <w:t>collected</w:t>
      </w:r>
      <w:bookmarkEnd w:id="262"/>
      <w:r w:rsidR="00BC2437" w:rsidRPr="00DA42F5">
        <w:rPr>
          <w:b w:val="0"/>
          <w:bCs/>
        </w:rPr>
        <w:t xml:space="preserve">. Vertical coloured lines indicate out-of-the-ordinary events reported by participants in their questionnaires.  </w:t>
      </w:r>
    </w:p>
    <w:p w14:paraId="6948D7EC" w14:textId="6DE5AEA3" w:rsidR="00721B43" w:rsidRDefault="006A3531" w:rsidP="00287EE1">
      <w:pPr>
        <w:pStyle w:val="Caption"/>
        <w:rPr>
          <w:ins w:id="263" w:author="Urša Miklavčič" w:date="2026-01-28T15:16:00Z" w16du:dateUtc="2026-01-28T14:16:00Z"/>
          <w:rFonts w:cs="Times New Roman"/>
          <w:b w:val="0"/>
          <w:bCs/>
          <w:szCs w:val="24"/>
        </w:rPr>
      </w:pPr>
      <w:ins w:id="264" w:author="Urša Miklavčič" w:date="2026-01-28T15:17:00Z" w16du:dateUtc="2026-01-28T14:17:00Z">
        <w:r>
          <w:rPr>
            <w:rFonts w:cs="Times New Roman"/>
            <w:b w:val="0"/>
            <w:bCs/>
            <w:noProof/>
            <w:szCs w:val="24"/>
          </w:rPr>
          <w:lastRenderedPageBreak/>
          <w:drawing>
            <wp:inline distT="0" distB="0" distL="0" distR="0" wp14:anchorId="1F6982AD" wp14:editId="1CA51ECE">
              <wp:extent cx="5943600" cy="4421505"/>
              <wp:effectExtent l="0" t="0" r="0" b="0"/>
              <wp:docPr id="1962421019"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21019" name="Picture 1" descr="A screenshot of a graph"/>
                      <pic:cNvPicPr/>
                    </pic:nvPicPr>
                    <pic:blipFill>
                      <a:blip r:embed="rId20">
                        <a:extLst>
                          <a:ext uri="{28A0092B-C50C-407E-A947-70E740481C1C}">
                            <a14:useLocalDpi xmlns:a14="http://schemas.microsoft.com/office/drawing/2010/main" val="0"/>
                          </a:ext>
                        </a:extLst>
                      </a:blip>
                      <a:stretch>
                        <a:fillRect/>
                      </a:stretch>
                    </pic:blipFill>
                    <pic:spPr>
                      <a:xfrm>
                        <a:off x="0" y="0"/>
                        <a:ext cx="5943600" cy="4421505"/>
                      </a:xfrm>
                      <a:prstGeom prst="rect">
                        <a:avLst/>
                      </a:prstGeom>
                    </pic:spPr>
                  </pic:pic>
                </a:graphicData>
              </a:graphic>
            </wp:inline>
          </w:drawing>
        </w:r>
      </w:ins>
    </w:p>
    <w:p w14:paraId="46580A9E" w14:textId="563E4C5F" w:rsidR="0012562B" w:rsidRDefault="0012562B">
      <w:pPr>
        <w:rPr>
          <w:ins w:id="265" w:author="Urša Miklavčič" w:date="2026-01-28T15:33:00Z" w16du:dateUtc="2026-01-28T14:33:00Z"/>
        </w:rPr>
      </w:pPr>
      <w:ins w:id="266" w:author="Urša Miklavčič" w:date="2026-01-28T15:16:00Z" w16du:dateUtc="2026-01-28T14:16:00Z">
        <w:r>
          <w:t xml:space="preserve">Alternative Figure 7. </w:t>
        </w:r>
      </w:ins>
      <w:ins w:id="267" w:author="Urša Miklavčič" w:date="2026-01-28T15:33:00Z" w16du:dateUtc="2026-01-28T14:33:00Z">
        <w:r w:rsidR="00F950DC" w:rsidRPr="00F950DC">
          <w:t xml:space="preserve">Abundance of eukaryotic species as detected by </w:t>
        </w:r>
        <w:proofErr w:type="spellStart"/>
        <w:r w:rsidR="00F950DC" w:rsidRPr="00F950DC">
          <w:t>EukDetect</w:t>
        </w:r>
        <w:proofErr w:type="spellEnd"/>
        <w:r w:rsidR="00F950DC" w:rsidRPr="00F950DC">
          <w:t>. On the x-axis the number represents the percentage of reads mapped to marker genes of a species vs. all reads in a sample, the y-axis represents each sample of an individual where eukaryotes were detected.</w:t>
        </w:r>
      </w:ins>
    </w:p>
    <w:p w14:paraId="06675D7E" w14:textId="77777777" w:rsidR="00F950DC" w:rsidRPr="00F950DC" w:rsidRDefault="00F950DC" w:rsidP="00F950DC"/>
    <w:p w14:paraId="2F9646AA" w14:textId="770D9054" w:rsidR="00721B43" w:rsidRPr="00DA42F5" w:rsidRDefault="00150795" w:rsidP="005E294F">
      <w:pPr>
        <w:rPr>
          <w:rFonts w:cs="Times New Roman"/>
          <w:szCs w:val="24"/>
        </w:rPr>
      </w:pPr>
      <w:r w:rsidRPr="00DA42F5">
        <w:rPr>
          <w:rFonts w:cs="Times New Roman"/>
          <w:szCs w:val="24"/>
        </w:rPr>
        <w:t>In microbiota samples we</w:t>
      </w:r>
      <w:r w:rsidR="005E294F" w:rsidRPr="00DA42F5">
        <w:rPr>
          <w:rFonts w:cs="Times New Roman"/>
          <w:szCs w:val="24"/>
        </w:rPr>
        <w:t xml:space="preserve"> detected both eukaryotic (</w:t>
      </w:r>
      <w:proofErr w:type="spellStart"/>
      <w:r w:rsidR="005E294F" w:rsidRPr="00DA42F5">
        <w:rPr>
          <w:rFonts w:cs="Times New Roman"/>
          <w:i/>
          <w:iCs/>
          <w:szCs w:val="24"/>
        </w:rPr>
        <w:t>Alsuviricetes</w:t>
      </w:r>
      <w:proofErr w:type="spellEnd"/>
      <w:r w:rsidR="005E294F" w:rsidRPr="00DA42F5">
        <w:rPr>
          <w:rFonts w:cs="Times New Roman"/>
          <w:i/>
          <w:iCs/>
          <w:szCs w:val="24"/>
        </w:rPr>
        <w:t xml:space="preserve">, </w:t>
      </w:r>
      <w:proofErr w:type="spellStart"/>
      <w:r w:rsidR="005E294F" w:rsidRPr="00DA42F5">
        <w:rPr>
          <w:rFonts w:cs="Times New Roman"/>
          <w:i/>
          <w:iCs/>
          <w:szCs w:val="24"/>
        </w:rPr>
        <w:t>Arfiviricetes</w:t>
      </w:r>
      <w:proofErr w:type="spellEnd"/>
      <w:r w:rsidR="005E294F" w:rsidRPr="00DA42F5">
        <w:rPr>
          <w:rFonts w:cs="Times New Roman"/>
          <w:i/>
          <w:iCs/>
          <w:szCs w:val="24"/>
        </w:rPr>
        <w:t xml:space="preserve">, </w:t>
      </w:r>
      <w:proofErr w:type="spellStart"/>
      <w:r w:rsidR="005E294F" w:rsidRPr="00DA42F5">
        <w:rPr>
          <w:rFonts w:cs="Times New Roman"/>
          <w:i/>
          <w:iCs/>
          <w:szCs w:val="24"/>
        </w:rPr>
        <w:t>Herviviricetes</w:t>
      </w:r>
      <w:proofErr w:type="spellEnd"/>
      <w:r w:rsidR="005E294F" w:rsidRPr="00DA42F5">
        <w:rPr>
          <w:rFonts w:cs="Times New Roman"/>
          <w:i/>
          <w:iCs/>
          <w:szCs w:val="24"/>
        </w:rPr>
        <w:t xml:space="preserve"> </w:t>
      </w:r>
      <w:r w:rsidR="005E294F" w:rsidRPr="00DA42F5">
        <w:rPr>
          <w:rFonts w:cs="Times New Roman"/>
          <w:szCs w:val="24"/>
        </w:rPr>
        <w:t>and</w:t>
      </w:r>
      <w:r w:rsidR="005E294F" w:rsidRPr="00DA42F5">
        <w:rPr>
          <w:rFonts w:cs="Times New Roman"/>
          <w:i/>
          <w:iCs/>
          <w:szCs w:val="24"/>
        </w:rPr>
        <w:t xml:space="preserve"> </w:t>
      </w:r>
      <w:proofErr w:type="spellStart"/>
      <w:r w:rsidR="005E294F" w:rsidRPr="00DA42F5">
        <w:rPr>
          <w:rFonts w:cs="Times New Roman"/>
          <w:i/>
          <w:iCs/>
          <w:szCs w:val="24"/>
        </w:rPr>
        <w:t>Megavirictes</w:t>
      </w:r>
      <w:proofErr w:type="spellEnd"/>
      <w:r w:rsidR="005E294F" w:rsidRPr="00DA42F5">
        <w:rPr>
          <w:rFonts w:cs="Times New Roman"/>
          <w:szCs w:val="24"/>
        </w:rPr>
        <w:t>) and bacterial viruses (</w:t>
      </w:r>
      <w:proofErr w:type="spellStart"/>
      <w:r w:rsidR="005E294F" w:rsidRPr="00DA42F5">
        <w:rPr>
          <w:rFonts w:cs="Times New Roman"/>
          <w:i/>
          <w:iCs/>
          <w:szCs w:val="24"/>
        </w:rPr>
        <w:t>Faserviricetes</w:t>
      </w:r>
      <w:proofErr w:type="spellEnd"/>
      <w:r w:rsidR="005E294F" w:rsidRPr="00DA42F5">
        <w:rPr>
          <w:rFonts w:cs="Times New Roman"/>
          <w:i/>
          <w:iCs/>
          <w:szCs w:val="24"/>
        </w:rPr>
        <w:t xml:space="preserve">, </w:t>
      </w:r>
      <w:proofErr w:type="spellStart"/>
      <w:r w:rsidR="005E294F" w:rsidRPr="00DA42F5">
        <w:rPr>
          <w:rFonts w:cs="Times New Roman"/>
          <w:i/>
          <w:iCs/>
          <w:szCs w:val="24"/>
        </w:rPr>
        <w:t>Malgrandeviricetes</w:t>
      </w:r>
      <w:proofErr w:type="spellEnd"/>
      <w:r w:rsidR="00721B43" w:rsidRPr="00DA42F5">
        <w:rPr>
          <w:rFonts w:cs="Times New Roman"/>
          <w:szCs w:val="24"/>
        </w:rPr>
        <w:t>,</w:t>
      </w:r>
      <w:r w:rsidR="005E294F" w:rsidRPr="00DA42F5">
        <w:rPr>
          <w:rFonts w:cs="Times New Roman"/>
          <w:szCs w:val="24"/>
        </w:rPr>
        <w:t xml:space="preserve"> and </w:t>
      </w:r>
      <w:proofErr w:type="spellStart"/>
      <w:r w:rsidR="005E294F" w:rsidRPr="00DA42F5">
        <w:rPr>
          <w:rFonts w:cs="Times New Roman"/>
          <w:i/>
          <w:iCs/>
          <w:szCs w:val="24"/>
        </w:rPr>
        <w:t>Caudoviricetes</w:t>
      </w:r>
      <w:proofErr w:type="spellEnd"/>
      <w:r w:rsidR="005E294F" w:rsidRPr="00DA42F5">
        <w:rPr>
          <w:rFonts w:cs="Times New Roman"/>
          <w:szCs w:val="24"/>
        </w:rPr>
        <w:t xml:space="preserve">), </w:t>
      </w:r>
      <w:r w:rsidR="00721B43" w:rsidRPr="00DA42F5">
        <w:rPr>
          <w:rFonts w:cs="Times New Roman"/>
          <w:szCs w:val="24"/>
        </w:rPr>
        <w:t>as well as</w:t>
      </w:r>
      <w:r w:rsidR="005E294F" w:rsidRPr="00DA42F5">
        <w:rPr>
          <w:rFonts w:cs="Times New Roman"/>
          <w:szCs w:val="24"/>
        </w:rPr>
        <w:t xml:space="preserve"> a family of viruses able to infect both eukaryotic and bacterial cells (</w:t>
      </w:r>
      <w:proofErr w:type="spellStart"/>
      <w:r w:rsidR="005E294F" w:rsidRPr="00DA42F5">
        <w:rPr>
          <w:rFonts w:cs="Times New Roman"/>
          <w:i/>
          <w:iCs/>
          <w:szCs w:val="24"/>
        </w:rPr>
        <w:t>Duplopiviricetes</w:t>
      </w:r>
      <w:proofErr w:type="spellEnd"/>
      <w:r w:rsidR="005E294F" w:rsidRPr="00DA42F5">
        <w:rPr>
          <w:rFonts w:cs="Times New Roman"/>
          <w:szCs w:val="24"/>
        </w:rPr>
        <w:t>)</w:t>
      </w:r>
      <w:r w:rsidRPr="00DA42F5">
        <w:rPr>
          <w:rFonts w:cs="Times New Roman"/>
          <w:szCs w:val="24"/>
        </w:rPr>
        <w:t xml:space="preserve"> </w:t>
      </w:r>
      <w:r w:rsidR="005E294F" w:rsidRPr="00DA42F5">
        <w:rPr>
          <w:rFonts w:cs="Times New Roman"/>
          <w:szCs w:val="24"/>
        </w:rPr>
        <w:t xml:space="preserve">(Figure </w:t>
      </w:r>
      <w:r w:rsidR="00EC1414" w:rsidRPr="00DA42F5">
        <w:rPr>
          <w:rFonts w:cs="Times New Roman"/>
          <w:szCs w:val="24"/>
        </w:rPr>
        <w:t>8</w:t>
      </w:r>
      <w:r w:rsidR="005E294F" w:rsidRPr="00DA42F5">
        <w:rPr>
          <w:rFonts w:cs="Times New Roman"/>
          <w:szCs w:val="24"/>
        </w:rPr>
        <w:t>). Bacteriophages were present at ten</w:t>
      </w:r>
      <w:r w:rsidR="00721B43" w:rsidRPr="00DA42F5">
        <w:rPr>
          <w:rFonts w:cs="Times New Roman"/>
          <w:szCs w:val="24"/>
        </w:rPr>
        <w:t xml:space="preserve"> </w:t>
      </w:r>
      <w:r w:rsidR="005E294F" w:rsidRPr="00DA42F5">
        <w:rPr>
          <w:rFonts w:cs="Times New Roman"/>
          <w:szCs w:val="24"/>
        </w:rPr>
        <w:t xml:space="preserve">times the relative abundance </w:t>
      </w:r>
      <w:r w:rsidR="00721B43" w:rsidRPr="00DA42F5">
        <w:rPr>
          <w:rFonts w:cs="Times New Roman"/>
          <w:szCs w:val="24"/>
        </w:rPr>
        <w:t>of</w:t>
      </w:r>
      <w:r w:rsidR="005E294F" w:rsidRPr="00DA42F5">
        <w:rPr>
          <w:rFonts w:cs="Times New Roman"/>
          <w:szCs w:val="24"/>
        </w:rPr>
        <w:t xml:space="preserve"> eukaryotic viruses</w:t>
      </w:r>
      <w:r w:rsidR="00721B43" w:rsidRPr="00DA42F5">
        <w:rPr>
          <w:rFonts w:cs="Times New Roman"/>
          <w:szCs w:val="24"/>
        </w:rPr>
        <w:t xml:space="preserve">. </w:t>
      </w:r>
      <w:proofErr w:type="spellStart"/>
      <w:r w:rsidR="005E294F" w:rsidRPr="00DA42F5">
        <w:rPr>
          <w:rFonts w:cs="Times New Roman"/>
          <w:i/>
          <w:iCs/>
          <w:szCs w:val="24"/>
        </w:rPr>
        <w:t>Caudovirales</w:t>
      </w:r>
      <w:proofErr w:type="spellEnd"/>
      <w:r w:rsidR="005E294F" w:rsidRPr="00DA42F5">
        <w:rPr>
          <w:rFonts w:cs="Times New Roman"/>
          <w:i/>
          <w:iCs/>
          <w:szCs w:val="24"/>
        </w:rPr>
        <w:t xml:space="preserve"> </w:t>
      </w:r>
      <w:r w:rsidR="00721B43" w:rsidRPr="00DA42F5">
        <w:rPr>
          <w:rFonts w:cs="Times New Roman"/>
          <w:szCs w:val="24"/>
        </w:rPr>
        <w:t>showed</w:t>
      </w:r>
      <w:r w:rsidR="005E294F" w:rsidRPr="00DA42F5">
        <w:rPr>
          <w:rFonts w:cs="Times New Roman"/>
          <w:szCs w:val="24"/>
        </w:rPr>
        <w:t xml:space="preserve"> the </w:t>
      </w:r>
      <w:r w:rsidR="00721B43" w:rsidRPr="00DA42F5">
        <w:rPr>
          <w:rFonts w:cs="Times New Roman"/>
          <w:szCs w:val="24"/>
        </w:rPr>
        <w:t>highest</w:t>
      </w:r>
      <w:r w:rsidR="005E294F" w:rsidRPr="00DA42F5">
        <w:rPr>
          <w:rFonts w:cs="Times New Roman"/>
          <w:szCs w:val="24"/>
        </w:rPr>
        <w:t xml:space="preserve"> abundance</w:t>
      </w:r>
      <w:r w:rsidR="00721B43" w:rsidRPr="00DA42F5">
        <w:rPr>
          <w:rFonts w:cs="Times New Roman"/>
          <w:szCs w:val="24"/>
        </w:rPr>
        <w:t xml:space="preserve"> among all groups</w:t>
      </w:r>
      <w:r w:rsidR="005E294F" w:rsidRPr="00DA42F5">
        <w:rPr>
          <w:rFonts w:cs="Times New Roman"/>
          <w:szCs w:val="24"/>
        </w:rPr>
        <w:t xml:space="preserve">. Viral communities in the human gut were individual-specific (Supplement Figure </w:t>
      </w:r>
      <w:ins w:id="268" w:author="Urša Miklavčič" w:date="2026-01-29T14:43:00Z" w16du:dateUtc="2026-01-29T13:43:00Z">
        <w:r w:rsidR="00717053">
          <w:rPr>
            <w:rFonts w:cs="Times New Roman"/>
            <w:szCs w:val="24"/>
          </w:rPr>
          <w:t>8</w:t>
        </w:r>
      </w:ins>
      <w:del w:id="269" w:author="Urša Miklavčič" w:date="2026-01-29T14:43:00Z" w16du:dateUtc="2026-01-29T13:43:00Z">
        <w:r w:rsidR="00BC2437" w:rsidRPr="00DA42F5" w:rsidDel="00717053">
          <w:rPr>
            <w:rFonts w:cs="Times New Roman"/>
            <w:szCs w:val="24"/>
          </w:rPr>
          <w:delText>7</w:delText>
        </w:r>
      </w:del>
      <w:r w:rsidR="005E294F" w:rsidRPr="00DA42F5">
        <w:rPr>
          <w:rFonts w:cs="Times New Roman"/>
          <w:szCs w:val="24"/>
        </w:rPr>
        <w:t xml:space="preserve">). </w:t>
      </w:r>
      <w:r w:rsidR="00721B43" w:rsidRPr="00DA42F5">
        <w:rPr>
          <w:rFonts w:cs="Times New Roman"/>
          <w:szCs w:val="24"/>
        </w:rPr>
        <w:t>The a</w:t>
      </w:r>
      <w:r w:rsidR="005E294F" w:rsidRPr="00DA42F5">
        <w:rPr>
          <w:rFonts w:cs="Times New Roman"/>
          <w:szCs w:val="24"/>
        </w:rPr>
        <w:t xml:space="preserve">bundance of viruses was persistent </w:t>
      </w:r>
      <w:r w:rsidR="00721B43" w:rsidRPr="00DA42F5">
        <w:rPr>
          <w:rFonts w:cs="Times New Roman"/>
          <w:szCs w:val="24"/>
        </w:rPr>
        <w:t>over</w:t>
      </w:r>
      <w:r w:rsidR="005E294F" w:rsidRPr="00DA42F5">
        <w:rPr>
          <w:rFonts w:cs="Times New Roman"/>
          <w:szCs w:val="24"/>
        </w:rPr>
        <w:t xml:space="preserve"> time and was not affected by extreme events or other metadata we </w:t>
      </w:r>
      <w:r w:rsidR="00721B43" w:rsidRPr="00DA42F5">
        <w:rPr>
          <w:rFonts w:cs="Times New Roman"/>
          <w:szCs w:val="24"/>
        </w:rPr>
        <w:t>collected</w:t>
      </w:r>
      <w:r w:rsidR="005E294F" w:rsidRPr="00DA42F5">
        <w:rPr>
          <w:rFonts w:cs="Times New Roman"/>
          <w:szCs w:val="24"/>
        </w:rPr>
        <w:t xml:space="preserve"> from </w:t>
      </w:r>
      <w:r w:rsidR="00721B43" w:rsidRPr="00DA42F5">
        <w:rPr>
          <w:rFonts w:cs="Times New Roman"/>
          <w:szCs w:val="24"/>
        </w:rPr>
        <w:t>participants</w:t>
      </w:r>
      <w:r w:rsidR="005E294F" w:rsidRPr="00DA42F5">
        <w:rPr>
          <w:rFonts w:cs="Times New Roman"/>
          <w:szCs w:val="24"/>
        </w:rPr>
        <w:t xml:space="preserve"> in ou</w:t>
      </w:r>
      <w:r w:rsidRPr="00DA42F5">
        <w:rPr>
          <w:rFonts w:cs="Times New Roman"/>
          <w:szCs w:val="24"/>
        </w:rPr>
        <w:t>r</w:t>
      </w:r>
      <w:r w:rsidR="005E294F" w:rsidRPr="00DA42F5">
        <w:rPr>
          <w:rFonts w:cs="Times New Roman"/>
          <w:szCs w:val="24"/>
        </w:rPr>
        <w:t xml:space="preserve"> cohort.</w:t>
      </w:r>
    </w:p>
    <w:p w14:paraId="0B655B84" w14:textId="77777777" w:rsidR="00287EE1" w:rsidRPr="00DA42F5" w:rsidRDefault="00C003EE" w:rsidP="00287EE1">
      <w:pPr>
        <w:keepNext/>
      </w:pPr>
      <w:r w:rsidRPr="00DA42F5">
        <w:rPr>
          <w:rFonts w:cs="Times New Roman"/>
          <w:noProof/>
          <w:szCs w:val="24"/>
        </w:rPr>
        <w:lastRenderedPageBreak/>
        <w:drawing>
          <wp:inline distT="0" distB="0" distL="0" distR="0" wp14:anchorId="04213FF5" wp14:editId="6C783B37">
            <wp:extent cx="5943600" cy="3685540"/>
            <wp:effectExtent l="0" t="0" r="0" b="0"/>
            <wp:docPr id="222200409" name="Picture 3"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00409" name="Picture 3" descr="A group of graphs showing different colored lin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685540"/>
                    </a:xfrm>
                    <a:prstGeom prst="rect">
                      <a:avLst/>
                    </a:prstGeom>
                  </pic:spPr>
                </pic:pic>
              </a:graphicData>
            </a:graphic>
          </wp:inline>
        </w:drawing>
      </w:r>
    </w:p>
    <w:p w14:paraId="78C94E26" w14:textId="18FD5464" w:rsidR="00C003EE" w:rsidRPr="00DA42F5" w:rsidRDefault="00287EE1" w:rsidP="00287EE1">
      <w:pPr>
        <w:pStyle w:val="Caption"/>
        <w:rPr>
          <w:rFonts w:cs="Times New Roman"/>
          <w:b w:val="0"/>
          <w:bCs/>
          <w:szCs w:val="24"/>
        </w:rPr>
      </w:pPr>
      <w:bookmarkStart w:id="270" w:name="_Toc216101622"/>
      <w:r w:rsidRPr="00DA42F5">
        <w:t xml:space="preserve">Figure </w:t>
      </w:r>
      <w:r w:rsidRPr="00DA42F5">
        <w:fldChar w:fldCharType="begin"/>
      </w:r>
      <w:r w:rsidRPr="00DA42F5">
        <w:instrText xml:space="preserve"> SEQ Figure \* ARABIC </w:instrText>
      </w:r>
      <w:r w:rsidRPr="00DA42F5">
        <w:fldChar w:fldCharType="separate"/>
      </w:r>
      <w:r w:rsidR="00C11001">
        <w:rPr>
          <w:noProof/>
        </w:rPr>
        <w:t>8</w:t>
      </w:r>
      <w:r w:rsidRPr="00DA42F5">
        <w:fldChar w:fldCharType="end"/>
      </w:r>
      <w:r w:rsidRPr="00DA42F5">
        <w:t>. Log-scaled reads per million</w:t>
      </w:r>
      <w:del w:id="271" w:author="Urša Miklavčič" w:date="2026-01-21T09:57:00Z" w16du:dateUtc="2026-01-21T08:57:00Z">
        <w:r w:rsidRPr="00DA42F5" w:rsidDel="00253CCD">
          <w:delText xml:space="preserve"> (TPM)</w:delText>
        </w:r>
      </w:del>
      <w:r w:rsidRPr="00DA42F5">
        <w:t xml:space="preserve"> of viral classes in participants' gut microbiota. </w:t>
      </w:r>
      <w:r w:rsidR="00BC2437" w:rsidRPr="00DA42F5">
        <w:rPr>
          <w:b w:val="0"/>
          <w:bCs/>
        </w:rPr>
        <w:t>Viral sequences were</w:t>
      </w:r>
      <w:r w:rsidR="00150795" w:rsidRPr="00DA42F5">
        <w:rPr>
          <w:b w:val="0"/>
          <w:bCs/>
        </w:rPr>
        <w:t xml:space="preserve"> </w:t>
      </w:r>
      <w:r w:rsidR="00BC2437" w:rsidRPr="00DA42F5">
        <w:rPr>
          <w:b w:val="0"/>
          <w:bCs/>
        </w:rPr>
        <w:t>identified</w:t>
      </w:r>
      <w:r w:rsidR="00150795" w:rsidRPr="00DA42F5">
        <w:rPr>
          <w:b w:val="0"/>
          <w:bCs/>
        </w:rPr>
        <w:t xml:space="preserve"> using </w:t>
      </w:r>
      <w:proofErr w:type="spellStart"/>
      <w:r w:rsidR="00150795" w:rsidRPr="00DA42F5">
        <w:rPr>
          <w:b w:val="0"/>
          <w:bCs/>
        </w:rPr>
        <w:t>geNomad</w:t>
      </w:r>
      <w:proofErr w:type="spellEnd"/>
      <w:r w:rsidR="00150795" w:rsidRPr="00DA42F5">
        <w:rPr>
          <w:b w:val="0"/>
          <w:bCs/>
        </w:rPr>
        <w:t xml:space="preserve">. Each plot </w:t>
      </w:r>
      <w:r w:rsidR="00BC2437" w:rsidRPr="00DA42F5">
        <w:rPr>
          <w:b w:val="0"/>
          <w:bCs/>
        </w:rPr>
        <w:t>depicts</w:t>
      </w:r>
      <w:r w:rsidR="00150795" w:rsidRPr="00DA42F5">
        <w:rPr>
          <w:b w:val="0"/>
          <w:bCs/>
        </w:rPr>
        <w:t xml:space="preserve"> </w:t>
      </w:r>
      <w:r w:rsidR="00BC2437" w:rsidRPr="00DA42F5">
        <w:rPr>
          <w:b w:val="0"/>
          <w:bCs/>
        </w:rPr>
        <w:t>one</w:t>
      </w:r>
      <w:r w:rsidR="00150795" w:rsidRPr="00DA42F5">
        <w:rPr>
          <w:b w:val="0"/>
          <w:bCs/>
        </w:rPr>
        <w:t xml:space="preserve"> participant (labelled </w:t>
      </w:r>
      <w:r w:rsidR="00BC2437" w:rsidRPr="00DA42F5">
        <w:rPr>
          <w:b w:val="0"/>
          <w:bCs/>
        </w:rPr>
        <w:t xml:space="preserve">with capital letters </w:t>
      </w:r>
      <w:r w:rsidR="00150795" w:rsidRPr="00DA42F5">
        <w:rPr>
          <w:b w:val="0"/>
          <w:bCs/>
        </w:rPr>
        <w:t>A to I), with days</w:t>
      </w:r>
      <w:r w:rsidR="00BC2437" w:rsidRPr="00DA42F5">
        <w:rPr>
          <w:b w:val="0"/>
          <w:bCs/>
        </w:rPr>
        <w:t xml:space="preserve"> on the x-axis</w:t>
      </w:r>
      <w:r w:rsidR="00150795" w:rsidRPr="00DA42F5">
        <w:rPr>
          <w:b w:val="0"/>
          <w:bCs/>
        </w:rPr>
        <w:t xml:space="preserve"> indicating when stool samples were collected. Vertical coloured lines indicate out-of-the-ordinary events reported by participants in their questionnaires.</w:t>
      </w:r>
      <w:bookmarkEnd w:id="270"/>
      <w:r w:rsidR="00150795" w:rsidRPr="00DA42F5">
        <w:rPr>
          <w:b w:val="0"/>
          <w:bCs/>
        </w:rPr>
        <w:t xml:space="preserve">  </w:t>
      </w:r>
    </w:p>
    <w:p w14:paraId="17B03697" w14:textId="77777777" w:rsidR="00F7553E" w:rsidRPr="00DA42F5" w:rsidRDefault="00F7553E" w:rsidP="00A3533D">
      <w:pPr>
        <w:rPr>
          <w:rFonts w:cs="Times New Roman"/>
          <w:szCs w:val="24"/>
        </w:rPr>
      </w:pPr>
    </w:p>
    <w:p w14:paraId="0765FDA4" w14:textId="762151F5" w:rsidR="00613E64" w:rsidRPr="00DA42F5" w:rsidRDefault="00F7553E" w:rsidP="00A3533D">
      <w:pPr>
        <w:rPr>
          <w:rFonts w:cs="Times New Roman"/>
          <w:szCs w:val="24"/>
        </w:rPr>
      </w:pPr>
      <w:r w:rsidRPr="00DA42F5">
        <w:rPr>
          <w:rFonts w:cs="Times New Roman"/>
          <w:szCs w:val="24"/>
        </w:rPr>
        <w:t xml:space="preserve">Using </w:t>
      </w:r>
      <w:proofErr w:type="spellStart"/>
      <w:r w:rsidRPr="00DA42F5">
        <w:rPr>
          <w:rFonts w:cs="Times New Roman"/>
          <w:szCs w:val="24"/>
        </w:rPr>
        <w:t>MetaPhlAn</w:t>
      </w:r>
      <w:proofErr w:type="spellEnd"/>
      <w:r w:rsidRPr="00DA42F5">
        <w:rPr>
          <w:rFonts w:cs="Times New Roman"/>
          <w:szCs w:val="24"/>
        </w:rPr>
        <w:t xml:space="preserve"> we detected marker genes for </w:t>
      </w:r>
      <w:r w:rsidR="005E294F" w:rsidRPr="00DA42F5">
        <w:rPr>
          <w:rFonts w:cs="Times New Roman"/>
          <w:szCs w:val="24"/>
        </w:rPr>
        <w:t xml:space="preserve">1033 </w:t>
      </w:r>
      <w:r w:rsidR="007D46B7" w:rsidRPr="00DA42F5">
        <w:rPr>
          <w:rFonts w:cs="Times New Roman"/>
          <w:szCs w:val="24"/>
        </w:rPr>
        <w:t xml:space="preserve">bacterial </w:t>
      </w:r>
      <w:r w:rsidR="005E294F" w:rsidRPr="00DA42F5">
        <w:rPr>
          <w:rFonts w:cs="Times New Roman"/>
          <w:szCs w:val="24"/>
        </w:rPr>
        <w:t>single-genome bins (</w:t>
      </w:r>
      <w:proofErr w:type="spellStart"/>
      <w:r w:rsidR="005E294F" w:rsidRPr="00DA42F5">
        <w:rPr>
          <w:rFonts w:cs="Times New Roman"/>
          <w:szCs w:val="24"/>
        </w:rPr>
        <w:t>SGBs</w:t>
      </w:r>
      <w:proofErr w:type="spellEnd"/>
      <w:r w:rsidR="005E294F" w:rsidRPr="00DA42F5">
        <w:rPr>
          <w:rFonts w:cs="Times New Roman"/>
          <w:szCs w:val="24"/>
        </w:rPr>
        <w:t xml:space="preserve">) </w:t>
      </w:r>
      <w:r w:rsidR="007D46B7" w:rsidRPr="00DA42F5">
        <w:rPr>
          <w:rFonts w:cs="Times New Roman"/>
          <w:szCs w:val="24"/>
        </w:rPr>
        <w:t xml:space="preserve">across </w:t>
      </w:r>
      <w:r w:rsidR="00A3533D" w:rsidRPr="00DA42F5">
        <w:rPr>
          <w:rFonts w:cs="Times New Roman"/>
          <w:szCs w:val="24"/>
        </w:rPr>
        <w:t xml:space="preserve">all </w:t>
      </w:r>
      <w:r w:rsidR="007D46B7" w:rsidRPr="00DA42F5">
        <w:rPr>
          <w:rFonts w:cs="Times New Roman"/>
          <w:szCs w:val="24"/>
        </w:rPr>
        <w:t>shotgun metagenomic samples</w:t>
      </w:r>
      <w:r w:rsidR="005E294F" w:rsidRPr="00DA42F5">
        <w:rPr>
          <w:rFonts w:cs="Times New Roman"/>
          <w:szCs w:val="24"/>
        </w:rPr>
        <w:t xml:space="preserve">. </w:t>
      </w:r>
      <w:r w:rsidR="00150795" w:rsidRPr="00DA42F5">
        <w:rPr>
          <w:rFonts w:cs="Times New Roman"/>
          <w:szCs w:val="24"/>
        </w:rPr>
        <w:t>Of these</w:t>
      </w:r>
      <w:r w:rsidR="00C21880" w:rsidRPr="00DA42F5">
        <w:rPr>
          <w:rFonts w:cs="Times New Roman"/>
          <w:szCs w:val="24"/>
        </w:rPr>
        <w:t>,</w:t>
      </w:r>
      <w:r w:rsidR="005E294F" w:rsidRPr="00DA42F5">
        <w:rPr>
          <w:rFonts w:cs="Times New Roman"/>
          <w:szCs w:val="24"/>
        </w:rPr>
        <w:t xml:space="preserve"> 527 </w:t>
      </w:r>
      <w:r w:rsidR="007D46B7" w:rsidRPr="00DA42F5">
        <w:rPr>
          <w:rFonts w:cs="Times New Roman"/>
          <w:szCs w:val="24"/>
        </w:rPr>
        <w:t xml:space="preserve">were assigned to a named </w:t>
      </w:r>
      <w:proofErr w:type="spellStart"/>
      <w:r w:rsidR="007D46B7" w:rsidRPr="00DA42F5">
        <w:rPr>
          <w:rFonts w:cs="Times New Roman"/>
          <w:szCs w:val="24"/>
        </w:rPr>
        <w:t>NCBI</w:t>
      </w:r>
      <w:proofErr w:type="spellEnd"/>
      <w:r w:rsidR="007D46B7" w:rsidRPr="00DA42F5">
        <w:rPr>
          <w:rFonts w:cs="Times New Roman"/>
          <w:szCs w:val="24"/>
        </w:rPr>
        <w:t xml:space="preserve"> species, </w:t>
      </w:r>
      <w:r w:rsidR="00150795" w:rsidRPr="00DA42F5">
        <w:rPr>
          <w:rFonts w:cs="Times New Roman"/>
          <w:szCs w:val="24"/>
        </w:rPr>
        <w:t xml:space="preserve">while the </w:t>
      </w:r>
      <w:r w:rsidR="007D46B7" w:rsidRPr="00DA42F5">
        <w:rPr>
          <w:rFonts w:cs="Times New Roman"/>
          <w:szCs w:val="24"/>
        </w:rPr>
        <w:t xml:space="preserve">remainder </w:t>
      </w:r>
      <w:r w:rsidR="00BC2437" w:rsidRPr="00DA42F5">
        <w:rPr>
          <w:rFonts w:cs="Times New Roman"/>
          <w:szCs w:val="24"/>
        </w:rPr>
        <w:t xml:space="preserve">(n = 506) </w:t>
      </w:r>
      <w:r w:rsidR="007D46B7" w:rsidRPr="00DA42F5">
        <w:rPr>
          <w:rFonts w:cs="Times New Roman"/>
          <w:szCs w:val="24"/>
        </w:rPr>
        <w:t xml:space="preserve">were classified only at </w:t>
      </w:r>
      <w:r w:rsidR="00150795" w:rsidRPr="00DA42F5">
        <w:rPr>
          <w:rFonts w:cs="Times New Roman"/>
          <w:szCs w:val="24"/>
        </w:rPr>
        <w:t xml:space="preserve">the </w:t>
      </w:r>
      <w:r w:rsidR="005E294F" w:rsidRPr="00DA42F5">
        <w:rPr>
          <w:rFonts w:cs="Times New Roman"/>
          <w:szCs w:val="24"/>
        </w:rPr>
        <w:t>phylum</w:t>
      </w:r>
      <w:r w:rsidR="00BC2437" w:rsidRPr="00DA42F5">
        <w:rPr>
          <w:rFonts w:cs="Times New Roman"/>
          <w:szCs w:val="24"/>
        </w:rPr>
        <w:t xml:space="preserve"> or family</w:t>
      </w:r>
      <w:r w:rsidR="00B953D5" w:rsidRPr="00DA42F5">
        <w:rPr>
          <w:rFonts w:cs="Times New Roman"/>
          <w:szCs w:val="24"/>
        </w:rPr>
        <w:t xml:space="preserve"> </w:t>
      </w:r>
      <w:r w:rsidR="005E294F" w:rsidRPr="00DA42F5">
        <w:rPr>
          <w:rFonts w:cs="Times New Roman"/>
          <w:szCs w:val="24"/>
        </w:rPr>
        <w:t>level</w:t>
      </w:r>
      <w:r w:rsidR="00C003EE" w:rsidRPr="00DA42F5">
        <w:rPr>
          <w:rFonts w:cs="Times New Roman"/>
          <w:szCs w:val="24"/>
        </w:rPr>
        <w:t xml:space="preserve">. </w:t>
      </w:r>
      <w:r w:rsidR="007D46B7" w:rsidRPr="00DA42F5">
        <w:rPr>
          <w:rFonts w:cs="Times New Roman"/>
          <w:szCs w:val="24"/>
        </w:rPr>
        <w:t xml:space="preserve">In amplicon data, 2572 OTUs were detected across all samples. </w:t>
      </w:r>
      <w:r w:rsidR="00543487" w:rsidRPr="00DA42F5">
        <w:rPr>
          <w:rFonts w:cs="Times New Roman"/>
          <w:szCs w:val="24"/>
        </w:rPr>
        <w:t xml:space="preserve">The number of detected bacterial genera </w:t>
      </w:r>
      <w:r w:rsidR="00150795" w:rsidRPr="00DA42F5">
        <w:rPr>
          <w:rFonts w:cs="Times New Roman"/>
          <w:szCs w:val="24"/>
        </w:rPr>
        <w:t>differs between</w:t>
      </w:r>
      <w:r w:rsidR="00543487" w:rsidRPr="00DA42F5">
        <w:rPr>
          <w:rFonts w:cs="Times New Roman"/>
          <w:szCs w:val="24"/>
        </w:rPr>
        <w:t xml:space="preserve"> </w:t>
      </w:r>
      <w:r w:rsidR="007D46B7" w:rsidRPr="00DA42F5">
        <w:rPr>
          <w:rFonts w:cs="Times New Roman"/>
          <w:szCs w:val="24"/>
        </w:rPr>
        <w:t>the two approaches</w:t>
      </w:r>
      <w:r w:rsidR="00BC2437" w:rsidRPr="00DA42F5">
        <w:rPr>
          <w:rFonts w:cs="Times New Roman"/>
          <w:szCs w:val="24"/>
        </w:rPr>
        <w:t xml:space="preserve"> (Figure 9)</w:t>
      </w:r>
      <w:r w:rsidR="007D46B7" w:rsidRPr="00DA42F5">
        <w:rPr>
          <w:rFonts w:cs="Times New Roman"/>
          <w:szCs w:val="24"/>
        </w:rPr>
        <w:t>. A</w:t>
      </w:r>
      <w:r w:rsidR="00543487" w:rsidRPr="00DA42F5">
        <w:rPr>
          <w:rFonts w:cs="Times New Roman"/>
          <w:szCs w:val="24"/>
        </w:rPr>
        <w:t xml:space="preserve">mplicon </w:t>
      </w:r>
      <w:r w:rsidR="007D46B7" w:rsidRPr="00DA42F5">
        <w:rPr>
          <w:rFonts w:cs="Times New Roman"/>
          <w:szCs w:val="24"/>
        </w:rPr>
        <w:t xml:space="preserve">sequencing detected more genera than shotgun sequencing in </w:t>
      </w:r>
      <w:r w:rsidR="00253CCD">
        <w:rPr>
          <w:rFonts w:cs="Times New Roman"/>
          <w:szCs w:val="24"/>
        </w:rPr>
        <w:t>untreated stool</w:t>
      </w:r>
      <w:r w:rsidR="007D46B7" w:rsidRPr="00DA42F5">
        <w:rPr>
          <w:rFonts w:cs="Times New Roman"/>
          <w:szCs w:val="24"/>
        </w:rPr>
        <w:t xml:space="preserve"> samples. In ethanol treated samples, this difference was smaller, s</w:t>
      </w:r>
      <w:r w:rsidRPr="00DA42F5">
        <w:rPr>
          <w:rFonts w:cs="Times New Roman"/>
          <w:szCs w:val="24"/>
        </w:rPr>
        <w:t xml:space="preserve">uggesting shotgun metagenomic sequencing </w:t>
      </w:r>
      <w:r w:rsidR="007D46B7" w:rsidRPr="00DA42F5">
        <w:rPr>
          <w:rFonts w:cs="Times New Roman"/>
          <w:szCs w:val="24"/>
        </w:rPr>
        <w:t xml:space="preserve">more readily </w:t>
      </w:r>
      <w:r w:rsidRPr="00DA42F5">
        <w:rPr>
          <w:rFonts w:cs="Times New Roman"/>
          <w:szCs w:val="24"/>
        </w:rPr>
        <w:t>detects low-abundan</w:t>
      </w:r>
      <w:r w:rsidR="007D46B7" w:rsidRPr="00DA42F5">
        <w:rPr>
          <w:rFonts w:cs="Times New Roman"/>
          <w:szCs w:val="24"/>
        </w:rPr>
        <w:t>ce</w:t>
      </w:r>
      <w:r w:rsidRPr="00DA42F5">
        <w:rPr>
          <w:rFonts w:cs="Times New Roman"/>
          <w:szCs w:val="24"/>
        </w:rPr>
        <w:t xml:space="preserve"> organisms in less diverse samples</w:t>
      </w:r>
      <w:r w:rsidR="007D46B7" w:rsidRPr="00DA42F5">
        <w:rPr>
          <w:rFonts w:cs="Times New Roman"/>
          <w:szCs w:val="24"/>
        </w:rPr>
        <w:t xml:space="preserve"> but is less effective in high diversity samples</w:t>
      </w:r>
      <w:r w:rsidRPr="00DA42F5">
        <w:rPr>
          <w:rFonts w:cs="Times New Roman"/>
          <w:szCs w:val="24"/>
        </w:rPr>
        <w:t xml:space="preserve"> </w:t>
      </w:r>
      <w:r w:rsidR="007D46B7" w:rsidRPr="00DA42F5">
        <w:rPr>
          <w:rFonts w:cs="Times New Roman"/>
          <w:szCs w:val="24"/>
        </w:rPr>
        <w:t xml:space="preserve">despite </w:t>
      </w:r>
      <w:r w:rsidR="00BC2437" w:rsidRPr="00DA42F5">
        <w:rPr>
          <w:rFonts w:cs="Times New Roman"/>
          <w:szCs w:val="24"/>
        </w:rPr>
        <w:t xml:space="preserve">the </w:t>
      </w:r>
      <w:r w:rsidR="007D46B7" w:rsidRPr="00DA42F5">
        <w:rPr>
          <w:rFonts w:cs="Times New Roman"/>
          <w:szCs w:val="24"/>
        </w:rPr>
        <w:t>deep sequencing</w:t>
      </w:r>
      <w:r w:rsidR="00543487" w:rsidRPr="00DA42F5">
        <w:rPr>
          <w:rFonts w:cs="Times New Roman"/>
          <w:szCs w:val="24"/>
        </w:rPr>
        <w:t>.</w:t>
      </w:r>
    </w:p>
    <w:p w14:paraId="636B191B" w14:textId="3A35FA28" w:rsidR="00287EE1" w:rsidRDefault="00031A12" w:rsidP="00287EE1">
      <w:pPr>
        <w:keepNext/>
      </w:pPr>
      <w:r>
        <w:rPr>
          <w:rFonts w:cs="Times New Roman"/>
          <w:noProof/>
          <w:szCs w:val="24"/>
        </w:rPr>
        <w:lastRenderedPageBreak/>
        <w:drawing>
          <wp:inline distT="0" distB="0" distL="0" distR="0" wp14:anchorId="6287C3D1" wp14:editId="4A0EC720">
            <wp:extent cx="5934710" cy="2743200"/>
            <wp:effectExtent l="0" t="0" r="8890" b="0"/>
            <wp:docPr id="1681312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4710" cy="2743200"/>
                    </a:xfrm>
                    <a:prstGeom prst="rect">
                      <a:avLst/>
                    </a:prstGeom>
                    <a:noFill/>
                    <a:ln>
                      <a:noFill/>
                    </a:ln>
                  </pic:spPr>
                </pic:pic>
              </a:graphicData>
            </a:graphic>
          </wp:inline>
        </w:drawing>
      </w:r>
    </w:p>
    <w:p w14:paraId="507722C2" w14:textId="29DBDA6C" w:rsidR="00543487" w:rsidRPr="00DA42F5" w:rsidRDefault="00287EE1" w:rsidP="00287EE1">
      <w:pPr>
        <w:pStyle w:val="Caption"/>
        <w:rPr>
          <w:rFonts w:cs="Times New Roman"/>
          <w:b w:val="0"/>
          <w:bCs/>
          <w:szCs w:val="24"/>
        </w:rPr>
      </w:pPr>
      <w:bookmarkStart w:id="272" w:name="_Toc216101623"/>
      <w:r w:rsidRPr="00DA42F5">
        <w:t xml:space="preserve">Figure </w:t>
      </w:r>
      <w:r w:rsidRPr="00DA42F5">
        <w:fldChar w:fldCharType="begin"/>
      </w:r>
      <w:r w:rsidRPr="00DA42F5">
        <w:instrText xml:space="preserve"> SEQ Figure \* ARABIC </w:instrText>
      </w:r>
      <w:r w:rsidRPr="00DA42F5">
        <w:fldChar w:fldCharType="separate"/>
      </w:r>
      <w:r w:rsidR="00C11001">
        <w:rPr>
          <w:noProof/>
        </w:rPr>
        <w:t>9</w:t>
      </w:r>
      <w:r w:rsidRPr="00DA42F5">
        <w:fldChar w:fldCharType="end"/>
      </w:r>
      <w:r w:rsidRPr="00DA42F5">
        <w:t xml:space="preserve">. Number of </w:t>
      </w:r>
      <w:r w:rsidR="00253CCD">
        <w:t xml:space="preserve">bacterial </w:t>
      </w:r>
      <w:r w:rsidRPr="00DA42F5">
        <w:t>genera detected in each sample</w:t>
      </w:r>
      <w:r w:rsidR="00BC2437" w:rsidRPr="00DA42F5">
        <w:t xml:space="preserve"> (point)</w:t>
      </w:r>
      <w:r w:rsidRPr="00DA42F5">
        <w:t xml:space="preserve"> using amplicon sequencing (y-axis) and shotgun metagenomic sequencing (x-axis). </w:t>
      </w:r>
      <w:r w:rsidR="00543487" w:rsidRPr="00DA42F5">
        <w:rPr>
          <w:b w:val="0"/>
          <w:bCs/>
        </w:rPr>
        <w:t>The black line represents the identity function (x = y</w:t>
      </w:r>
      <w:r w:rsidR="00BC2437" w:rsidRPr="00DA42F5">
        <w:rPr>
          <w:b w:val="0"/>
          <w:bCs/>
        </w:rPr>
        <w:t>)</w:t>
      </w:r>
      <w:r w:rsidR="00613E64" w:rsidRPr="00DA42F5">
        <w:rPr>
          <w:b w:val="0"/>
          <w:bCs/>
        </w:rPr>
        <w:t>. I</w:t>
      </w:r>
      <w:r w:rsidR="00543487" w:rsidRPr="00DA42F5">
        <w:rPr>
          <w:b w:val="0"/>
          <w:bCs/>
        </w:rPr>
        <w:t>f the points f</w:t>
      </w:r>
      <w:r w:rsidR="00B749CB" w:rsidRPr="00DA42F5">
        <w:rPr>
          <w:b w:val="0"/>
          <w:bCs/>
        </w:rPr>
        <w:t>e</w:t>
      </w:r>
      <w:r w:rsidR="00543487" w:rsidRPr="00DA42F5">
        <w:rPr>
          <w:b w:val="0"/>
          <w:bCs/>
        </w:rPr>
        <w:t>ll on the line</w:t>
      </w:r>
      <w:r w:rsidR="00B749CB" w:rsidRPr="00DA42F5">
        <w:rPr>
          <w:b w:val="0"/>
          <w:bCs/>
        </w:rPr>
        <w:t>,</w:t>
      </w:r>
      <w:r w:rsidR="00543487" w:rsidRPr="00DA42F5">
        <w:rPr>
          <w:b w:val="0"/>
          <w:bCs/>
        </w:rPr>
        <w:t xml:space="preserve"> we could assume identical observations with </w:t>
      </w:r>
      <w:r w:rsidR="00B749CB" w:rsidRPr="00DA42F5">
        <w:rPr>
          <w:b w:val="0"/>
          <w:bCs/>
        </w:rPr>
        <w:t>both</w:t>
      </w:r>
      <w:r w:rsidR="00543487" w:rsidRPr="00DA42F5">
        <w:rPr>
          <w:b w:val="0"/>
          <w:bCs/>
        </w:rPr>
        <w:t xml:space="preserve"> types of data.</w:t>
      </w:r>
      <w:bookmarkEnd w:id="272"/>
      <w:r w:rsidR="00543487" w:rsidRPr="00DA42F5">
        <w:rPr>
          <w:b w:val="0"/>
          <w:bCs/>
        </w:rPr>
        <w:t xml:space="preserve">  </w:t>
      </w:r>
    </w:p>
    <w:p w14:paraId="2585F1B4" w14:textId="05C29C19" w:rsidR="00DF7BAC" w:rsidRPr="00DA42F5" w:rsidRDefault="00080C98" w:rsidP="005E294F">
      <w:pPr>
        <w:rPr>
          <w:rFonts w:cs="Times New Roman"/>
          <w:szCs w:val="24"/>
        </w:rPr>
      </w:pPr>
      <w:r w:rsidRPr="00DA42F5">
        <w:rPr>
          <w:rFonts w:cs="Times New Roman"/>
          <w:szCs w:val="24"/>
        </w:rPr>
        <w:t>Although the observed number of genera did not match between the two sequencing approaches</w:t>
      </w:r>
      <w:r w:rsidR="00F7553E" w:rsidRPr="00DA42F5">
        <w:rPr>
          <w:rFonts w:cs="Times New Roman"/>
          <w:szCs w:val="24"/>
        </w:rPr>
        <w:t xml:space="preserve"> for </w:t>
      </w:r>
      <w:r w:rsidR="00253CCD">
        <w:rPr>
          <w:rFonts w:cs="Times New Roman"/>
          <w:szCs w:val="24"/>
        </w:rPr>
        <w:t>untreated stool samples</w:t>
      </w:r>
      <w:r w:rsidRPr="00DA42F5">
        <w:rPr>
          <w:rFonts w:cs="Times New Roman"/>
          <w:szCs w:val="24"/>
        </w:rPr>
        <w:t xml:space="preserve">, we observed similar distinct temporal patterns across the nine participants (A–I) when comparing the Shannon index based on OTUs </w:t>
      </w:r>
      <w:r w:rsidR="00542CC6" w:rsidRPr="00DA42F5">
        <w:rPr>
          <w:rFonts w:cs="Times New Roman"/>
          <w:szCs w:val="24"/>
        </w:rPr>
        <w:t>or</w:t>
      </w:r>
      <w:r w:rsidRPr="00DA42F5">
        <w:rPr>
          <w:rFonts w:cs="Times New Roman"/>
          <w:szCs w:val="24"/>
        </w:rPr>
        <w:t xml:space="preserve"> </w:t>
      </w:r>
      <w:proofErr w:type="spellStart"/>
      <w:r w:rsidR="00A459B8" w:rsidRPr="00DA42F5">
        <w:rPr>
          <w:rFonts w:cs="Times New Roman"/>
          <w:szCs w:val="24"/>
        </w:rPr>
        <w:t>SBGs</w:t>
      </w:r>
      <w:proofErr w:type="spellEnd"/>
      <w:r w:rsidR="00A459B8" w:rsidRPr="00DA42F5">
        <w:rPr>
          <w:rFonts w:cs="Times New Roman"/>
          <w:szCs w:val="24"/>
        </w:rPr>
        <w:t xml:space="preserve"> </w:t>
      </w:r>
      <w:r w:rsidRPr="00DA42F5">
        <w:rPr>
          <w:rFonts w:cs="Times New Roman"/>
          <w:szCs w:val="24"/>
        </w:rPr>
        <w:t>(Figure 1</w:t>
      </w:r>
      <w:r w:rsidR="00542CC6" w:rsidRPr="00DA42F5">
        <w:rPr>
          <w:rFonts w:cs="Times New Roman"/>
          <w:szCs w:val="24"/>
        </w:rPr>
        <w:t>0</w:t>
      </w:r>
      <w:r w:rsidRPr="00DA42F5">
        <w:rPr>
          <w:rFonts w:cs="Times New Roman"/>
          <w:szCs w:val="24"/>
        </w:rPr>
        <w:t xml:space="preserve">). The Shannon index calculated from </w:t>
      </w:r>
      <w:proofErr w:type="spellStart"/>
      <w:r w:rsidR="00253CCD">
        <w:rPr>
          <w:rFonts w:cs="Times New Roman"/>
          <w:szCs w:val="24"/>
        </w:rPr>
        <w:t>SGB</w:t>
      </w:r>
      <w:proofErr w:type="spellEnd"/>
      <w:r w:rsidRPr="00DA42F5">
        <w:rPr>
          <w:rFonts w:cs="Times New Roman"/>
          <w:szCs w:val="24"/>
        </w:rPr>
        <w:t xml:space="preserve">-level data is consistently higher due to the greater </w:t>
      </w:r>
      <w:r w:rsidR="00F7553E" w:rsidRPr="00DA42F5">
        <w:rPr>
          <w:rFonts w:cs="Times New Roman"/>
          <w:szCs w:val="24"/>
        </w:rPr>
        <w:t xml:space="preserve">evenness in the </w:t>
      </w:r>
      <w:r w:rsidRPr="00DA42F5">
        <w:rPr>
          <w:rFonts w:cs="Times New Roman"/>
          <w:szCs w:val="24"/>
        </w:rPr>
        <w:t>shotgun metagenomic data</w:t>
      </w:r>
      <w:r w:rsidR="00F7553E" w:rsidRPr="00DA42F5">
        <w:rPr>
          <w:rFonts w:cs="Times New Roman"/>
          <w:szCs w:val="24"/>
        </w:rPr>
        <w:t xml:space="preserve"> </w:t>
      </w:r>
      <w:r w:rsidR="00542CC6" w:rsidRPr="00DA42F5">
        <w:rPr>
          <w:rFonts w:cs="Times New Roman"/>
          <w:szCs w:val="24"/>
        </w:rPr>
        <w:t xml:space="preserve">and not due to richness </w:t>
      </w:r>
      <w:r w:rsidR="00F7553E" w:rsidRPr="00DA42F5">
        <w:rPr>
          <w:rFonts w:cs="Times New Roman"/>
          <w:szCs w:val="24"/>
        </w:rPr>
        <w:t xml:space="preserve">(Supplement Figure </w:t>
      </w:r>
      <w:ins w:id="273" w:author="Urša Miklavčič" w:date="2026-01-29T14:43:00Z" w16du:dateUtc="2026-01-29T13:43:00Z">
        <w:r w:rsidR="00717053">
          <w:rPr>
            <w:rFonts w:cs="Times New Roman"/>
            <w:szCs w:val="24"/>
          </w:rPr>
          <w:t>9</w:t>
        </w:r>
      </w:ins>
      <w:del w:id="274" w:author="Urša Miklavčič" w:date="2026-01-29T14:43:00Z" w16du:dateUtc="2026-01-29T13:43:00Z">
        <w:r w:rsidR="00BC2437" w:rsidRPr="00DA42F5" w:rsidDel="00717053">
          <w:rPr>
            <w:rFonts w:cs="Times New Roman"/>
            <w:szCs w:val="24"/>
          </w:rPr>
          <w:delText>8</w:delText>
        </w:r>
      </w:del>
      <w:r w:rsidR="00F7553E" w:rsidRPr="00DA42F5">
        <w:rPr>
          <w:rFonts w:cs="Times New Roman"/>
          <w:szCs w:val="24"/>
        </w:rPr>
        <w:t>)</w:t>
      </w:r>
      <w:r w:rsidRPr="00DA42F5">
        <w:rPr>
          <w:rFonts w:cs="Times New Roman"/>
          <w:szCs w:val="24"/>
        </w:rPr>
        <w:t>.</w:t>
      </w:r>
      <w:r w:rsidR="00542CC6" w:rsidRPr="00DA42F5">
        <w:rPr>
          <w:rFonts w:cs="Times New Roman"/>
          <w:szCs w:val="24"/>
        </w:rPr>
        <w:t xml:space="preserve"> </w:t>
      </w:r>
      <w:r w:rsidRPr="00DA42F5">
        <w:rPr>
          <w:rFonts w:cs="Times New Roman"/>
          <w:szCs w:val="24"/>
        </w:rPr>
        <w:t>Longitudinal trajectories varied substantially between individuals, with some participants maintaining relatively monotonic trajectories (A, B, C, F), and others experiencing large shifts (D, E, G, H). Only the shift in participant H could be linked to antibiotic use during the study</w:t>
      </w:r>
      <w:r w:rsidR="00A459B8" w:rsidRPr="00DA42F5">
        <w:rPr>
          <w:rFonts w:cs="Times New Roman"/>
          <w:szCs w:val="24"/>
        </w:rPr>
        <w:t>. O</w:t>
      </w:r>
      <w:r w:rsidRPr="00DA42F5">
        <w:rPr>
          <w:rFonts w:cs="Times New Roman"/>
          <w:szCs w:val="24"/>
        </w:rPr>
        <w:t xml:space="preserve">ther shifts did not </w:t>
      </w:r>
      <w:r w:rsidR="00A459B8" w:rsidRPr="00DA42F5">
        <w:rPr>
          <w:rFonts w:cs="Times New Roman"/>
          <w:szCs w:val="24"/>
        </w:rPr>
        <w:t>correlate with predetermined events collected in</w:t>
      </w:r>
      <w:r w:rsidRPr="00DA42F5">
        <w:rPr>
          <w:rFonts w:cs="Times New Roman"/>
          <w:szCs w:val="24"/>
        </w:rPr>
        <w:t xml:space="preserve"> metadata.</w:t>
      </w:r>
    </w:p>
    <w:p w14:paraId="163CCCED" w14:textId="77777777" w:rsidR="006957F1" w:rsidRPr="00DA42F5" w:rsidRDefault="00A51F9D" w:rsidP="006957F1">
      <w:pPr>
        <w:pStyle w:val="FigureTable"/>
        <w:keepNext/>
      </w:pPr>
      <w:r w:rsidRPr="00DA42F5">
        <w:rPr>
          <w:noProof/>
          <w:szCs w:val="24"/>
        </w:rPr>
        <w:lastRenderedPageBreak/>
        <w:drawing>
          <wp:inline distT="0" distB="0" distL="0" distR="0" wp14:anchorId="47695B70" wp14:editId="18CC4F69">
            <wp:extent cx="5934075" cy="4610100"/>
            <wp:effectExtent l="0" t="0" r="9525" b="0"/>
            <wp:docPr id="14238262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4610100"/>
                    </a:xfrm>
                    <a:prstGeom prst="rect">
                      <a:avLst/>
                    </a:prstGeom>
                    <a:noFill/>
                    <a:ln>
                      <a:noFill/>
                    </a:ln>
                  </pic:spPr>
                </pic:pic>
              </a:graphicData>
            </a:graphic>
          </wp:inline>
        </w:drawing>
      </w:r>
    </w:p>
    <w:p w14:paraId="0E592F66" w14:textId="02E7A671" w:rsidR="008C4B8C" w:rsidRPr="00DA42F5" w:rsidRDefault="006957F1" w:rsidP="006957F1">
      <w:pPr>
        <w:pStyle w:val="Caption"/>
        <w:rPr>
          <w:b w:val="0"/>
          <w:bCs/>
        </w:rPr>
      </w:pPr>
      <w:bookmarkStart w:id="275" w:name="_Toc216101624"/>
      <w:r w:rsidRPr="00DA42F5">
        <w:t xml:space="preserve">Figure </w:t>
      </w:r>
      <w:r w:rsidRPr="00DA42F5">
        <w:fldChar w:fldCharType="begin"/>
      </w:r>
      <w:r w:rsidRPr="00DA42F5">
        <w:instrText xml:space="preserve"> SEQ Figure \* ARABIC </w:instrText>
      </w:r>
      <w:r w:rsidRPr="00DA42F5">
        <w:fldChar w:fldCharType="separate"/>
      </w:r>
      <w:r w:rsidR="00C11001">
        <w:rPr>
          <w:noProof/>
        </w:rPr>
        <w:t>10</w:t>
      </w:r>
      <w:r w:rsidRPr="00DA42F5">
        <w:fldChar w:fldCharType="end"/>
      </w:r>
      <w:r w:rsidRPr="00DA42F5">
        <w:t xml:space="preserve">. Alpha diversity based on Shannon index for </w:t>
      </w:r>
      <w:r w:rsidR="00253CCD">
        <w:t>untreated stool samples</w:t>
      </w:r>
      <w:r w:rsidRPr="00DA42F5">
        <w:t xml:space="preserve"> based on OTUs (blue) and </w:t>
      </w:r>
      <w:proofErr w:type="spellStart"/>
      <w:r w:rsidR="00BC2437" w:rsidRPr="00DA42F5">
        <w:t>SGB</w:t>
      </w:r>
      <w:proofErr w:type="spellEnd"/>
      <w:r w:rsidR="00BC2437" w:rsidRPr="00DA42F5">
        <w:t xml:space="preserve">-level </w:t>
      </w:r>
      <w:r w:rsidRPr="00DA42F5">
        <w:t xml:space="preserve">(violet). </w:t>
      </w:r>
      <w:r w:rsidR="008C4B8C" w:rsidRPr="00DA42F5">
        <w:rPr>
          <w:b w:val="0"/>
          <w:bCs/>
        </w:rPr>
        <w:t xml:space="preserve">Each plot </w:t>
      </w:r>
      <w:r w:rsidR="00BC2437" w:rsidRPr="00DA42F5">
        <w:rPr>
          <w:b w:val="0"/>
          <w:bCs/>
        </w:rPr>
        <w:t>depicts</w:t>
      </w:r>
      <w:r w:rsidR="008C4B8C" w:rsidRPr="00DA42F5">
        <w:rPr>
          <w:b w:val="0"/>
          <w:bCs/>
        </w:rPr>
        <w:t xml:space="preserve"> </w:t>
      </w:r>
      <w:r w:rsidR="00BC2437" w:rsidRPr="00DA42F5">
        <w:rPr>
          <w:b w:val="0"/>
          <w:bCs/>
        </w:rPr>
        <w:t>one</w:t>
      </w:r>
      <w:r w:rsidR="008C4B8C" w:rsidRPr="00DA42F5">
        <w:rPr>
          <w:b w:val="0"/>
          <w:bCs/>
        </w:rPr>
        <w:t xml:space="preserve"> participant (labelled</w:t>
      </w:r>
      <w:r w:rsidR="00BC2437" w:rsidRPr="00DA42F5">
        <w:rPr>
          <w:b w:val="0"/>
          <w:bCs/>
        </w:rPr>
        <w:t xml:space="preserve"> with capital letters</w:t>
      </w:r>
      <w:r w:rsidR="008C4B8C" w:rsidRPr="00DA42F5">
        <w:rPr>
          <w:b w:val="0"/>
          <w:bCs/>
        </w:rPr>
        <w:t xml:space="preserve"> A to I), with days </w:t>
      </w:r>
      <w:r w:rsidR="00BC2437" w:rsidRPr="00DA42F5">
        <w:rPr>
          <w:b w:val="0"/>
          <w:bCs/>
        </w:rPr>
        <w:t xml:space="preserve">on the x-axis </w:t>
      </w:r>
      <w:r w:rsidR="008C4B8C" w:rsidRPr="00DA42F5">
        <w:rPr>
          <w:b w:val="0"/>
          <w:bCs/>
        </w:rPr>
        <w:t>indicating when stool samples were collected. Vertical coloured lines indicate out-of-the-ordinary events reported by participants in their questionnaires.</w:t>
      </w:r>
      <w:bookmarkEnd w:id="275"/>
      <w:r w:rsidR="008C4B8C" w:rsidRPr="00DA42F5">
        <w:rPr>
          <w:b w:val="0"/>
          <w:bCs/>
        </w:rPr>
        <w:t xml:space="preserve">  </w:t>
      </w:r>
    </w:p>
    <w:p w14:paraId="45AAB6A3" w14:textId="38411728" w:rsidR="002667B7" w:rsidRPr="00DA42F5" w:rsidRDefault="00550E1B" w:rsidP="002667B7">
      <w:r w:rsidRPr="00DA42F5">
        <w:t>Beta diversity NMDS ordination based on Bray</w:t>
      </w:r>
      <w:r w:rsidR="00A51F9D" w:rsidRPr="00DA42F5">
        <w:t>-</w:t>
      </w:r>
      <w:proofErr w:type="gramStart"/>
      <w:r w:rsidRPr="00DA42F5">
        <w:t>Curtis</w:t>
      </w:r>
      <w:proofErr w:type="gramEnd"/>
      <w:r w:rsidRPr="00DA42F5">
        <w:t xml:space="preserve"> dissimilarity showed strong participant-specific clustering for both OTUs (Figure </w:t>
      </w:r>
      <w:proofErr w:type="spellStart"/>
      <w:r w:rsidRPr="00DA42F5">
        <w:t>1</w:t>
      </w:r>
      <w:r w:rsidR="006957F1" w:rsidRPr="00DA42F5">
        <w:t>1</w:t>
      </w:r>
      <w:r w:rsidRPr="00DA42F5">
        <w:t>A</w:t>
      </w:r>
      <w:proofErr w:type="spellEnd"/>
      <w:r w:rsidRPr="00DA42F5">
        <w:t xml:space="preserve">) and </w:t>
      </w:r>
      <w:proofErr w:type="spellStart"/>
      <w:r w:rsidR="00BC2437" w:rsidRPr="00DA42F5">
        <w:t>SGB</w:t>
      </w:r>
      <w:proofErr w:type="spellEnd"/>
      <w:r w:rsidRPr="00DA42F5">
        <w:t xml:space="preserve">-level profiling of shotgun metagenomic data (Figure </w:t>
      </w:r>
      <w:proofErr w:type="spellStart"/>
      <w:r w:rsidRPr="00DA42F5">
        <w:t>1</w:t>
      </w:r>
      <w:r w:rsidR="006957F1" w:rsidRPr="00DA42F5">
        <w:t>1</w:t>
      </w:r>
      <w:r w:rsidRPr="00DA42F5">
        <w:t>B</w:t>
      </w:r>
      <w:proofErr w:type="spellEnd"/>
      <w:r w:rsidRPr="00DA42F5">
        <w:t>). Samples from the same participant clustered together despite temporal variations (homogeneity of multivariate dispersions, ANOVA p &lt; 0.005). The separation between participants was maintained across both sequencing methods, indicating robust inter-individual differences independent of sequencing or analytical approach.</w:t>
      </w:r>
      <w:r w:rsidR="002667B7" w:rsidRPr="00DA42F5">
        <w:t xml:space="preserve"> </w:t>
      </w:r>
    </w:p>
    <w:p w14:paraId="00998645" w14:textId="62E6E01C" w:rsidR="002667B7" w:rsidRPr="00DA42F5" w:rsidRDefault="002667B7" w:rsidP="002667B7">
      <w:r w:rsidRPr="00DA42F5">
        <w:t xml:space="preserve">Amplicon and shotgun sequencing produced broadly consistent phylum-level profiles, with </w:t>
      </w:r>
      <w:r w:rsidRPr="00DA42F5">
        <w:rPr>
          <w:i/>
          <w:iCs/>
        </w:rPr>
        <w:t>Bacillota</w:t>
      </w:r>
      <w:r w:rsidRPr="00DA42F5">
        <w:t xml:space="preserve"> dominating all sample types (Supplement Figure </w:t>
      </w:r>
      <w:ins w:id="276" w:author="Urša Miklavčič" w:date="2026-01-29T14:46:00Z" w16du:dateUtc="2026-01-29T13:46:00Z">
        <w:r w:rsidR="00ED4887">
          <w:t>10</w:t>
        </w:r>
      </w:ins>
      <w:del w:id="277" w:author="Urša Miklavčič" w:date="2026-01-29T14:46:00Z" w16du:dateUtc="2026-01-29T13:46:00Z">
        <w:r w:rsidR="00BC2437" w:rsidRPr="00DA42F5" w:rsidDel="00ED4887">
          <w:delText>9</w:delText>
        </w:r>
      </w:del>
      <w:r w:rsidRPr="00DA42F5">
        <w:t xml:space="preserve">). In </w:t>
      </w:r>
      <w:r w:rsidR="00253CCD">
        <w:t>untreated stool samples</w:t>
      </w:r>
      <w:r w:rsidRPr="00DA42F5">
        <w:t xml:space="preserve">, amplicon data showed a higher relative abundance of </w:t>
      </w:r>
      <w:r w:rsidRPr="00DA42F5">
        <w:rPr>
          <w:i/>
          <w:iCs/>
        </w:rPr>
        <w:t>Bacteroidota</w:t>
      </w:r>
      <w:r w:rsidRPr="00DA42F5">
        <w:t xml:space="preserve"> and </w:t>
      </w:r>
      <w:r w:rsidRPr="00DA42F5">
        <w:rPr>
          <w:i/>
          <w:iCs/>
        </w:rPr>
        <w:t>Actinomycetota</w:t>
      </w:r>
      <w:r w:rsidR="00BC2437" w:rsidRPr="00DA42F5">
        <w:t xml:space="preserve"> phylum</w:t>
      </w:r>
      <w:r w:rsidRPr="00DA42F5">
        <w:t xml:space="preserve">, whereas shotgun data were more strongly dominated by </w:t>
      </w:r>
      <w:r w:rsidRPr="00DA42F5">
        <w:rPr>
          <w:i/>
          <w:iCs/>
        </w:rPr>
        <w:t>Bacillota</w:t>
      </w:r>
      <w:r w:rsidRPr="00DA42F5">
        <w:t>. In ethanol</w:t>
      </w:r>
      <w:r w:rsidR="006A4086">
        <w:t xml:space="preserve"> </w:t>
      </w:r>
      <w:r w:rsidRPr="00DA42F5">
        <w:t xml:space="preserve">treated samples, both methods showed an even stronger enrichment of </w:t>
      </w:r>
      <w:r w:rsidRPr="00DA42F5">
        <w:rPr>
          <w:i/>
          <w:iCs/>
        </w:rPr>
        <w:t>Bacillota</w:t>
      </w:r>
      <w:r w:rsidRPr="00DA42F5">
        <w:t xml:space="preserve"> and a marked depletion of other phyla, consistent with selective retention of ethanol‑resistant taxa</w:t>
      </w:r>
      <w:r w:rsidR="00A459B8" w:rsidRPr="00DA42F5">
        <w:t>.</w:t>
      </w:r>
    </w:p>
    <w:p w14:paraId="2421B125" w14:textId="1CC0A9A2" w:rsidR="00F1113F" w:rsidRPr="00DA42F5" w:rsidRDefault="00F1113F" w:rsidP="00080C98">
      <w:pPr>
        <w:rPr>
          <w:rFonts w:cs="Times New Roman"/>
          <w:szCs w:val="24"/>
        </w:rPr>
      </w:pPr>
    </w:p>
    <w:p w14:paraId="54A4D05E" w14:textId="77777777" w:rsidR="006957F1" w:rsidRPr="00DA42F5" w:rsidRDefault="006456F0" w:rsidP="006957F1">
      <w:pPr>
        <w:keepNext/>
      </w:pPr>
      <w:r w:rsidRPr="00DA42F5">
        <w:rPr>
          <w:rFonts w:cs="Times New Roman"/>
          <w:noProof/>
          <w:szCs w:val="24"/>
        </w:rPr>
        <w:drawing>
          <wp:inline distT="0" distB="0" distL="0" distR="0" wp14:anchorId="2209656E" wp14:editId="76516BDB">
            <wp:extent cx="5934710" cy="2872740"/>
            <wp:effectExtent l="0" t="0" r="8890" b="3810"/>
            <wp:docPr id="1590988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4710" cy="2872740"/>
                    </a:xfrm>
                    <a:prstGeom prst="rect">
                      <a:avLst/>
                    </a:prstGeom>
                    <a:noFill/>
                    <a:ln>
                      <a:noFill/>
                    </a:ln>
                  </pic:spPr>
                </pic:pic>
              </a:graphicData>
            </a:graphic>
          </wp:inline>
        </w:drawing>
      </w:r>
    </w:p>
    <w:p w14:paraId="17769642" w14:textId="7D99081B" w:rsidR="00950BD7" w:rsidRPr="00DA42F5" w:rsidRDefault="006957F1" w:rsidP="006957F1">
      <w:pPr>
        <w:pStyle w:val="Caption"/>
        <w:rPr>
          <w:rFonts w:cs="Times New Roman"/>
          <w:b w:val="0"/>
          <w:bCs/>
          <w:szCs w:val="24"/>
        </w:rPr>
      </w:pPr>
      <w:bookmarkStart w:id="278" w:name="_Toc216101625"/>
      <w:r w:rsidRPr="00DA42F5">
        <w:t xml:space="preserve">Figure </w:t>
      </w:r>
      <w:r w:rsidRPr="00DA42F5">
        <w:fldChar w:fldCharType="begin"/>
      </w:r>
      <w:r w:rsidRPr="00DA42F5">
        <w:instrText xml:space="preserve"> SEQ Figure \* ARABIC </w:instrText>
      </w:r>
      <w:r w:rsidRPr="00DA42F5">
        <w:fldChar w:fldCharType="separate"/>
      </w:r>
      <w:r w:rsidR="00C11001">
        <w:rPr>
          <w:noProof/>
        </w:rPr>
        <w:t>11</w:t>
      </w:r>
      <w:r w:rsidRPr="00DA42F5">
        <w:fldChar w:fldCharType="end"/>
      </w:r>
      <w:r w:rsidRPr="00DA42F5">
        <w:t xml:space="preserve">. Non-metric multidimensional scaling </w:t>
      </w:r>
      <w:r w:rsidR="00BC2437" w:rsidRPr="00DA42F5">
        <w:t xml:space="preserve">(NMDS) </w:t>
      </w:r>
      <w:r w:rsidRPr="00DA42F5">
        <w:t>based on Bray-</w:t>
      </w:r>
      <w:proofErr w:type="gramStart"/>
      <w:r w:rsidRPr="00DA42F5">
        <w:t>Curtis</w:t>
      </w:r>
      <w:proofErr w:type="gramEnd"/>
      <w:r w:rsidRPr="00DA42F5">
        <w:t xml:space="preserve"> dissimilarity calculated from </w:t>
      </w:r>
      <w:r w:rsidR="00BC2437" w:rsidRPr="00DA42F5">
        <w:t>relative</w:t>
      </w:r>
      <w:r w:rsidRPr="00DA42F5">
        <w:t xml:space="preserve"> values of OTUs (A) and </w:t>
      </w:r>
      <w:proofErr w:type="spellStart"/>
      <w:r w:rsidR="00BC2437" w:rsidRPr="00DA42F5">
        <w:t>SGBs</w:t>
      </w:r>
      <w:proofErr w:type="spellEnd"/>
      <w:r w:rsidRPr="00DA42F5">
        <w:t xml:space="preserve"> (B). </w:t>
      </w:r>
      <w:r w:rsidR="00950BD7" w:rsidRPr="00DA42F5">
        <w:rPr>
          <w:b w:val="0"/>
          <w:bCs/>
        </w:rPr>
        <w:t>Colours indicate participants. NMDS ordination based on Bray-</w:t>
      </w:r>
      <w:proofErr w:type="gramStart"/>
      <w:r w:rsidR="00950BD7" w:rsidRPr="00DA42F5">
        <w:rPr>
          <w:b w:val="0"/>
          <w:bCs/>
        </w:rPr>
        <w:t>Curtis</w:t>
      </w:r>
      <w:proofErr w:type="gramEnd"/>
      <w:r w:rsidR="00950BD7" w:rsidRPr="00DA42F5">
        <w:rPr>
          <w:b w:val="0"/>
          <w:bCs/>
        </w:rPr>
        <w:t xml:space="preserve"> dissimilarity calculated from viral sequence classification obtained with </w:t>
      </w:r>
      <w:proofErr w:type="spellStart"/>
      <w:r w:rsidR="00950BD7" w:rsidRPr="00DA42F5">
        <w:rPr>
          <w:b w:val="0"/>
          <w:bCs/>
        </w:rPr>
        <w:t>geNomad</w:t>
      </w:r>
      <w:proofErr w:type="spellEnd"/>
      <w:r w:rsidR="00950BD7" w:rsidRPr="00DA42F5">
        <w:rPr>
          <w:b w:val="0"/>
          <w:bCs/>
        </w:rPr>
        <w:t xml:space="preserve"> </w:t>
      </w:r>
      <w:r w:rsidR="00973033" w:rsidRPr="00DA42F5">
        <w:rPr>
          <w:b w:val="0"/>
          <w:bCs/>
        </w:rPr>
        <w:t xml:space="preserve">is available as </w:t>
      </w:r>
      <w:r w:rsidR="00950BD7" w:rsidRPr="00DA42F5">
        <w:rPr>
          <w:b w:val="0"/>
          <w:bCs/>
        </w:rPr>
        <w:t xml:space="preserve">Supplement Figure </w:t>
      </w:r>
      <w:ins w:id="279" w:author="Urša Miklavčič" w:date="2026-01-29T14:44:00Z" w16du:dateUtc="2026-01-29T13:44:00Z">
        <w:r w:rsidR="00717053">
          <w:rPr>
            <w:b w:val="0"/>
            <w:bCs/>
          </w:rPr>
          <w:t>8</w:t>
        </w:r>
      </w:ins>
      <w:del w:id="280" w:author="Urša Miklavčič" w:date="2026-01-29T14:44:00Z" w16du:dateUtc="2026-01-29T13:44:00Z">
        <w:r w:rsidR="00973033" w:rsidRPr="00DA42F5" w:rsidDel="00717053">
          <w:rPr>
            <w:b w:val="0"/>
            <w:bCs/>
          </w:rPr>
          <w:delText>7</w:delText>
        </w:r>
      </w:del>
      <w:r w:rsidR="00950BD7" w:rsidRPr="00DA42F5">
        <w:rPr>
          <w:b w:val="0"/>
          <w:bCs/>
        </w:rPr>
        <w:t>.</w:t>
      </w:r>
      <w:bookmarkEnd w:id="278"/>
    </w:p>
    <w:p w14:paraId="2E577720" w14:textId="77777777" w:rsidR="00301C1C" w:rsidRPr="00DA42F5" w:rsidRDefault="00301C1C" w:rsidP="00950BD7">
      <w:pPr>
        <w:pStyle w:val="FigureTable"/>
        <w:rPr>
          <w:bCs/>
        </w:rPr>
      </w:pPr>
    </w:p>
    <w:p w14:paraId="0D752347" w14:textId="126F81CE" w:rsidR="00CD77AB" w:rsidRPr="00DA42F5" w:rsidRDefault="00CD77AB" w:rsidP="00221812">
      <w:pPr>
        <w:pStyle w:val="Heading3"/>
        <w:numPr>
          <w:ilvl w:val="2"/>
          <w:numId w:val="26"/>
        </w:numPr>
      </w:pPr>
      <w:bookmarkStart w:id="281" w:name="_Toc216099749"/>
      <w:bookmarkStart w:id="282" w:name="_Toc220591400"/>
      <w:r w:rsidRPr="00DA42F5">
        <w:t xml:space="preserve">Composition, abundance and diversity of ethanol-resistant bacterial community </w:t>
      </w:r>
      <w:r w:rsidR="00950BD7" w:rsidRPr="00DA42F5">
        <w:t xml:space="preserve">and sporobiota </w:t>
      </w:r>
      <w:r w:rsidR="00F665E9" w:rsidRPr="00DA42F5">
        <w:t>in the human gut</w:t>
      </w:r>
      <w:bookmarkEnd w:id="281"/>
      <w:bookmarkEnd w:id="282"/>
    </w:p>
    <w:p w14:paraId="49748D80" w14:textId="0DE96D82" w:rsidR="00973033" w:rsidRPr="00DA42F5" w:rsidRDefault="002463D5" w:rsidP="00973033">
      <w:pPr>
        <w:rPr>
          <w:rFonts w:cs="Times New Roman"/>
          <w:szCs w:val="24"/>
        </w:rPr>
      </w:pPr>
      <w:r w:rsidRPr="00DA42F5">
        <w:rPr>
          <w:rFonts w:cs="Times New Roman"/>
          <w:szCs w:val="24"/>
        </w:rPr>
        <w:t>First,</w:t>
      </w:r>
      <w:r w:rsidR="0062134A" w:rsidRPr="00DA42F5">
        <w:rPr>
          <w:rFonts w:cs="Times New Roman"/>
          <w:szCs w:val="24"/>
        </w:rPr>
        <w:t xml:space="preserve"> we present results from amplicon data, </w:t>
      </w:r>
      <w:r w:rsidR="002203AC" w:rsidRPr="00DA42F5">
        <w:rPr>
          <w:rFonts w:cs="Times New Roman"/>
          <w:szCs w:val="24"/>
        </w:rPr>
        <w:t xml:space="preserve">in which </w:t>
      </w:r>
      <w:r w:rsidR="0062134A" w:rsidRPr="00DA42F5">
        <w:rPr>
          <w:rFonts w:cs="Times New Roman"/>
          <w:szCs w:val="24"/>
        </w:rPr>
        <w:t>we analysed</w:t>
      </w:r>
      <w:r w:rsidR="00973033" w:rsidRPr="00DA42F5">
        <w:rPr>
          <w:rFonts w:cs="Times New Roman"/>
          <w:szCs w:val="24"/>
        </w:rPr>
        <w:t xml:space="preserve"> compositional characteristics and temporal dynamics</w:t>
      </w:r>
      <w:r w:rsidR="0062134A" w:rsidRPr="00DA42F5">
        <w:rPr>
          <w:rFonts w:cs="Times New Roman"/>
          <w:szCs w:val="24"/>
        </w:rPr>
        <w:t xml:space="preserve"> the ethanol-resistant community of the human microbiota and further divided it into </w:t>
      </w:r>
      <w:r w:rsidR="00FB5B39" w:rsidRPr="00DA42F5">
        <w:rPr>
          <w:rFonts w:cs="Times New Roman"/>
          <w:szCs w:val="24"/>
        </w:rPr>
        <w:t>sporobiota,</w:t>
      </w:r>
      <w:r w:rsidR="0062134A" w:rsidRPr="00DA42F5">
        <w:rPr>
          <w:rFonts w:cs="Times New Roman"/>
          <w:szCs w:val="24"/>
        </w:rPr>
        <w:t xml:space="preserve"> and other ethanol-resistant bacteria</w:t>
      </w:r>
      <w:r w:rsidR="002203AC" w:rsidRPr="00DA42F5">
        <w:rPr>
          <w:rFonts w:cs="Times New Roman"/>
          <w:szCs w:val="24"/>
        </w:rPr>
        <w:t xml:space="preserve"> based on taxonomic classification</w:t>
      </w:r>
      <w:r w:rsidRPr="00DA42F5">
        <w:rPr>
          <w:rFonts w:cs="Times New Roman"/>
          <w:szCs w:val="24"/>
        </w:rPr>
        <w:t>.</w:t>
      </w:r>
      <w:r w:rsidR="00973033" w:rsidRPr="00DA42F5">
        <w:rPr>
          <w:rFonts w:cs="Times New Roman"/>
          <w:szCs w:val="24"/>
        </w:rPr>
        <w:t xml:space="preserve"> Later we present results from shotgun metagenomic data, where </w:t>
      </w:r>
      <w:r w:rsidR="00494014">
        <w:rPr>
          <w:rFonts w:cs="Times New Roman"/>
          <w:szCs w:val="24"/>
        </w:rPr>
        <w:t>sporulation capacity</w:t>
      </w:r>
      <w:r w:rsidR="00973033" w:rsidRPr="00DA42F5">
        <w:rPr>
          <w:rFonts w:cs="Times New Roman"/>
          <w:szCs w:val="24"/>
        </w:rPr>
        <w:t xml:space="preserve"> was defined by the number of sporulation genes present in a genome.</w:t>
      </w:r>
    </w:p>
    <w:p w14:paraId="6C10AA9E" w14:textId="176555A6" w:rsidR="00B953D5" w:rsidRPr="00DA42F5" w:rsidRDefault="00B953D5" w:rsidP="00F665E9">
      <w:pPr>
        <w:rPr>
          <w:rFonts w:cs="Times New Roman"/>
          <w:szCs w:val="24"/>
        </w:rPr>
      </w:pPr>
    </w:p>
    <w:p w14:paraId="0EDAF7DF" w14:textId="325506A1" w:rsidR="004D39F4" w:rsidRPr="00DA42F5" w:rsidRDefault="004D39F4" w:rsidP="004D39F4">
      <w:pPr>
        <w:pStyle w:val="Heading4"/>
        <w:numPr>
          <w:ilvl w:val="0"/>
          <w:numId w:val="0"/>
        </w:numPr>
        <w:ind w:left="720" w:hanging="720"/>
      </w:pPr>
      <w:bookmarkStart w:id="283" w:name="_Toc216099750"/>
      <w:bookmarkStart w:id="284" w:name="_Toc220591401"/>
      <w:r w:rsidRPr="00DA42F5">
        <w:t xml:space="preserve">4.3.2.1 Ethanol-resistant community and sporobiota </w:t>
      </w:r>
      <w:r w:rsidR="00973033" w:rsidRPr="00DA42F5">
        <w:t>in</w:t>
      </w:r>
      <w:r w:rsidRPr="00DA42F5">
        <w:t xml:space="preserve"> amplicon </w:t>
      </w:r>
      <w:bookmarkEnd w:id="283"/>
      <w:r w:rsidR="00973033" w:rsidRPr="00DA42F5">
        <w:t>data</w:t>
      </w:r>
      <w:bookmarkEnd w:id="284"/>
    </w:p>
    <w:p w14:paraId="3CA5F325" w14:textId="6B991301" w:rsidR="006A4086" w:rsidRPr="00DA42F5" w:rsidRDefault="00D84F0D" w:rsidP="00B953D5">
      <w:pPr>
        <w:rPr>
          <w:rFonts w:cs="Times New Roman"/>
          <w:szCs w:val="24"/>
        </w:rPr>
      </w:pPr>
      <w:r w:rsidRPr="00DA42F5">
        <w:rPr>
          <w:rFonts w:cs="Times New Roman"/>
          <w:szCs w:val="24"/>
        </w:rPr>
        <w:t>We obtained 2</w:t>
      </w:r>
      <w:r w:rsidR="004D39F4" w:rsidRPr="00DA42F5">
        <w:rPr>
          <w:rFonts w:cs="Times New Roman"/>
          <w:szCs w:val="24"/>
        </w:rPr>
        <w:t>,</w:t>
      </w:r>
      <w:r w:rsidRPr="00DA42F5">
        <w:rPr>
          <w:rFonts w:cs="Times New Roman"/>
          <w:szCs w:val="24"/>
        </w:rPr>
        <w:t>431 OTUs</w:t>
      </w:r>
      <w:r w:rsidR="00A51F9D" w:rsidRPr="00DA42F5">
        <w:rPr>
          <w:rFonts w:cs="Times New Roman"/>
          <w:szCs w:val="24"/>
        </w:rPr>
        <w:t xml:space="preserve"> </w:t>
      </w:r>
      <w:r w:rsidR="00973033" w:rsidRPr="00DA42F5">
        <w:rPr>
          <w:rFonts w:cs="Times New Roman"/>
          <w:szCs w:val="24"/>
        </w:rPr>
        <w:t>across</w:t>
      </w:r>
      <w:r w:rsidR="00A51F9D" w:rsidRPr="00DA42F5">
        <w:rPr>
          <w:rFonts w:cs="Times New Roman"/>
          <w:szCs w:val="24"/>
        </w:rPr>
        <w:t xml:space="preserve"> the </w:t>
      </w:r>
      <w:del w:id="285" w:author="Urša Miklavčič" w:date="2026-01-29T15:01:00Z" w16du:dateUtc="2026-01-29T14:01:00Z">
        <w:r w:rsidR="00A51F9D" w:rsidRPr="00DA42F5" w:rsidDel="00B41263">
          <w:rPr>
            <w:rFonts w:cs="Times New Roman"/>
            <w:szCs w:val="24"/>
          </w:rPr>
          <w:delText>bulk microbiota</w:delText>
        </w:r>
      </w:del>
      <w:ins w:id="286" w:author="Urša Miklavčič" w:date="2026-01-29T15:01:00Z" w16du:dateUtc="2026-01-29T14:01:00Z">
        <w:r w:rsidR="00B41263">
          <w:rPr>
            <w:rFonts w:cs="Times New Roman"/>
            <w:szCs w:val="24"/>
          </w:rPr>
          <w:t>untreated</w:t>
        </w:r>
      </w:ins>
      <w:r w:rsidR="00A51F9D" w:rsidRPr="00DA42F5">
        <w:rPr>
          <w:rFonts w:cs="Times New Roman"/>
          <w:szCs w:val="24"/>
        </w:rPr>
        <w:t xml:space="preserve"> sample</w:t>
      </w:r>
      <w:r w:rsidR="00973033" w:rsidRPr="00DA42F5">
        <w:rPr>
          <w:rFonts w:cs="Times New Roman"/>
          <w:szCs w:val="24"/>
        </w:rPr>
        <w:t>s</w:t>
      </w:r>
      <w:r w:rsidR="004D39F4" w:rsidRPr="00DA42F5">
        <w:rPr>
          <w:rFonts w:cs="Times New Roman"/>
          <w:szCs w:val="24"/>
        </w:rPr>
        <w:t>,</w:t>
      </w:r>
      <w:r w:rsidRPr="00DA42F5">
        <w:rPr>
          <w:rFonts w:cs="Times New Roman"/>
          <w:szCs w:val="24"/>
        </w:rPr>
        <w:t xml:space="preserve"> </w:t>
      </w:r>
      <w:r w:rsidR="004D39F4" w:rsidRPr="00DA42F5">
        <w:rPr>
          <w:rFonts w:cs="Times New Roman"/>
          <w:szCs w:val="24"/>
        </w:rPr>
        <w:t>of which</w:t>
      </w:r>
      <w:r w:rsidR="00B953D5" w:rsidRPr="00DA42F5">
        <w:rPr>
          <w:rFonts w:cs="Times New Roman"/>
          <w:szCs w:val="24"/>
        </w:rPr>
        <w:t xml:space="preserve"> 414 (17.0 %) were determined as part of the ethanol-resistant community and 1,934 (79.5%) as part of the ethanol non-resistant community</w:t>
      </w:r>
      <w:ins w:id="287" w:author="Maja Rupnik" w:date="2026-01-20T15:18:00Z" w16du:dateUtc="2026-01-20T14:18:00Z">
        <w:r w:rsidR="00A459B8" w:rsidRPr="00DA42F5">
          <w:rPr>
            <w:rFonts w:cs="Times New Roman"/>
            <w:szCs w:val="24"/>
          </w:rPr>
          <w:t xml:space="preserve"> (</w:t>
        </w:r>
      </w:ins>
      <w:commentRangeStart w:id="288"/>
      <w:ins w:id="289" w:author="Maja Rupnik" w:date="2026-01-20T15:19:00Z" w16du:dateUtc="2026-01-20T14:19:00Z">
        <w:r w:rsidR="00A459B8" w:rsidRPr="00DA42F5">
          <w:rPr>
            <w:rFonts w:cs="Times New Roman"/>
            <w:szCs w:val="24"/>
          </w:rPr>
          <w:t>s</w:t>
        </w:r>
      </w:ins>
      <w:ins w:id="290" w:author="Maja Rupnik" w:date="2026-01-20T15:18:00Z" w16du:dateUtc="2026-01-20T14:18:00Z">
        <w:r w:rsidR="00A459B8" w:rsidRPr="00DA42F5">
          <w:rPr>
            <w:rFonts w:cs="Times New Roman"/>
            <w:szCs w:val="24"/>
          </w:rPr>
          <w:t>ee Mater</w:t>
        </w:r>
      </w:ins>
      <w:ins w:id="291" w:author="Maja Rupnik" w:date="2026-01-20T15:19:00Z" w16du:dateUtc="2026-01-20T14:19:00Z">
        <w:r w:rsidR="00A459B8" w:rsidRPr="00DA42F5">
          <w:rPr>
            <w:rFonts w:cs="Times New Roman"/>
            <w:szCs w:val="24"/>
          </w:rPr>
          <w:t>ials</w:t>
        </w:r>
      </w:ins>
      <w:ins w:id="292" w:author="Maja Rupnik" w:date="2026-01-20T15:18:00Z" w16du:dateUtc="2026-01-20T14:18:00Z">
        <w:r w:rsidR="00A459B8" w:rsidRPr="00DA42F5">
          <w:rPr>
            <w:rFonts w:cs="Times New Roman"/>
            <w:szCs w:val="24"/>
          </w:rPr>
          <w:t xml:space="preserve"> and methods </w:t>
        </w:r>
        <w:del w:id="293" w:author="Urša Miklavčič" w:date="2026-01-21T10:06:00Z" w16du:dateUtc="2026-01-21T09:06:00Z">
          <w:r w:rsidR="00A459B8" w:rsidRPr="00DA42F5" w:rsidDel="006A4086">
            <w:rPr>
              <w:rFonts w:cs="Times New Roman"/>
              <w:szCs w:val="24"/>
            </w:rPr>
            <w:delText>???</w:delText>
          </w:r>
        </w:del>
      </w:ins>
      <w:commentRangeEnd w:id="288"/>
      <w:ins w:id="294" w:author="Maja Rupnik" w:date="2026-01-20T15:19:00Z" w16du:dateUtc="2026-01-20T14:19:00Z">
        <w:r w:rsidR="00A459B8" w:rsidRPr="00DA42F5">
          <w:rPr>
            <w:rStyle w:val="CommentReference"/>
          </w:rPr>
          <w:commentReference w:id="288"/>
        </w:r>
      </w:ins>
      <w:ins w:id="295" w:author="Urša Miklavčič" w:date="2026-01-21T10:06:00Z" w16du:dateUtc="2026-01-21T09:06:00Z">
        <w:r w:rsidR="006A4086">
          <w:rPr>
            <w:rFonts w:cs="Times New Roman"/>
            <w:szCs w:val="24"/>
          </w:rPr>
          <w:t>chapter 3.6.1.2</w:t>
        </w:r>
      </w:ins>
      <w:ins w:id="296" w:author="Maja Rupnik" w:date="2026-01-20T15:18:00Z" w16du:dateUtc="2026-01-20T14:18:00Z">
        <w:r w:rsidR="00A459B8" w:rsidRPr="00DA42F5">
          <w:rPr>
            <w:rFonts w:cs="Times New Roman"/>
            <w:szCs w:val="24"/>
          </w:rPr>
          <w:t>)</w:t>
        </w:r>
      </w:ins>
      <w:r w:rsidR="00B953D5" w:rsidRPr="00DA42F5">
        <w:rPr>
          <w:rFonts w:cs="Times New Roman"/>
          <w:szCs w:val="24"/>
        </w:rPr>
        <w:t xml:space="preserve">. Eighty-three OTUs (3.4%) failed to meet the criteria and were designated as undetermined regarding ethanol resistance. An additional 141 OTUs were detected only in ethanol treated samples. </w:t>
      </w:r>
      <w:commentRangeStart w:id="297"/>
      <w:r w:rsidR="00B953D5" w:rsidRPr="00DA42F5">
        <w:rPr>
          <w:rFonts w:cs="Times New Roman"/>
          <w:szCs w:val="24"/>
        </w:rPr>
        <w:t xml:space="preserve">These were all </w:t>
      </w:r>
      <w:r w:rsidR="004D39F4" w:rsidRPr="00DA42F5">
        <w:rPr>
          <w:rFonts w:cs="Times New Roman"/>
          <w:szCs w:val="24"/>
        </w:rPr>
        <w:t>present</w:t>
      </w:r>
      <w:r w:rsidR="00B953D5" w:rsidRPr="00DA42F5">
        <w:rPr>
          <w:rFonts w:cs="Times New Roman"/>
          <w:szCs w:val="24"/>
        </w:rPr>
        <w:t xml:space="preserve"> at low relative abundance and were considered highly probable sampling artifacts and therefore excluded from further analysis</w:t>
      </w:r>
      <w:ins w:id="298" w:author="Urša Miklavčič" w:date="2026-01-29T14:45:00Z" w16du:dateUtc="2026-01-29T13:45:00Z">
        <w:r w:rsidR="00717053">
          <w:rPr>
            <w:rFonts w:cs="Times New Roman"/>
            <w:szCs w:val="24"/>
          </w:rPr>
          <w:t xml:space="preserve"> (Supplement Text 3)</w:t>
        </w:r>
      </w:ins>
      <w:r w:rsidR="00B953D5" w:rsidRPr="00DA42F5">
        <w:rPr>
          <w:rFonts w:cs="Times New Roman"/>
          <w:szCs w:val="24"/>
        </w:rPr>
        <w:t xml:space="preserve">, following </w:t>
      </w:r>
      <w:r w:rsidR="004D39F4" w:rsidRPr="00DA42F5">
        <w:rPr>
          <w:rFonts w:cs="Times New Roman"/>
          <w:szCs w:val="24"/>
        </w:rPr>
        <w:t>the</w:t>
      </w:r>
      <w:r w:rsidR="00B953D5" w:rsidRPr="00DA42F5">
        <w:rPr>
          <w:rFonts w:cs="Times New Roman"/>
          <w:szCs w:val="24"/>
        </w:rPr>
        <w:t xml:space="preserve"> example </w:t>
      </w:r>
      <w:r w:rsidR="004D39F4" w:rsidRPr="00DA42F5">
        <w:rPr>
          <w:rFonts w:cs="Times New Roman"/>
          <w:szCs w:val="24"/>
        </w:rPr>
        <w:t>of</w:t>
      </w:r>
      <w:r w:rsidR="00B953D5" w:rsidRPr="00DA42F5">
        <w:rPr>
          <w:rFonts w:cs="Times New Roman"/>
          <w:szCs w:val="24"/>
        </w:rPr>
        <w:t xml:space="preserve"> </w:t>
      </w:r>
      <w:r w:rsidR="004D39F4" w:rsidRPr="00DA42F5">
        <w:rPr>
          <w:rFonts w:cs="Times New Roman"/>
          <w:szCs w:val="24"/>
        </w:rPr>
        <w:t xml:space="preserve">a </w:t>
      </w:r>
      <w:r w:rsidR="00B953D5" w:rsidRPr="00DA42F5">
        <w:rPr>
          <w:rFonts w:cs="Times New Roman"/>
          <w:szCs w:val="24"/>
        </w:rPr>
        <w:t xml:space="preserve">previous study </w:t>
      </w:r>
      <w:r w:rsidRPr="00DA42F5">
        <w:rPr>
          <w:rFonts w:cs="Times New Roman"/>
          <w:szCs w:val="24"/>
        </w:rPr>
        <w:fldChar w:fldCharType="begin"/>
      </w:r>
      <w:r w:rsidRPr="00DA42F5">
        <w:rPr>
          <w:rFonts w:cs="Times New Roman"/>
          <w:szCs w:val="24"/>
        </w:rPr>
        <w:instrText xml:space="preserve"> ADDIN ZOTERO_ITEM CSL_CITATION {"citationID":"413CfgSt","properties":{"formattedCitation":"(Kearney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A42F5">
        <w:rPr>
          <w:rFonts w:cs="Times New Roman"/>
          <w:szCs w:val="24"/>
        </w:rPr>
        <w:fldChar w:fldCharType="separate"/>
      </w:r>
      <w:r w:rsidRPr="00DA42F5">
        <w:rPr>
          <w:rFonts w:cs="Times New Roman"/>
        </w:rPr>
        <w:t>(Kearney et al., 2018)</w:t>
      </w:r>
      <w:r w:rsidRPr="00DA42F5">
        <w:rPr>
          <w:rFonts w:cs="Times New Roman"/>
          <w:szCs w:val="24"/>
        </w:rPr>
        <w:fldChar w:fldCharType="end"/>
      </w:r>
      <w:r w:rsidRPr="00DA42F5">
        <w:rPr>
          <w:rFonts w:cs="Times New Roman"/>
          <w:szCs w:val="24"/>
        </w:rPr>
        <w:t>.</w:t>
      </w:r>
      <w:r w:rsidR="00B953D5" w:rsidRPr="00DA42F5">
        <w:rPr>
          <w:rFonts w:cs="Times New Roman"/>
          <w:szCs w:val="24"/>
        </w:rPr>
        <w:t xml:space="preserve"> </w:t>
      </w:r>
      <w:commentRangeEnd w:id="297"/>
      <w:r w:rsidR="00CC6D8A" w:rsidRPr="00DA42F5">
        <w:rPr>
          <w:rStyle w:val="CommentReference"/>
        </w:rPr>
        <w:commentReference w:id="297"/>
      </w:r>
    </w:p>
    <w:p w14:paraId="1589F95E" w14:textId="0870B374" w:rsidR="00CD77AB" w:rsidRPr="00DA42F5" w:rsidRDefault="00CD77AB" w:rsidP="00CD77AB">
      <w:pPr>
        <w:rPr>
          <w:rFonts w:cs="Times New Roman"/>
          <w:szCs w:val="24"/>
        </w:rPr>
      </w:pPr>
      <w:r w:rsidRPr="00DA42F5">
        <w:rPr>
          <w:rFonts w:cs="Times New Roman"/>
          <w:szCs w:val="24"/>
        </w:rPr>
        <w:lastRenderedPageBreak/>
        <w:t xml:space="preserve">Most ethanol-resistant representatives were found in the phylum </w:t>
      </w:r>
      <w:r w:rsidRPr="00DA42F5">
        <w:rPr>
          <w:rFonts w:cs="Times New Roman"/>
          <w:i/>
          <w:iCs/>
          <w:szCs w:val="24"/>
        </w:rPr>
        <w:t>Bacillota</w:t>
      </w:r>
      <w:r w:rsidRPr="00DA42F5">
        <w:rPr>
          <w:rFonts w:cs="Times New Roman"/>
          <w:szCs w:val="24"/>
        </w:rPr>
        <w:t xml:space="preserve"> (n = 320), accounting for 77.5% of the total richness in the ethanol-resistant community (Figure </w:t>
      </w:r>
      <w:proofErr w:type="spellStart"/>
      <w:r w:rsidR="00D84F0D" w:rsidRPr="00DA42F5">
        <w:rPr>
          <w:rFonts w:cs="Times New Roman"/>
          <w:szCs w:val="24"/>
        </w:rPr>
        <w:t>1</w:t>
      </w:r>
      <w:r w:rsidR="00E9210E" w:rsidRPr="00DA42F5">
        <w:rPr>
          <w:rFonts w:cs="Times New Roman"/>
          <w:szCs w:val="24"/>
        </w:rPr>
        <w:t>2</w:t>
      </w:r>
      <w:r w:rsidRPr="00DA42F5">
        <w:rPr>
          <w:rFonts w:cs="Times New Roman"/>
          <w:szCs w:val="24"/>
        </w:rPr>
        <w:t>A</w:t>
      </w:r>
      <w:proofErr w:type="spellEnd"/>
      <w:r w:rsidRPr="00DA42F5">
        <w:rPr>
          <w:rFonts w:cs="Times New Roman"/>
          <w:szCs w:val="24"/>
        </w:rPr>
        <w:t xml:space="preserve">). Within </w:t>
      </w:r>
      <w:r w:rsidRPr="00DA42F5">
        <w:rPr>
          <w:rFonts w:cs="Times New Roman"/>
          <w:i/>
          <w:iCs/>
          <w:szCs w:val="24"/>
        </w:rPr>
        <w:t>Bacillota</w:t>
      </w:r>
      <w:r w:rsidRPr="00DA42F5">
        <w:rPr>
          <w:rFonts w:cs="Times New Roman"/>
          <w:szCs w:val="24"/>
        </w:rPr>
        <w:t xml:space="preserve">, 17.7% of all detected OTUs exhibited ethanol resistance, predominantly from the genera </w:t>
      </w:r>
      <w:r w:rsidRPr="00DA42F5">
        <w:rPr>
          <w:rFonts w:cs="Times New Roman"/>
          <w:i/>
          <w:iCs/>
          <w:szCs w:val="24"/>
        </w:rPr>
        <w:t>Clostridium</w:t>
      </w:r>
      <w:r w:rsidRPr="00DA42F5">
        <w:rPr>
          <w:rFonts w:cs="Times New Roman"/>
          <w:szCs w:val="24"/>
        </w:rPr>
        <w:t xml:space="preserve"> (n = 76), unclassified </w:t>
      </w:r>
      <w:proofErr w:type="spellStart"/>
      <w:r w:rsidRPr="00DA42F5">
        <w:rPr>
          <w:rFonts w:cs="Times New Roman"/>
          <w:i/>
          <w:iCs/>
          <w:szCs w:val="24"/>
        </w:rPr>
        <w:t>Lachnospiraceae</w:t>
      </w:r>
      <w:proofErr w:type="spellEnd"/>
      <w:r w:rsidRPr="00DA42F5">
        <w:rPr>
          <w:rFonts w:cs="Times New Roman"/>
          <w:szCs w:val="24"/>
        </w:rPr>
        <w:t xml:space="preserve"> (n = 49), unclassified </w:t>
      </w:r>
      <w:proofErr w:type="spellStart"/>
      <w:r w:rsidRPr="00DA42F5">
        <w:rPr>
          <w:rFonts w:cs="Times New Roman"/>
          <w:i/>
          <w:iCs/>
          <w:szCs w:val="24"/>
        </w:rPr>
        <w:t>Ruminococcaceae</w:t>
      </w:r>
      <w:proofErr w:type="spellEnd"/>
      <w:r w:rsidRPr="00DA42F5">
        <w:rPr>
          <w:rFonts w:cs="Times New Roman"/>
          <w:szCs w:val="24"/>
        </w:rPr>
        <w:t xml:space="preserve"> (n = 42), unclassified </w:t>
      </w:r>
      <w:proofErr w:type="spellStart"/>
      <w:r w:rsidRPr="00DA42F5">
        <w:rPr>
          <w:rFonts w:cs="Times New Roman"/>
          <w:i/>
          <w:iCs/>
          <w:szCs w:val="24"/>
        </w:rPr>
        <w:t>Peptostreptococcaceae</w:t>
      </w:r>
      <w:proofErr w:type="spellEnd"/>
      <w:r w:rsidRPr="00DA42F5">
        <w:rPr>
          <w:rFonts w:cs="Times New Roman"/>
          <w:szCs w:val="24"/>
        </w:rPr>
        <w:t xml:space="preserve"> (n = 13), and </w:t>
      </w:r>
      <w:proofErr w:type="spellStart"/>
      <w:r w:rsidRPr="00DA42F5">
        <w:rPr>
          <w:rFonts w:cs="Times New Roman"/>
          <w:i/>
          <w:iCs/>
          <w:szCs w:val="24"/>
        </w:rPr>
        <w:t>Blautia</w:t>
      </w:r>
      <w:proofErr w:type="spellEnd"/>
      <w:r w:rsidRPr="00DA42F5">
        <w:rPr>
          <w:rFonts w:cs="Times New Roman"/>
          <w:szCs w:val="24"/>
        </w:rPr>
        <w:t xml:space="preserve"> (n = 12). The remaining ethanol-resistant community included representatives from </w:t>
      </w:r>
      <w:r w:rsidRPr="00DA42F5">
        <w:rPr>
          <w:rFonts w:cs="Times New Roman"/>
          <w:i/>
          <w:iCs/>
          <w:szCs w:val="24"/>
        </w:rPr>
        <w:t>Actinomycetota</w:t>
      </w:r>
      <w:r w:rsidRPr="00DA42F5">
        <w:rPr>
          <w:rFonts w:cs="Times New Roman"/>
          <w:szCs w:val="24"/>
        </w:rPr>
        <w:t xml:space="preserve"> (n = 42, 11%), </w:t>
      </w:r>
      <w:proofErr w:type="spellStart"/>
      <w:r w:rsidRPr="00DA42F5">
        <w:rPr>
          <w:rFonts w:cs="Times New Roman"/>
          <w:i/>
          <w:iCs/>
          <w:szCs w:val="24"/>
        </w:rPr>
        <w:t>Pseudomonadota</w:t>
      </w:r>
      <w:proofErr w:type="spellEnd"/>
      <w:r w:rsidRPr="00DA42F5">
        <w:rPr>
          <w:rFonts w:cs="Times New Roman"/>
          <w:szCs w:val="24"/>
        </w:rPr>
        <w:t xml:space="preserve"> (n = 21, 5.5%), and unclassified </w:t>
      </w:r>
      <w:r w:rsidRPr="00DA42F5">
        <w:rPr>
          <w:rFonts w:cs="Times New Roman"/>
          <w:i/>
          <w:iCs/>
          <w:szCs w:val="24"/>
        </w:rPr>
        <w:t>Bacteria</w:t>
      </w:r>
      <w:r w:rsidRPr="00DA42F5">
        <w:rPr>
          <w:rFonts w:cs="Times New Roman"/>
          <w:szCs w:val="24"/>
        </w:rPr>
        <w:t xml:space="preserve"> (n = 14, 3.7%). In these groups, the proportion of ethanol-resistant OTUs was higher than expected, with 36.2%, 40.4%, and 19.7%, respectively, exhibiting this trait (Figure </w:t>
      </w:r>
      <w:proofErr w:type="spellStart"/>
      <w:r w:rsidR="00D84F0D" w:rsidRPr="00DA42F5">
        <w:rPr>
          <w:rFonts w:cs="Times New Roman"/>
          <w:szCs w:val="24"/>
        </w:rPr>
        <w:t>1</w:t>
      </w:r>
      <w:r w:rsidR="00E9210E" w:rsidRPr="00DA42F5">
        <w:rPr>
          <w:rFonts w:cs="Times New Roman"/>
          <w:szCs w:val="24"/>
        </w:rPr>
        <w:t>2</w:t>
      </w:r>
      <w:r w:rsidRPr="00DA42F5">
        <w:rPr>
          <w:rFonts w:cs="Times New Roman"/>
          <w:szCs w:val="24"/>
        </w:rPr>
        <w:t>B</w:t>
      </w:r>
      <w:proofErr w:type="spellEnd"/>
      <w:r w:rsidRPr="00DA42F5">
        <w:rPr>
          <w:rFonts w:cs="Times New Roman"/>
          <w:szCs w:val="24"/>
        </w:rPr>
        <w:t xml:space="preserve">). Additionally, phyla with ten or fewer representatives collectively contributed 2.3% of the ethanol-resistant richness, most notably the biologically relevant genus </w:t>
      </w:r>
      <w:proofErr w:type="spellStart"/>
      <w:r w:rsidRPr="00DA42F5">
        <w:rPr>
          <w:rFonts w:cs="Times New Roman"/>
          <w:i/>
          <w:iCs/>
          <w:szCs w:val="24"/>
        </w:rPr>
        <w:t>Akkermansia</w:t>
      </w:r>
      <w:proofErr w:type="spellEnd"/>
      <w:r w:rsidRPr="00DA42F5">
        <w:rPr>
          <w:rFonts w:cs="Times New Roman"/>
          <w:szCs w:val="24"/>
        </w:rPr>
        <w:t xml:space="preserve">. Ethanol treatment had the strongest elimination effect on the phylum </w:t>
      </w:r>
      <w:r w:rsidRPr="00DA42F5">
        <w:rPr>
          <w:rFonts w:cs="Times New Roman"/>
          <w:i/>
          <w:iCs/>
          <w:szCs w:val="24"/>
        </w:rPr>
        <w:t>Bacteroidota</w:t>
      </w:r>
      <w:r w:rsidRPr="00DA42F5">
        <w:rPr>
          <w:rFonts w:cs="Times New Roman"/>
          <w:szCs w:val="24"/>
        </w:rPr>
        <w:t>, with only 10 representatives remaining in the ethanol-resistant community, accounting for 0.5% of the total relative abundance.</w:t>
      </w:r>
    </w:p>
    <w:p w14:paraId="4D9C8EDB" w14:textId="2A83B513" w:rsidR="004D39F4" w:rsidRPr="00DA42F5" w:rsidRDefault="00CD77AB" w:rsidP="00CD77AB">
      <w:pPr>
        <w:rPr>
          <w:rFonts w:cs="Times New Roman"/>
          <w:szCs w:val="24"/>
        </w:rPr>
      </w:pPr>
      <w:r w:rsidRPr="00DA42F5">
        <w:rPr>
          <w:rFonts w:cs="Times New Roman"/>
          <w:szCs w:val="24"/>
        </w:rPr>
        <w:t xml:space="preserve">We observed two notable characteristics distinguishing the ethanol-resistant community from the non-resistant community. Both were primarily driven by </w:t>
      </w:r>
      <w:r w:rsidRPr="00DA42F5">
        <w:rPr>
          <w:rFonts w:cs="Times New Roman"/>
          <w:i/>
          <w:iCs/>
          <w:szCs w:val="24"/>
        </w:rPr>
        <w:t>Bacillota</w:t>
      </w:r>
      <w:r w:rsidRPr="00DA42F5">
        <w:rPr>
          <w:rFonts w:cs="Times New Roman"/>
          <w:szCs w:val="24"/>
        </w:rPr>
        <w:t xml:space="preserve"> OTUs due to their high abundance, </w:t>
      </w:r>
      <w:r w:rsidR="004D39F4" w:rsidRPr="00DA42F5">
        <w:rPr>
          <w:rFonts w:cs="Times New Roman"/>
          <w:szCs w:val="24"/>
        </w:rPr>
        <w:t>al</w:t>
      </w:r>
      <w:r w:rsidRPr="00DA42F5">
        <w:rPr>
          <w:rFonts w:cs="Times New Roman"/>
          <w:szCs w:val="24"/>
        </w:rPr>
        <w:t xml:space="preserve">though similar trends were also observed across other phyla. First, OTUs determined as ethanol-resistant exhibited significantly higher relative abundance within the gut microbiota compared to non-resistant OTUs (Wilcoxon rank sum test, p &lt; 0.001; Figure </w:t>
      </w:r>
      <w:proofErr w:type="spellStart"/>
      <w:r w:rsidR="00D84F0D" w:rsidRPr="00DA42F5">
        <w:rPr>
          <w:rFonts w:cs="Times New Roman"/>
          <w:szCs w:val="24"/>
        </w:rPr>
        <w:t>1</w:t>
      </w:r>
      <w:r w:rsidR="00E9210E" w:rsidRPr="00DA42F5">
        <w:rPr>
          <w:rFonts w:cs="Times New Roman"/>
          <w:szCs w:val="24"/>
        </w:rPr>
        <w:t>2</w:t>
      </w:r>
      <w:r w:rsidRPr="00DA42F5">
        <w:rPr>
          <w:rFonts w:cs="Times New Roman"/>
          <w:szCs w:val="24"/>
        </w:rPr>
        <w:t>C</w:t>
      </w:r>
      <w:proofErr w:type="spellEnd"/>
      <w:r w:rsidRPr="00DA42F5">
        <w:rPr>
          <w:rFonts w:cs="Times New Roman"/>
          <w:szCs w:val="24"/>
        </w:rPr>
        <w:t xml:space="preserve">). Second, ethanol-resistant OTUs were significantly more likely to be detected at more time points within an individual, particularly in more than 80% of samples collected over a six-month period, </w:t>
      </w:r>
      <w:r w:rsidR="004D39F4" w:rsidRPr="00DA42F5">
        <w:rPr>
          <w:rFonts w:cs="Times New Roman"/>
          <w:szCs w:val="24"/>
        </w:rPr>
        <w:t>compared</w:t>
      </w:r>
      <w:r w:rsidRPr="00DA42F5">
        <w:rPr>
          <w:rFonts w:cs="Times New Roman"/>
          <w:szCs w:val="24"/>
        </w:rPr>
        <w:t xml:space="preserve"> to non-resistant OTUs (Wilcoxon rank-sum test, p &lt; 0.001; Figure </w:t>
      </w:r>
      <w:proofErr w:type="spellStart"/>
      <w:r w:rsidR="00D84F0D" w:rsidRPr="00DA42F5">
        <w:rPr>
          <w:rFonts w:cs="Times New Roman"/>
          <w:szCs w:val="24"/>
        </w:rPr>
        <w:t>1</w:t>
      </w:r>
      <w:r w:rsidR="00E9210E" w:rsidRPr="00DA42F5">
        <w:rPr>
          <w:rFonts w:cs="Times New Roman"/>
          <w:szCs w:val="24"/>
        </w:rPr>
        <w:t>2</w:t>
      </w:r>
      <w:r w:rsidRPr="00DA42F5">
        <w:rPr>
          <w:rFonts w:cs="Times New Roman"/>
          <w:szCs w:val="24"/>
        </w:rPr>
        <w:t>D</w:t>
      </w:r>
      <w:proofErr w:type="spellEnd"/>
      <w:r w:rsidRPr="00DA42F5">
        <w:rPr>
          <w:rFonts w:cs="Times New Roman"/>
          <w:szCs w:val="24"/>
        </w:rPr>
        <w:t>).</w:t>
      </w:r>
    </w:p>
    <w:p w14:paraId="7FFD4655" w14:textId="60EE0604" w:rsidR="00D84F0D" w:rsidRPr="00DA42F5" w:rsidRDefault="00D84F0D" w:rsidP="00E9210E"/>
    <w:p w14:paraId="6A2415E3" w14:textId="4A7A68C6" w:rsidR="0011488B" w:rsidRPr="00DA42F5" w:rsidRDefault="0011488B" w:rsidP="0011488B">
      <w:pPr>
        <w:pStyle w:val="Heading4"/>
        <w:numPr>
          <w:ilvl w:val="0"/>
          <w:numId w:val="0"/>
        </w:numPr>
        <w:ind w:left="720" w:hanging="720"/>
      </w:pPr>
      <w:bookmarkStart w:id="299" w:name="_Toc216099751"/>
      <w:bookmarkStart w:id="300" w:name="_Toc220591402"/>
      <w:r w:rsidRPr="00DA42F5">
        <w:t xml:space="preserve">4.3.2.2 </w:t>
      </w:r>
      <w:r w:rsidR="000B5BBF" w:rsidRPr="00DA42F5">
        <w:t>Sporobiota in shotgun metagenomic data</w:t>
      </w:r>
      <w:bookmarkEnd w:id="299"/>
      <w:bookmarkEnd w:id="300"/>
    </w:p>
    <w:p w14:paraId="277634EE" w14:textId="4794622A" w:rsidR="00C11001" w:rsidRDefault="00CB7573" w:rsidP="00CB7573">
      <w:pPr>
        <w:rPr>
          <w:rFonts w:cs="Times New Roman"/>
          <w:szCs w:val="24"/>
        </w:rPr>
      </w:pPr>
      <w:r w:rsidRPr="00DA42F5">
        <w:rPr>
          <w:rFonts w:cs="Times New Roman"/>
          <w:szCs w:val="24"/>
        </w:rPr>
        <w:t xml:space="preserve">In the previous chapter, we showed that the ethanol-resistant </w:t>
      </w:r>
      <w:r w:rsidRPr="00DA42F5">
        <w:rPr>
          <w:rFonts w:cs="Times New Roman"/>
          <w:i/>
          <w:iCs/>
          <w:szCs w:val="24"/>
        </w:rPr>
        <w:t>Bacillota</w:t>
      </w:r>
      <w:r w:rsidRPr="00DA42F5">
        <w:rPr>
          <w:rFonts w:cs="Times New Roman"/>
          <w:szCs w:val="24"/>
        </w:rPr>
        <w:t xml:space="preserve"> community serves as a good proxy for studying the sporobiota</w:t>
      </w:r>
      <w:ins w:id="301" w:author="Urša Miklavčič" w:date="2026-01-21T10:25:00Z" w16du:dateUtc="2026-01-21T09:25:00Z">
        <w:r w:rsidR="00ED1AE6">
          <w:rPr>
            <w:rFonts w:cs="Times New Roman"/>
            <w:szCs w:val="24"/>
          </w:rPr>
          <w:t xml:space="preserve"> when using amplicon sequencing data</w:t>
        </w:r>
      </w:ins>
      <w:ins w:id="302" w:author="Urša Miklavčič" w:date="2026-01-21T10:15:00Z" w16du:dateUtc="2026-01-21T09:15:00Z">
        <w:r w:rsidR="006A4086">
          <w:rPr>
            <w:rFonts w:cs="Times New Roman"/>
            <w:szCs w:val="24"/>
          </w:rPr>
          <w:t xml:space="preserve"> (determination is described in Chapter 3.6.1.2)</w:t>
        </w:r>
      </w:ins>
      <w:r w:rsidRPr="00DA42F5">
        <w:rPr>
          <w:rFonts w:cs="Times New Roman"/>
          <w:szCs w:val="24"/>
        </w:rPr>
        <w:t xml:space="preserve">. </w:t>
      </w:r>
      <w:ins w:id="303" w:author="Urša Miklavčič" w:date="2026-01-21T10:15:00Z" w16du:dateUtc="2026-01-21T09:15:00Z">
        <w:r w:rsidR="006A4086">
          <w:rPr>
            <w:rFonts w:cs="Times New Roman"/>
            <w:szCs w:val="24"/>
          </w:rPr>
          <w:t>Using shotgun metag</w:t>
        </w:r>
      </w:ins>
      <w:ins w:id="304" w:author="Urša Miklavčič" w:date="2026-01-21T10:16:00Z" w16du:dateUtc="2026-01-21T09:16:00Z">
        <w:r w:rsidR="006A4086">
          <w:rPr>
            <w:rFonts w:cs="Times New Roman"/>
            <w:szCs w:val="24"/>
          </w:rPr>
          <w:t xml:space="preserve">enomic data we </w:t>
        </w:r>
      </w:ins>
      <w:ins w:id="305" w:author="Urša Miklavčič" w:date="2026-01-21T10:25:00Z" w16du:dateUtc="2026-01-21T09:25:00Z">
        <w:r w:rsidR="00ED1AE6">
          <w:rPr>
            <w:rFonts w:cs="Times New Roman"/>
            <w:szCs w:val="24"/>
          </w:rPr>
          <w:t>could determine</w:t>
        </w:r>
      </w:ins>
      <w:ins w:id="306" w:author="Urša Miklavčič" w:date="2026-01-21T10:16:00Z" w16du:dateUtc="2026-01-21T09:16:00Z">
        <w:r w:rsidR="006A4086">
          <w:rPr>
            <w:rFonts w:cs="Times New Roman"/>
            <w:szCs w:val="24"/>
          </w:rPr>
          <w:t xml:space="preserve"> sporulation capacity based on presence of sporulation genes (described in Chapter 3.6.2.3)</w:t>
        </w:r>
      </w:ins>
      <w:ins w:id="307" w:author="Urša Miklavčič" w:date="2026-01-21T10:17:00Z" w16du:dateUtc="2026-01-21T09:17:00Z">
        <w:r w:rsidR="006A4086">
          <w:rPr>
            <w:rFonts w:cs="Times New Roman"/>
            <w:szCs w:val="24"/>
          </w:rPr>
          <w:t xml:space="preserve"> and with the ethanol treated samples we obtained information on actual sporulation (presence of spores) by species </w:t>
        </w:r>
        <w:proofErr w:type="gramStart"/>
        <w:r w:rsidR="006A4086">
          <w:rPr>
            <w:rFonts w:cs="Times New Roman"/>
            <w:szCs w:val="24"/>
          </w:rPr>
          <w:t>in a given</w:t>
        </w:r>
        <w:proofErr w:type="gramEnd"/>
        <w:r w:rsidR="006A4086">
          <w:rPr>
            <w:rFonts w:cs="Times New Roman"/>
            <w:szCs w:val="24"/>
          </w:rPr>
          <w:t xml:space="preserve"> environment. </w:t>
        </w:r>
      </w:ins>
    </w:p>
    <w:p w14:paraId="315BACED" w14:textId="77777777" w:rsidR="00E42463" w:rsidRDefault="00E42463" w:rsidP="00CB7573">
      <w:pPr>
        <w:rPr>
          <w:rFonts w:cs="Times New Roman"/>
          <w:szCs w:val="24"/>
        </w:rPr>
      </w:pPr>
    </w:p>
    <w:p w14:paraId="2BB9AEF6" w14:textId="77777777" w:rsidR="00C11001" w:rsidRDefault="00C11001" w:rsidP="00C11001">
      <w:pPr>
        <w:keepNext/>
      </w:pPr>
      <w:r>
        <w:rPr>
          <w:rFonts w:cs="Times New Roman"/>
          <w:noProof/>
          <w:szCs w:val="24"/>
        </w:rPr>
        <w:lastRenderedPageBreak/>
        <w:drawing>
          <wp:inline distT="0" distB="0" distL="0" distR="0" wp14:anchorId="737C43DF" wp14:editId="4E18218E">
            <wp:extent cx="5943600" cy="5029200"/>
            <wp:effectExtent l="0" t="0" r="0" b="0"/>
            <wp:docPr id="10951166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029200"/>
                    </a:xfrm>
                    <a:prstGeom prst="rect">
                      <a:avLst/>
                    </a:prstGeom>
                    <a:noFill/>
                    <a:ln>
                      <a:noFill/>
                    </a:ln>
                  </pic:spPr>
                </pic:pic>
              </a:graphicData>
            </a:graphic>
          </wp:inline>
        </w:drawing>
      </w:r>
    </w:p>
    <w:p w14:paraId="33680FC0" w14:textId="5EDC6E61" w:rsidR="00C11001" w:rsidRDefault="00C11001" w:rsidP="00C11001">
      <w:pPr>
        <w:pStyle w:val="Caption"/>
        <w:rPr>
          <w:b w:val="0"/>
          <w:bCs/>
        </w:rPr>
      </w:pPr>
      <w:r>
        <w:t xml:space="preserve">Figure </w:t>
      </w:r>
      <w:r>
        <w:fldChar w:fldCharType="begin"/>
      </w:r>
      <w:r>
        <w:instrText xml:space="preserve"> SEQ Figure \* ARABIC </w:instrText>
      </w:r>
      <w:r>
        <w:fldChar w:fldCharType="separate"/>
      </w:r>
      <w:r>
        <w:rPr>
          <w:noProof/>
        </w:rPr>
        <w:t>12</w:t>
      </w:r>
      <w:r>
        <w:fldChar w:fldCharType="end"/>
      </w:r>
      <w:r>
        <w:t xml:space="preserve">. </w:t>
      </w:r>
      <w:r w:rsidRPr="00385398">
        <w:t>Characteristics of ethanol-resistant and ethanol non-resistant bacterial communities based on amplicon data.</w:t>
      </w:r>
      <w:r>
        <w:t xml:space="preserve"> </w:t>
      </w:r>
      <w:r w:rsidRPr="00E9210E">
        <w:rPr>
          <w:b w:val="0"/>
          <w:bCs/>
        </w:rPr>
        <w:t xml:space="preserve">A) Distribution of OTUs across phyla according to ethanol resistance. The number of OTUs identified in each phylum for the ethanol non-resistant and ethanol-resistant communities. B) Stacked bar plots show the relative proportions of ethanol-resistant and ethanol non-resistant OTUs within each phylum, colour-coded as ethanol non-resistant (green) or ethanol-resistant (yellow). C) Comparison of relative abundances in the gut microbiota between OTUs determined as part of the ethanol-resistant or ethanol non-resistant community per phylum. D) Within-individual prevalence of OTUs across the six-month observational period for the most prevalent phyla, shown as the </w:t>
      </w:r>
      <w:r>
        <w:rPr>
          <w:b w:val="0"/>
          <w:bCs/>
        </w:rPr>
        <w:t>number</w:t>
      </w:r>
      <w:r w:rsidRPr="00E9210E">
        <w:rPr>
          <w:b w:val="0"/>
          <w:bCs/>
        </w:rPr>
        <w:t xml:space="preserve"> of OTUs detected at different </w:t>
      </w:r>
      <w:r>
        <w:rPr>
          <w:b w:val="0"/>
          <w:bCs/>
        </w:rPr>
        <w:t>percentage</w:t>
      </w:r>
      <w:r w:rsidRPr="00E9210E">
        <w:rPr>
          <w:b w:val="0"/>
          <w:bCs/>
        </w:rPr>
        <w:t xml:space="preserve"> of time points. </w:t>
      </w:r>
      <w:r>
        <w:rPr>
          <w:b w:val="0"/>
          <w:bCs/>
        </w:rPr>
        <w:t>Points represent one OTU per individual, and lines</w:t>
      </w:r>
      <w:r w:rsidRPr="00E9210E">
        <w:rPr>
          <w:b w:val="0"/>
          <w:bCs/>
        </w:rPr>
        <w:t xml:space="preserve"> </w:t>
      </w:r>
      <w:r>
        <w:rPr>
          <w:b w:val="0"/>
          <w:bCs/>
        </w:rPr>
        <w:t xml:space="preserve">represent the </w:t>
      </w:r>
      <w:r w:rsidRPr="00E9210E">
        <w:rPr>
          <w:b w:val="0"/>
          <w:bCs/>
        </w:rPr>
        <w:t>cohort median</w:t>
      </w:r>
      <w:r>
        <w:rPr>
          <w:b w:val="0"/>
          <w:bCs/>
        </w:rPr>
        <w:t>.</w:t>
      </w:r>
    </w:p>
    <w:p w14:paraId="19D970D1" w14:textId="77777777" w:rsidR="00E42463" w:rsidRPr="00E42463" w:rsidRDefault="00E42463" w:rsidP="00E42463"/>
    <w:p w14:paraId="2BC76973" w14:textId="45403E89" w:rsidR="00CB7573" w:rsidRPr="00DA42F5" w:rsidDel="006A4086" w:rsidRDefault="00CB7573" w:rsidP="00CB7573">
      <w:pPr>
        <w:rPr>
          <w:del w:id="308" w:author="Urša Miklavčič" w:date="2026-01-21T10:17:00Z" w16du:dateUtc="2026-01-21T09:17:00Z"/>
          <w:rFonts w:cs="Times New Roman"/>
          <w:szCs w:val="24"/>
        </w:rPr>
      </w:pPr>
      <w:del w:id="309" w:author="Urša Miklavčič" w:date="2026-01-21T10:17:00Z" w16du:dateUtc="2026-01-21T09:17:00Z">
        <w:r w:rsidRPr="00DA42F5" w:rsidDel="006A4086">
          <w:rPr>
            <w:rFonts w:cs="Times New Roman"/>
            <w:szCs w:val="24"/>
          </w:rPr>
          <w:delText xml:space="preserve">Shotgun metagenomic data also allow for the prediction of </w:delText>
        </w:r>
        <w:r w:rsidR="00494014" w:rsidDel="006A4086">
          <w:rPr>
            <w:rFonts w:cs="Times New Roman"/>
            <w:szCs w:val="24"/>
          </w:rPr>
          <w:delText>sporulation capacity</w:delText>
        </w:r>
        <w:r w:rsidRPr="00DA42F5" w:rsidDel="006A4086">
          <w:rPr>
            <w:rFonts w:cs="Times New Roman"/>
            <w:szCs w:val="24"/>
          </w:rPr>
          <w:delText xml:space="preserve"> based on the presence of sporulation genes, while ethanol treated samples provide information on actual sporulation </w:delText>
        </w:r>
      </w:del>
      <w:ins w:id="310" w:author="Maja Rupnik" w:date="2026-01-20T16:05:00Z" w16du:dateUtc="2026-01-20T15:05:00Z">
        <w:del w:id="311" w:author="Urša Miklavčič" w:date="2026-01-21T10:17:00Z" w16du:dateUtc="2026-01-21T09:17:00Z">
          <w:r w:rsidR="00D6164D" w:rsidRPr="00DA42F5" w:rsidDel="006A4086">
            <w:rPr>
              <w:rFonts w:cs="Times New Roman"/>
              <w:szCs w:val="24"/>
            </w:rPr>
            <w:delText xml:space="preserve">(presence of spores) </w:delText>
          </w:r>
        </w:del>
      </w:ins>
      <w:del w:id="312" w:author="Urša Miklavčič" w:date="2026-01-21T10:17:00Z" w16du:dateUtc="2026-01-21T09:17:00Z">
        <w:r w:rsidRPr="00DA42F5" w:rsidDel="006A4086">
          <w:rPr>
            <w:rFonts w:cs="Times New Roman"/>
            <w:szCs w:val="24"/>
          </w:rPr>
          <w:delText xml:space="preserve">by species in the given environment. </w:delText>
        </w:r>
        <w:commentRangeStart w:id="313"/>
        <w:commentRangeEnd w:id="313"/>
        <w:r w:rsidR="002A3EFB" w:rsidRPr="00DA42F5" w:rsidDel="006A4086">
          <w:rPr>
            <w:rStyle w:val="CommentReference"/>
          </w:rPr>
          <w:commentReference w:id="313"/>
        </w:r>
      </w:del>
    </w:p>
    <w:p w14:paraId="5BB6AC06" w14:textId="0DC96B8B" w:rsidR="00CB7573" w:rsidRPr="00DA42F5" w:rsidRDefault="00CB7573" w:rsidP="00CB7573">
      <w:pPr>
        <w:rPr>
          <w:rFonts w:cs="Times New Roman"/>
          <w:szCs w:val="24"/>
        </w:rPr>
      </w:pPr>
      <w:r w:rsidRPr="00DA42F5">
        <w:rPr>
          <w:rFonts w:cs="Times New Roman"/>
          <w:szCs w:val="24"/>
        </w:rPr>
        <w:t xml:space="preserve">For the 527 </w:t>
      </w:r>
      <w:commentRangeStart w:id="314"/>
      <w:commentRangeStart w:id="315"/>
      <w:r w:rsidRPr="00DA42F5">
        <w:rPr>
          <w:rFonts w:cs="Times New Roman"/>
          <w:szCs w:val="24"/>
        </w:rPr>
        <w:t xml:space="preserve">single-genome bins </w:t>
      </w:r>
      <w:commentRangeEnd w:id="314"/>
      <w:r w:rsidR="00D6164D" w:rsidRPr="00DA42F5">
        <w:rPr>
          <w:rStyle w:val="CommentReference"/>
        </w:rPr>
        <w:commentReference w:id="314"/>
      </w:r>
      <w:commentRangeEnd w:id="315"/>
      <w:r w:rsidR="006A4086">
        <w:rPr>
          <w:rStyle w:val="CommentReference"/>
        </w:rPr>
        <w:commentReference w:id="315"/>
      </w:r>
      <w:ins w:id="316" w:author="Urša Miklavčič" w:date="2026-01-21T10:18:00Z" w16du:dateUtc="2026-01-21T09:18:00Z">
        <w:r w:rsidR="006A4086">
          <w:rPr>
            <w:rFonts w:cs="Times New Roman"/>
            <w:szCs w:val="24"/>
          </w:rPr>
          <w:t>(</w:t>
        </w:r>
        <w:proofErr w:type="spellStart"/>
        <w:r w:rsidR="006A4086">
          <w:rPr>
            <w:rFonts w:cs="Times New Roman"/>
            <w:szCs w:val="24"/>
          </w:rPr>
          <w:t>SGBs</w:t>
        </w:r>
        <w:proofErr w:type="spellEnd"/>
        <w:r w:rsidR="006A4086">
          <w:rPr>
            <w:rFonts w:cs="Times New Roman"/>
            <w:szCs w:val="24"/>
          </w:rPr>
          <w:t xml:space="preserve">) </w:t>
        </w:r>
      </w:ins>
      <w:r w:rsidRPr="00DA42F5">
        <w:rPr>
          <w:rFonts w:cs="Times New Roman"/>
          <w:szCs w:val="24"/>
        </w:rPr>
        <w:t xml:space="preserve">classified at species level, reference genomes were downloaded from </w:t>
      </w:r>
      <w:proofErr w:type="spellStart"/>
      <w:r w:rsidRPr="00DA42F5">
        <w:rPr>
          <w:rFonts w:cs="Times New Roman"/>
          <w:szCs w:val="24"/>
        </w:rPr>
        <w:t>GTDB</w:t>
      </w:r>
      <w:proofErr w:type="spellEnd"/>
      <w:r w:rsidRPr="00DA42F5">
        <w:rPr>
          <w:rFonts w:cs="Times New Roman"/>
          <w:szCs w:val="24"/>
        </w:rPr>
        <w:t xml:space="preserve"> and screened for the 66 genes associated with sporulation (Supplement Table </w:t>
      </w:r>
      <w:r w:rsidR="00973033" w:rsidRPr="00DA42F5">
        <w:rPr>
          <w:rFonts w:cs="Times New Roman"/>
          <w:szCs w:val="24"/>
        </w:rPr>
        <w:t>6</w:t>
      </w:r>
      <w:r w:rsidRPr="00DA42F5">
        <w:rPr>
          <w:rFonts w:cs="Times New Roman"/>
          <w:szCs w:val="24"/>
        </w:rPr>
        <w:t xml:space="preserve">). Species carrying </w:t>
      </w:r>
      <w:commentRangeStart w:id="317"/>
      <w:commentRangeStart w:id="318"/>
      <w:r w:rsidRPr="00DA42F5">
        <w:rPr>
          <w:rFonts w:cs="Times New Roman"/>
          <w:szCs w:val="24"/>
        </w:rPr>
        <w:t xml:space="preserve">at least 33 of these genes </w:t>
      </w:r>
      <w:commentRangeEnd w:id="317"/>
      <w:r w:rsidR="00D6164D" w:rsidRPr="00DA42F5">
        <w:rPr>
          <w:rStyle w:val="CommentReference"/>
        </w:rPr>
        <w:commentReference w:id="317"/>
      </w:r>
      <w:commentRangeEnd w:id="318"/>
      <w:r w:rsidR="00ED1AE6">
        <w:rPr>
          <w:rStyle w:val="CommentReference"/>
        </w:rPr>
        <w:commentReference w:id="318"/>
      </w:r>
      <w:r w:rsidRPr="00DA42F5">
        <w:rPr>
          <w:rFonts w:cs="Times New Roman"/>
          <w:szCs w:val="24"/>
        </w:rPr>
        <w:t xml:space="preserve">were classified as spore-forming, resulting in </w:t>
      </w:r>
      <w:r w:rsidRPr="00DA42F5">
        <w:rPr>
          <w:rFonts w:cs="Times New Roman"/>
          <w:szCs w:val="24"/>
        </w:rPr>
        <w:lastRenderedPageBreak/>
        <w:t>235 spore-forming and 292 non-spore-forming species</w:t>
      </w:r>
      <w:ins w:id="319" w:author="Urša Miklavčič" w:date="2026-01-21T10:21:00Z" w16du:dateUtc="2026-01-21T09:21:00Z">
        <w:r w:rsidR="00ED1AE6">
          <w:rPr>
            <w:rFonts w:cs="Times New Roman"/>
            <w:szCs w:val="24"/>
          </w:rPr>
          <w:t xml:space="preserve"> (Supplement Figure 6)</w:t>
        </w:r>
      </w:ins>
      <w:r w:rsidRPr="00DA42F5">
        <w:rPr>
          <w:rFonts w:cs="Times New Roman"/>
          <w:szCs w:val="24"/>
        </w:rPr>
        <w:t xml:space="preserve">. The remaining 506 </w:t>
      </w:r>
      <w:proofErr w:type="spellStart"/>
      <w:r w:rsidRPr="00DA42F5">
        <w:rPr>
          <w:rFonts w:cs="Times New Roman"/>
          <w:szCs w:val="24"/>
        </w:rPr>
        <w:t>SGBs</w:t>
      </w:r>
      <w:proofErr w:type="spellEnd"/>
      <w:r w:rsidRPr="00DA42F5">
        <w:rPr>
          <w:rFonts w:cs="Times New Roman"/>
          <w:szCs w:val="24"/>
        </w:rPr>
        <w:t xml:space="preserve"> could not be assessed because no genomes </w:t>
      </w:r>
      <w:del w:id="320" w:author="Urša Miklavčič" w:date="2026-01-28T15:34:00Z" w16du:dateUtc="2026-01-28T14:34:00Z">
        <w:r w:rsidRPr="00DA42F5" w:rsidDel="00F950DC">
          <w:rPr>
            <w:rFonts w:cs="Times New Roman"/>
            <w:szCs w:val="24"/>
          </w:rPr>
          <w:delText xml:space="preserve">were </w:delText>
        </w:r>
      </w:del>
      <w:ins w:id="321" w:author="Urša Miklavčič" w:date="2026-01-28T15:34:00Z" w16du:dateUtc="2026-01-28T14:34:00Z">
        <w:r w:rsidR="00F950DC">
          <w:rPr>
            <w:rFonts w:cs="Times New Roman"/>
            <w:szCs w:val="24"/>
          </w:rPr>
          <w:t>are</w:t>
        </w:r>
        <w:r w:rsidR="00F950DC" w:rsidRPr="00DA42F5">
          <w:rPr>
            <w:rFonts w:cs="Times New Roman"/>
            <w:szCs w:val="24"/>
          </w:rPr>
          <w:t xml:space="preserve"> </w:t>
        </w:r>
      </w:ins>
      <w:r w:rsidRPr="00DA42F5">
        <w:rPr>
          <w:rFonts w:cs="Times New Roman"/>
          <w:szCs w:val="24"/>
        </w:rPr>
        <w:t xml:space="preserve">available </w:t>
      </w:r>
      <w:r w:rsidR="002A3EFB" w:rsidRPr="00DA42F5">
        <w:rPr>
          <w:rFonts w:cs="Times New Roman"/>
          <w:szCs w:val="24"/>
        </w:rPr>
        <w:t xml:space="preserve">in </w:t>
      </w:r>
      <w:proofErr w:type="spellStart"/>
      <w:r w:rsidR="002A3EFB" w:rsidRPr="00DA42F5">
        <w:rPr>
          <w:rFonts w:cs="Times New Roman"/>
          <w:szCs w:val="24"/>
        </w:rPr>
        <w:t>GTDB</w:t>
      </w:r>
      <w:proofErr w:type="spellEnd"/>
      <w:ins w:id="322" w:author="Urša Miklavčič" w:date="2026-01-28T15:34:00Z" w16du:dateUtc="2026-01-28T14:34:00Z">
        <w:r w:rsidR="00F950DC">
          <w:rPr>
            <w:rFonts w:cs="Times New Roman"/>
            <w:szCs w:val="24"/>
          </w:rPr>
          <w:t xml:space="preserve"> or anywhere else</w:t>
        </w:r>
      </w:ins>
      <w:del w:id="323" w:author="Urša Miklavčič" w:date="2026-01-21T14:55:00Z" w16du:dateUtc="2026-01-21T13:55:00Z">
        <w:r w:rsidR="002A3EFB" w:rsidRPr="00DA42F5" w:rsidDel="007660BE">
          <w:rPr>
            <w:rFonts w:cs="Times New Roman"/>
            <w:szCs w:val="24"/>
          </w:rPr>
          <w:delText>???</w:delText>
        </w:r>
      </w:del>
      <w:r w:rsidR="002A3EFB" w:rsidRPr="00DA42F5">
        <w:rPr>
          <w:rFonts w:cs="Times New Roman"/>
          <w:szCs w:val="24"/>
        </w:rPr>
        <w:t xml:space="preserve"> </w:t>
      </w:r>
      <w:r w:rsidRPr="00DA42F5">
        <w:rPr>
          <w:rFonts w:cs="Times New Roman"/>
          <w:szCs w:val="24"/>
        </w:rPr>
        <w:t xml:space="preserve">and were therefore excluded from further analysis. Subsequent analysis focused on </w:t>
      </w:r>
      <w:proofErr w:type="spellStart"/>
      <w:r w:rsidRPr="00DA42F5">
        <w:rPr>
          <w:rFonts w:cs="Times New Roman"/>
          <w:szCs w:val="24"/>
        </w:rPr>
        <w:t>SGBs</w:t>
      </w:r>
      <w:proofErr w:type="spellEnd"/>
      <w:r w:rsidRPr="00DA42F5">
        <w:rPr>
          <w:rFonts w:cs="Times New Roman"/>
          <w:szCs w:val="24"/>
        </w:rPr>
        <w:t xml:space="preserve"> with species-level classifications.</w:t>
      </w:r>
    </w:p>
    <w:p w14:paraId="037B7682" w14:textId="1393DF16" w:rsidR="004F668E" w:rsidRPr="00DA42F5" w:rsidRDefault="001C5848" w:rsidP="00D84F0D">
      <w:pPr>
        <w:rPr>
          <w:rFonts w:cs="Times New Roman"/>
          <w:szCs w:val="24"/>
        </w:rPr>
      </w:pPr>
      <w:ins w:id="324" w:author="Urša Miklavčič" w:date="2026-01-21T14:53:00Z" w16du:dateUtc="2026-01-21T13:53:00Z">
        <w:r>
          <w:rPr>
            <w:rFonts w:cs="Times New Roman"/>
            <w:szCs w:val="24"/>
          </w:rPr>
          <w:t>In o</w:t>
        </w:r>
      </w:ins>
      <w:ins w:id="325" w:author="Urša Miklavčič" w:date="2026-01-21T10:27:00Z" w16du:dateUtc="2026-01-21T09:27:00Z">
        <w:r w:rsidR="00ED1AE6">
          <w:rPr>
            <w:rFonts w:cs="Times New Roman"/>
            <w:szCs w:val="24"/>
          </w:rPr>
          <w:t xml:space="preserve">ur </w:t>
        </w:r>
      </w:ins>
      <w:ins w:id="326" w:author="Urša Miklavčič" w:date="2026-01-21T14:52:00Z" w16du:dateUtc="2026-01-21T13:52:00Z">
        <w:r>
          <w:rPr>
            <w:rFonts w:cs="Times New Roman"/>
            <w:szCs w:val="24"/>
          </w:rPr>
          <w:t>data</w:t>
        </w:r>
      </w:ins>
      <w:ins w:id="327" w:author="Urša Miklavčič" w:date="2026-01-21T14:53:00Z" w16du:dateUtc="2026-01-21T13:53:00Z">
        <w:r>
          <w:rPr>
            <w:rFonts w:cs="Times New Roman"/>
            <w:szCs w:val="24"/>
          </w:rPr>
          <w:t>set</w:t>
        </w:r>
      </w:ins>
      <w:ins w:id="328" w:author="Urša Miklavčič" w:date="2026-01-21T10:27:00Z" w16du:dateUtc="2026-01-21T09:27:00Z">
        <w:r w:rsidR="00ED1AE6">
          <w:rPr>
            <w:rFonts w:cs="Times New Roman"/>
            <w:szCs w:val="24"/>
          </w:rPr>
          <w:t xml:space="preserve"> </w:t>
        </w:r>
      </w:ins>
      <w:ins w:id="329" w:author="Urša Miklavčič" w:date="2026-01-21T14:53:00Z" w16du:dateUtc="2026-01-21T13:53:00Z">
        <w:r>
          <w:rPr>
            <w:rFonts w:cs="Times New Roman"/>
            <w:szCs w:val="24"/>
          </w:rPr>
          <w:t xml:space="preserve">we found that </w:t>
        </w:r>
      </w:ins>
      <w:ins w:id="330" w:author="Urša Miklavčič" w:date="2026-01-21T10:27:00Z" w16du:dateUtc="2026-01-21T09:27:00Z">
        <w:r w:rsidR="00ED1AE6">
          <w:rPr>
            <w:rFonts w:cs="Times New Roman"/>
            <w:szCs w:val="24"/>
          </w:rPr>
          <w:t>around 50% of human gut bacteria have sporulation capacity</w:t>
        </w:r>
      </w:ins>
      <w:ins w:id="331" w:author="Urša Miklavčič" w:date="2026-01-28T15:44:00Z" w16du:dateUtc="2026-01-28T14:44:00Z">
        <w:r w:rsidR="00006D53">
          <w:rPr>
            <w:rFonts w:cs="Times New Roman"/>
            <w:szCs w:val="24"/>
          </w:rPr>
          <w:t xml:space="preserve"> based on sporulation gene presence</w:t>
        </w:r>
      </w:ins>
      <w:ins w:id="332" w:author="Urša Miklavčič" w:date="2026-01-28T15:45:00Z" w16du:dateUtc="2026-01-28T14:45:00Z">
        <w:r w:rsidR="00006D53">
          <w:rPr>
            <w:rFonts w:cs="Times New Roman"/>
            <w:szCs w:val="24"/>
          </w:rPr>
          <w:t xml:space="preserve"> (Supplement Figure 6)</w:t>
        </w:r>
      </w:ins>
      <w:ins w:id="333" w:author="Urša Miklavčič" w:date="2026-01-28T15:44:00Z" w16du:dateUtc="2026-01-28T14:44:00Z">
        <w:r w:rsidR="00006D53">
          <w:rPr>
            <w:rFonts w:cs="Times New Roman"/>
            <w:szCs w:val="24"/>
          </w:rPr>
          <w:t>.</w:t>
        </w:r>
      </w:ins>
      <w:ins w:id="334" w:author="Urša Miklavčič" w:date="2026-01-21T10:28:00Z" w16du:dateUtc="2026-01-21T09:28:00Z">
        <w:r w:rsidR="00ED1AE6">
          <w:rPr>
            <w:rFonts w:cs="Times New Roman"/>
            <w:szCs w:val="24"/>
          </w:rPr>
          <w:t xml:space="preserve"> </w:t>
        </w:r>
      </w:ins>
      <w:del w:id="335" w:author="Urša Miklavčič" w:date="2026-01-21T10:28:00Z" w16du:dateUtc="2026-01-21T09:28:00Z">
        <w:r w:rsidR="003E26C9" w:rsidRPr="00DA42F5" w:rsidDel="00ED1AE6">
          <w:rPr>
            <w:rFonts w:cs="Times New Roman"/>
            <w:szCs w:val="24"/>
          </w:rPr>
          <w:delText xml:space="preserve">More than 50% of bacterial species in the human gut can sporulate, </w:delText>
        </w:r>
      </w:del>
      <w:ins w:id="336" w:author="Urša Miklavčič" w:date="2026-01-28T15:44:00Z" w16du:dateUtc="2026-01-28T14:44:00Z">
        <w:r w:rsidR="00006D53">
          <w:rPr>
            <w:rFonts w:cs="Times New Roman"/>
            <w:szCs w:val="24"/>
          </w:rPr>
          <w:t>H</w:t>
        </w:r>
      </w:ins>
      <w:del w:id="337" w:author="Urša Miklavčič" w:date="2026-01-28T15:44:00Z" w16du:dateUtc="2026-01-28T14:44:00Z">
        <w:r w:rsidR="003E26C9" w:rsidRPr="00DA42F5" w:rsidDel="00006D53">
          <w:rPr>
            <w:rFonts w:cs="Times New Roman"/>
            <w:szCs w:val="24"/>
          </w:rPr>
          <w:delText>h</w:delText>
        </w:r>
      </w:del>
      <w:r w:rsidR="003E26C9" w:rsidRPr="00DA42F5">
        <w:rPr>
          <w:rFonts w:cs="Times New Roman"/>
          <w:szCs w:val="24"/>
        </w:rPr>
        <w:t xml:space="preserve">owever, we found that only </w:t>
      </w:r>
      <w:commentRangeStart w:id="338"/>
      <w:r w:rsidR="003E26C9" w:rsidRPr="00DA42F5">
        <w:rPr>
          <w:rFonts w:cs="Times New Roman"/>
          <w:szCs w:val="24"/>
        </w:rPr>
        <w:t xml:space="preserve">about 32% of </w:t>
      </w:r>
      <w:del w:id="339" w:author="Urša Miklavčič" w:date="2026-01-21T10:28:00Z" w16du:dateUtc="2026-01-21T09:28:00Z">
        <w:r w:rsidR="003E26C9" w:rsidRPr="00DA42F5" w:rsidDel="00ED1AE6">
          <w:rPr>
            <w:rFonts w:cs="Times New Roman"/>
            <w:szCs w:val="24"/>
          </w:rPr>
          <w:delText xml:space="preserve">these </w:delText>
        </w:r>
      </w:del>
      <w:commentRangeEnd w:id="338"/>
      <w:ins w:id="340" w:author="Urša Miklavčič" w:date="2026-01-21T10:28:00Z" w16du:dateUtc="2026-01-21T09:28:00Z">
        <w:r w:rsidR="00ED1AE6">
          <w:rPr>
            <w:rFonts w:cs="Times New Roman"/>
            <w:szCs w:val="24"/>
          </w:rPr>
          <w:t>spore-formers</w:t>
        </w:r>
        <w:r w:rsidR="00ED1AE6" w:rsidRPr="00DA42F5">
          <w:rPr>
            <w:rFonts w:cs="Times New Roman"/>
            <w:szCs w:val="24"/>
          </w:rPr>
          <w:t xml:space="preserve"> </w:t>
        </w:r>
      </w:ins>
      <w:r w:rsidR="002A3EFB" w:rsidRPr="00DA42F5">
        <w:rPr>
          <w:rStyle w:val="CommentReference"/>
        </w:rPr>
        <w:commentReference w:id="338"/>
      </w:r>
      <w:del w:id="341" w:author="Urša Miklavčič" w:date="2026-01-21T10:28:00Z" w16du:dateUtc="2026-01-21T09:28:00Z">
        <w:r w:rsidR="003E26C9" w:rsidRPr="00DA42F5" w:rsidDel="00ED1AE6">
          <w:rPr>
            <w:rFonts w:cs="Times New Roman"/>
            <w:szCs w:val="24"/>
          </w:rPr>
          <w:delText xml:space="preserve">were </w:delText>
        </w:r>
      </w:del>
      <w:ins w:id="342" w:author="Urša Miklavčič" w:date="2026-01-21T10:28:00Z" w16du:dateUtc="2026-01-21T09:28:00Z">
        <w:r w:rsidR="00ED1AE6">
          <w:rPr>
            <w:rFonts w:cs="Times New Roman"/>
            <w:szCs w:val="24"/>
          </w:rPr>
          <w:t>could be</w:t>
        </w:r>
        <w:r w:rsidR="00ED1AE6" w:rsidRPr="00DA42F5">
          <w:rPr>
            <w:rFonts w:cs="Times New Roman"/>
            <w:szCs w:val="24"/>
          </w:rPr>
          <w:t xml:space="preserve"> </w:t>
        </w:r>
      </w:ins>
      <w:r w:rsidR="003E26C9" w:rsidRPr="00DA42F5">
        <w:rPr>
          <w:rFonts w:cs="Times New Roman"/>
          <w:szCs w:val="24"/>
        </w:rPr>
        <w:t xml:space="preserve">detected in the ethanol-resistant community, indicating they were forming spores at the time of our sampling. Spore-forming bacteria represent approximately 40% of the total relative abundance within individual </w:t>
      </w:r>
      <w:del w:id="343" w:author="Urša Miklavčič" w:date="2026-01-21T10:28:00Z" w16du:dateUtc="2026-01-21T09:28:00Z">
        <w:r w:rsidR="00973033" w:rsidRPr="00DA42F5" w:rsidDel="00ED1AE6">
          <w:rPr>
            <w:rFonts w:cs="Times New Roman"/>
            <w:szCs w:val="24"/>
          </w:rPr>
          <w:delText>bulk microbiota</w:delText>
        </w:r>
      </w:del>
      <w:ins w:id="344" w:author="Urša Miklavčič" w:date="2026-01-21T10:28:00Z" w16du:dateUtc="2026-01-21T09:28:00Z">
        <w:r w:rsidR="00ED1AE6">
          <w:rPr>
            <w:rFonts w:cs="Times New Roman"/>
            <w:szCs w:val="24"/>
          </w:rPr>
          <w:t>untreated stool</w:t>
        </w:r>
      </w:ins>
      <w:r w:rsidR="00973033" w:rsidRPr="00DA42F5">
        <w:rPr>
          <w:rFonts w:cs="Times New Roman"/>
          <w:szCs w:val="24"/>
        </w:rPr>
        <w:t xml:space="preserve"> </w:t>
      </w:r>
      <w:r w:rsidR="003E26C9" w:rsidRPr="00DA42F5">
        <w:rPr>
          <w:rFonts w:cs="Times New Roman"/>
          <w:szCs w:val="24"/>
        </w:rPr>
        <w:t>sample</w:t>
      </w:r>
      <w:del w:id="345" w:author="Urša Miklavčič" w:date="2026-01-28T15:45:00Z" w16du:dateUtc="2026-01-28T14:45:00Z">
        <w:r w:rsidR="003E26C9" w:rsidRPr="00DA42F5" w:rsidDel="00006D53">
          <w:rPr>
            <w:rFonts w:cs="Times New Roman"/>
            <w:szCs w:val="24"/>
          </w:rPr>
          <w:delText>s</w:delText>
        </w:r>
      </w:del>
      <w:r w:rsidR="003E26C9" w:rsidRPr="00DA42F5">
        <w:rPr>
          <w:rFonts w:cs="Times New Roman"/>
          <w:szCs w:val="24"/>
        </w:rPr>
        <w:t>, although this varies greatly between participants (SD = 13%).</w:t>
      </w:r>
    </w:p>
    <w:p w14:paraId="72534F5D" w14:textId="3DEE1F74" w:rsidR="00D84F0D" w:rsidRPr="00DA42F5" w:rsidRDefault="003E26C9" w:rsidP="00D84F0D">
      <w:pPr>
        <w:rPr>
          <w:rFonts w:cs="Times New Roman"/>
          <w:szCs w:val="24"/>
        </w:rPr>
      </w:pPr>
      <w:r w:rsidRPr="00DA42F5">
        <w:rPr>
          <w:rFonts w:cs="Times New Roman"/>
          <w:szCs w:val="24"/>
        </w:rPr>
        <w:t>Spore-formers defined by gene presence</w:t>
      </w:r>
      <w:del w:id="346" w:author="Urša Miklavčič" w:date="2026-01-21T10:29:00Z" w16du:dateUtc="2026-01-21T09:29:00Z">
        <w:r w:rsidRPr="00DA42F5" w:rsidDel="00ED1AE6">
          <w:rPr>
            <w:rFonts w:cs="Times New Roman"/>
            <w:szCs w:val="24"/>
          </w:rPr>
          <w:delText xml:space="preserve">, </w:delText>
        </w:r>
        <w:commentRangeStart w:id="347"/>
        <w:r w:rsidRPr="00DA42F5" w:rsidDel="00ED1AE6">
          <w:rPr>
            <w:rFonts w:cs="Times New Roman"/>
            <w:szCs w:val="24"/>
          </w:rPr>
          <w:delText>as well as those previously identified in amplicon data</w:delText>
        </w:r>
      </w:del>
      <w:r w:rsidRPr="00DA42F5">
        <w:rPr>
          <w:rFonts w:cs="Times New Roman"/>
          <w:szCs w:val="24"/>
        </w:rPr>
        <w:t xml:space="preserve">, </w:t>
      </w:r>
      <w:commentRangeEnd w:id="347"/>
      <w:r w:rsidR="002A3EFB" w:rsidRPr="00DA42F5">
        <w:rPr>
          <w:rStyle w:val="CommentReference"/>
        </w:rPr>
        <w:commentReference w:id="347"/>
      </w:r>
      <w:r w:rsidRPr="00DA42F5">
        <w:rPr>
          <w:rFonts w:cs="Times New Roman"/>
          <w:szCs w:val="24"/>
        </w:rPr>
        <w:t>are present at higher relative abundances and persist for longer periods within an individual (Wilcoxon test, p &lt; 0.001</w:t>
      </w:r>
      <w:r w:rsidR="00973033" w:rsidRPr="00DA42F5">
        <w:rPr>
          <w:rFonts w:cs="Times New Roman"/>
          <w:szCs w:val="24"/>
        </w:rPr>
        <w:t xml:space="preserve">; Figure 13 and </w:t>
      </w:r>
      <w:r w:rsidRPr="00DA42F5">
        <w:rPr>
          <w:rFonts w:cs="Times New Roman"/>
          <w:szCs w:val="24"/>
        </w:rPr>
        <w:t xml:space="preserve">Supplement Figure </w:t>
      </w:r>
      <w:r w:rsidR="000F530F" w:rsidRPr="00DA42F5">
        <w:rPr>
          <w:rFonts w:cs="Times New Roman"/>
          <w:szCs w:val="24"/>
        </w:rPr>
        <w:t>1</w:t>
      </w:r>
      <w:ins w:id="348" w:author="Urša Miklavčič" w:date="2026-01-29T14:47:00Z" w16du:dateUtc="2026-01-29T13:47:00Z">
        <w:r w:rsidR="00ED4887">
          <w:rPr>
            <w:rFonts w:cs="Times New Roman"/>
            <w:szCs w:val="24"/>
          </w:rPr>
          <w:t>2</w:t>
        </w:r>
      </w:ins>
      <w:del w:id="349" w:author="Urša Miklavčič" w:date="2026-01-29T14:47:00Z" w16du:dateUtc="2026-01-29T13:47:00Z">
        <w:r w:rsidR="000F530F" w:rsidRPr="00DA42F5" w:rsidDel="00ED4887">
          <w:rPr>
            <w:rFonts w:cs="Times New Roman"/>
            <w:szCs w:val="24"/>
          </w:rPr>
          <w:delText>0</w:delText>
        </w:r>
      </w:del>
      <w:r w:rsidRPr="00DA42F5">
        <w:rPr>
          <w:rFonts w:cs="Times New Roman"/>
          <w:szCs w:val="24"/>
        </w:rPr>
        <w:t xml:space="preserve">). This remains true when comparing the spore-formers to all other bacteria in the human gut or to other </w:t>
      </w:r>
      <w:r w:rsidRPr="00DA42F5">
        <w:rPr>
          <w:rFonts w:cs="Times New Roman"/>
          <w:i/>
          <w:iCs/>
          <w:szCs w:val="24"/>
        </w:rPr>
        <w:t>Bacillota</w:t>
      </w:r>
      <w:r w:rsidRPr="00DA42F5">
        <w:rPr>
          <w:rFonts w:cs="Times New Roman"/>
          <w:szCs w:val="24"/>
        </w:rPr>
        <w:t xml:space="preserve"> members. </w:t>
      </w:r>
    </w:p>
    <w:p w14:paraId="23C2A3A5" w14:textId="3C4BEDFA" w:rsidR="00E9210E" w:rsidRPr="00DA42F5" w:rsidRDefault="009D27B1" w:rsidP="00E9210E">
      <w:pPr>
        <w:keepNext/>
      </w:pPr>
      <w:r>
        <w:rPr>
          <w:rFonts w:cs="Times New Roman"/>
          <w:noProof/>
          <w:szCs w:val="24"/>
        </w:rPr>
        <w:drawing>
          <wp:inline distT="0" distB="0" distL="0" distR="0" wp14:anchorId="0A38C1A8" wp14:editId="098993F9">
            <wp:extent cx="5934710" cy="2752090"/>
            <wp:effectExtent l="0" t="0" r="8890" b="0"/>
            <wp:docPr id="11089766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4710" cy="2752090"/>
                    </a:xfrm>
                    <a:prstGeom prst="rect">
                      <a:avLst/>
                    </a:prstGeom>
                    <a:noFill/>
                    <a:ln>
                      <a:noFill/>
                    </a:ln>
                  </pic:spPr>
                </pic:pic>
              </a:graphicData>
            </a:graphic>
          </wp:inline>
        </w:drawing>
      </w:r>
    </w:p>
    <w:p w14:paraId="1C585156" w14:textId="62573020" w:rsidR="00F665E9" w:rsidRPr="00DA42F5" w:rsidRDefault="00E9210E" w:rsidP="00E9210E">
      <w:pPr>
        <w:pStyle w:val="Caption"/>
        <w:rPr>
          <w:rFonts w:cs="Times New Roman"/>
          <w:b w:val="0"/>
          <w:bCs/>
          <w:szCs w:val="24"/>
        </w:rPr>
      </w:pPr>
      <w:bookmarkStart w:id="350" w:name="_Toc216101627"/>
      <w:r w:rsidRPr="00DA42F5">
        <w:t xml:space="preserve">Figure </w:t>
      </w:r>
      <w:r w:rsidRPr="00DA42F5">
        <w:fldChar w:fldCharType="begin"/>
      </w:r>
      <w:r w:rsidRPr="00DA42F5">
        <w:instrText xml:space="preserve"> SEQ Figure \* ARABIC </w:instrText>
      </w:r>
      <w:r w:rsidRPr="00DA42F5">
        <w:fldChar w:fldCharType="separate"/>
      </w:r>
      <w:r w:rsidR="00C11001">
        <w:rPr>
          <w:noProof/>
        </w:rPr>
        <w:t>13</w:t>
      </w:r>
      <w:r w:rsidRPr="00DA42F5">
        <w:fldChar w:fldCharType="end"/>
      </w:r>
      <w:r w:rsidRPr="00DA42F5">
        <w:t xml:space="preserve">. Characteristics of spore-forming (yellow) and non-spore-forming (green) bacteria in shotgun metagenomic data. </w:t>
      </w:r>
      <w:r w:rsidR="00D84F0D" w:rsidRPr="00DA42F5">
        <w:rPr>
          <w:b w:val="0"/>
          <w:bCs/>
        </w:rPr>
        <w:t xml:space="preserve">A) </w:t>
      </w:r>
      <w:r w:rsidR="000F530F" w:rsidRPr="00DA42F5">
        <w:rPr>
          <w:b w:val="0"/>
          <w:bCs/>
        </w:rPr>
        <w:t xml:space="preserve">Distribution of species across phyla according to spore-forming ability. B) Boxplots represent </w:t>
      </w:r>
      <w:r w:rsidR="00D84F0D" w:rsidRPr="00DA42F5">
        <w:rPr>
          <w:b w:val="0"/>
          <w:bCs/>
        </w:rPr>
        <w:t>relative abundance</w:t>
      </w:r>
      <w:r w:rsidR="000F530F" w:rsidRPr="00DA42F5">
        <w:rPr>
          <w:b w:val="0"/>
          <w:bCs/>
        </w:rPr>
        <w:t xml:space="preserve"> of all species within a phylum</w:t>
      </w:r>
      <w:r w:rsidR="00D84F0D" w:rsidRPr="00DA42F5">
        <w:rPr>
          <w:b w:val="0"/>
          <w:bCs/>
        </w:rPr>
        <w:t xml:space="preserve"> separated by non-spore forming and spore-forming for the phyla, where spore-forming bacteria were detected.</w:t>
      </w:r>
      <w:bookmarkEnd w:id="350"/>
      <w:r w:rsidR="00D84F0D" w:rsidRPr="00DA42F5">
        <w:rPr>
          <w:b w:val="0"/>
          <w:bCs/>
        </w:rPr>
        <w:t xml:space="preserve"> </w:t>
      </w:r>
    </w:p>
    <w:p w14:paraId="3C5A347E" w14:textId="77777777" w:rsidR="009362C0" w:rsidRPr="00DA42F5" w:rsidRDefault="009362C0" w:rsidP="009362C0">
      <w:pPr>
        <w:pStyle w:val="FigureTable"/>
      </w:pPr>
    </w:p>
    <w:p w14:paraId="28B2684C" w14:textId="3D454384" w:rsidR="001E2B98" w:rsidRPr="00DA42F5" w:rsidRDefault="001E2B98" w:rsidP="00F665E9">
      <w:pPr>
        <w:pStyle w:val="Heading3"/>
        <w:numPr>
          <w:ilvl w:val="2"/>
          <w:numId w:val="26"/>
        </w:numPr>
      </w:pPr>
      <w:bookmarkStart w:id="351" w:name="_Toc216099752"/>
      <w:bookmarkStart w:id="352" w:name="_Toc220591403"/>
      <w:r w:rsidRPr="00DA42F5">
        <w:t xml:space="preserve">Between and within-individual dynamics of </w:t>
      </w:r>
      <w:r w:rsidR="000F530F" w:rsidRPr="00DA42F5">
        <w:t xml:space="preserve">spore-forming and non-spore-forming bacterial </w:t>
      </w:r>
      <w:r w:rsidRPr="00DA42F5">
        <w:t>communities over time</w:t>
      </w:r>
      <w:bookmarkEnd w:id="351"/>
      <w:bookmarkEnd w:id="352"/>
    </w:p>
    <w:p w14:paraId="547685E0" w14:textId="1C00EE22" w:rsidR="003E26C9" w:rsidRPr="00DA42F5" w:rsidRDefault="00CD77AB" w:rsidP="00CD77AB">
      <w:pPr>
        <w:rPr>
          <w:rFonts w:cs="Times New Roman"/>
          <w:szCs w:val="24"/>
        </w:rPr>
      </w:pPr>
      <w:r w:rsidRPr="00DA42F5">
        <w:rPr>
          <w:rFonts w:cs="Times New Roman"/>
          <w:szCs w:val="24"/>
        </w:rPr>
        <w:t xml:space="preserve">For statistical robustness and clarity in discussion, we further divided our </w:t>
      </w:r>
      <w:r w:rsidR="00D84F0D" w:rsidRPr="00DA42F5">
        <w:rPr>
          <w:rFonts w:cs="Times New Roman"/>
          <w:szCs w:val="24"/>
        </w:rPr>
        <w:t xml:space="preserve">amplicon </w:t>
      </w:r>
      <w:r w:rsidRPr="00DA42F5">
        <w:rPr>
          <w:rFonts w:cs="Times New Roman"/>
          <w:szCs w:val="24"/>
        </w:rPr>
        <w:t>dataset of ethanol-resistant and ethanol non-resistant communities into</w:t>
      </w:r>
      <w:r w:rsidR="004F668E" w:rsidRPr="00DA42F5">
        <w:rPr>
          <w:rFonts w:cs="Times New Roman"/>
          <w:szCs w:val="24"/>
        </w:rPr>
        <w:t xml:space="preserve"> the</w:t>
      </w:r>
      <w:r w:rsidRPr="00DA42F5">
        <w:rPr>
          <w:rFonts w:cs="Times New Roman"/>
          <w:szCs w:val="24"/>
        </w:rPr>
        <w:t xml:space="preserve"> </w:t>
      </w:r>
      <w:r w:rsidR="000F530F" w:rsidRPr="00DA42F5">
        <w:rPr>
          <w:rFonts w:cs="Times New Roman"/>
          <w:szCs w:val="24"/>
        </w:rPr>
        <w:t xml:space="preserve">spore-forming </w:t>
      </w:r>
      <w:r w:rsidRPr="00DA42F5">
        <w:rPr>
          <w:rFonts w:cs="Times New Roman"/>
          <w:szCs w:val="24"/>
        </w:rPr>
        <w:t xml:space="preserve">phylum </w:t>
      </w:r>
      <w:r w:rsidRPr="00DA42F5">
        <w:rPr>
          <w:rFonts w:cs="Times New Roman"/>
          <w:i/>
          <w:iCs/>
          <w:szCs w:val="24"/>
        </w:rPr>
        <w:t>Bacillota</w:t>
      </w:r>
      <w:r w:rsidRPr="00DA42F5">
        <w:rPr>
          <w:rFonts w:cs="Times New Roman"/>
          <w:szCs w:val="24"/>
        </w:rPr>
        <w:t xml:space="preserve"> </w:t>
      </w:r>
      <w:r w:rsidRPr="00DA42F5">
        <w:rPr>
          <w:rFonts w:cs="Times New Roman"/>
          <w:szCs w:val="24"/>
        </w:rPr>
        <w:lastRenderedPageBreak/>
        <w:t xml:space="preserve">and other phyla (Figure </w:t>
      </w:r>
      <w:r w:rsidR="00D84F0D" w:rsidRPr="00DA42F5">
        <w:rPr>
          <w:rFonts w:cs="Times New Roman"/>
          <w:szCs w:val="24"/>
        </w:rPr>
        <w:t>1</w:t>
      </w:r>
      <w:r w:rsidR="00E9210E" w:rsidRPr="00DA42F5">
        <w:rPr>
          <w:rFonts w:cs="Times New Roman"/>
          <w:szCs w:val="24"/>
        </w:rPr>
        <w:t>4</w:t>
      </w:r>
      <w:r w:rsidRPr="00DA42F5">
        <w:rPr>
          <w:rFonts w:cs="Times New Roman"/>
          <w:szCs w:val="24"/>
        </w:rPr>
        <w:t xml:space="preserve">). The ethanol-resistant communities </w:t>
      </w:r>
      <w:r w:rsidR="004F668E" w:rsidRPr="00DA42F5">
        <w:rPr>
          <w:rFonts w:cs="Times New Roman"/>
          <w:szCs w:val="24"/>
        </w:rPr>
        <w:t>showed</w:t>
      </w:r>
      <w:r w:rsidRPr="00DA42F5">
        <w:rPr>
          <w:rFonts w:cs="Times New Roman"/>
          <w:szCs w:val="24"/>
        </w:rPr>
        <w:t xml:space="preserve"> significantly lower variability both between and within individuals compared to the non-resistant communities. This pattern was observed when implementing both </w:t>
      </w:r>
      <w:r w:rsidR="000F530F" w:rsidRPr="00DA42F5">
        <w:rPr>
          <w:rFonts w:cs="Times New Roman"/>
          <w:szCs w:val="24"/>
        </w:rPr>
        <w:t>un</w:t>
      </w:r>
      <w:r w:rsidR="003E26C9" w:rsidRPr="00DA42F5">
        <w:rPr>
          <w:rFonts w:cs="Times New Roman"/>
          <w:szCs w:val="24"/>
        </w:rPr>
        <w:t>weighted</w:t>
      </w:r>
      <w:r w:rsidR="000F530F" w:rsidRPr="00DA42F5">
        <w:rPr>
          <w:rFonts w:cs="Times New Roman"/>
          <w:szCs w:val="24"/>
        </w:rPr>
        <w:t xml:space="preserve"> (Jaccard distance, p &lt; 0.001 for all comparisons; Figure </w:t>
      </w:r>
      <w:proofErr w:type="spellStart"/>
      <w:r w:rsidR="000F530F" w:rsidRPr="00DA42F5">
        <w:rPr>
          <w:rFonts w:cs="Times New Roman"/>
          <w:szCs w:val="24"/>
        </w:rPr>
        <w:t>14A</w:t>
      </w:r>
      <w:proofErr w:type="spellEnd"/>
      <w:r w:rsidR="000F530F" w:rsidRPr="00DA42F5">
        <w:rPr>
          <w:rFonts w:cs="Times New Roman"/>
          <w:szCs w:val="24"/>
        </w:rPr>
        <w:t>)</w:t>
      </w:r>
      <w:r w:rsidR="003E26C9" w:rsidRPr="00DA42F5">
        <w:rPr>
          <w:rFonts w:cs="Times New Roman"/>
          <w:szCs w:val="24"/>
        </w:rPr>
        <w:t xml:space="preserve"> and </w:t>
      </w:r>
      <w:r w:rsidRPr="00DA42F5">
        <w:rPr>
          <w:rFonts w:cs="Times New Roman"/>
          <w:szCs w:val="24"/>
        </w:rPr>
        <w:t xml:space="preserve">unweighted </w:t>
      </w:r>
      <w:r w:rsidR="003E26C9" w:rsidRPr="00DA42F5">
        <w:rPr>
          <w:rFonts w:cs="Times New Roman"/>
          <w:szCs w:val="24"/>
        </w:rPr>
        <w:t xml:space="preserve">beta diversity measures </w:t>
      </w:r>
      <w:r w:rsidR="000F530F" w:rsidRPr="00DA42F5">
        <w:rPr>
          <w:rFonts w:cs="Times New Roman"/>
          <w:szCs w:val="24"/>
        </w:rPr>
        <w:t xml:space="preserve">(Bray-Curtis, p &lt; 0.001 for all comparisons, Supplement Figure </w:t>
      </w:r>
      <w:proofErr w:type="spellStart"/>
      <w:r w:rsidR="000F530F" w:rsidRPr="00DA42F5">
        <w:rPr>
          <w:rFonts w:cs="Times New Roman"/>
          <w:szCs w:val="24"/>
        </w:rPr>
        <w:t>1</w:t>
      </w:r>
      <w:ins w:id="353" w:author="Urša Miklavčič" w:date="2026-01-29T14:48:00Z" w16du:dateUtc="2026-01-29T13:48:00Z">
        <w:r w:rsidR="00ED4887">
          <w:rPr>
            <w:rFonts w:cs="Times New Roman"/>
            <w:szCs w:val="24"/>
          </w:rPr>
          <w:t>3</w:t>
        </w:r>
      </w:ins>
      <w:del w:id="354" w:author="Urša Miklavčič" w:date="2026-01-29T14:48:00Z" w16du:dateUtc="2026-01-29T13:48:00Z">
        <w:r w:rsidR="000F530F" w:rsidRPr="00DA42F5" w:rsidDel="00ED4887">
          <w:rPr>
            <w:rFonts w:cs="Times New Roman"/>
            <w:szCs w:val="24"/>
          </w:rPr>
          <w:delText>1</w:delText>
        </w:r>
      </w:del>
      <w:r w:rsidR="000F530F" w:rsidRPr="00DA42F5">
        <w:rPr>
          <w:rFonts w:cs="Times New Roman"/>
          <w:szCs w:val="24"/>
        </w:rPr>
        <w:t>A</w:t>
      </w:r>
      <w:proofErr w:type="spellEnd"/>
      <w:r w:rsidR="000F530F" w:rsidRPr="00DA42F5">
        <w:rPr>
          <w:rFonts w:cs="Times New Roman"/>
          <w:szCs w:val="24"/>
        </w:rPr>
        <w:t>, Supplement Table 7)</w:t>
      </w:r>
      <w:r w:rsidRPr="00DA42F5">
        <w:rPr>
          <w:rFonts w:cs="Times New Roman"/>
          <w:szCs w:val="24"/>
        </w:rPr>
        <w:t xml:space="preserve">. However, the lower within-individual variability in ethanol-resistant communities was significantly more pronounced in the phylum </w:t>
      </w:r>
      <w:r w:rsidRPr="00DA42F5">
        <w:rPr>
          <w:rFonts w:cs="Times New Roman"/>
          <w:i/>
          <w:iCs/>
          <w:szCs w:val="24"/>
        </w:rPr>
        <w:t>Bacillota</w:t>
      </w:r>
      <w:r w:rsidRPr="00DA42F5">
        <w:rPr>
          <w:rFonts w:cs="Times New Roman"/>
          <w:szCs w:val="24"/>
        </w:rPr>
        <w:t xml:space="preserve"> compared to other phyla (Wilcoxon rank-sum test, p &lt; 0.001; Figure </w:t>
      </w:r>
      <w:proofErr w:type="spellStart"/>
      <w:r w:rsidR="00D84F0D" w:rsidRPr="00DA42F5">
        <w:rPr>
          <w:rFonts w:cs="Times New Roman"/>
          <w:szCs w:val="24"/>
        </w:rPr>
        <w:t>1</w:t>
      </w:r>
      <w:r w:rsidR="00E9210E" w:rsidRPr="00DA42F5">
        <w:rPr>
          <w:rFonts w:cs="Times New Roman"/>
          <w:szCs w:val="24"/>
        </w:rPr>
        <w:t>4</w:t>
      </w:r>
      <w:r w:rsidRPr="00DA42F5">
        <w:rPr>
          <w:rFonts w:cs="Times New Roman"/>
          <w:szCs w:val="24"/>
        </w:rPr>
        <w:t>A</w:t>
      </w:r>
      <w:proofErr w:type="spellEnd"/>
      <w:r w:rsidRPr="00DA42F5">
        <w:rPr>
          <w:rFonts w:cs="Times New Roman"/>
          <w:szCs w:val="24"/>
        </w:rPr>
        <w:t xml:space="preserve">). </w:t>
      </w:r>
      <w:r w:rsidR="003E26C9" w:rsidRPr="00DA42F5">
        <w:rPr>
          <w:rFonts w:cs="Times New Roman"/>
          <w:szCs w:val="24"/>
        </w:rPr>
        <w:t xml:space="preserve">This also hold true for spore-forming bacteria detected in shotgun metagenomic samples (Supplement Figure </w:t>
      </w:r>
      <w:proofErr w:type="spellStart"/>
      <w:r w:rsidR="003E26C9" w:rsidRPr="00DA42F5">
        <w:rPr>
          <w:rFonts w:cs="Times New Roman"/>
          <w:szCs w:val="24"/>
        </w:rPr>
        <w:t>1</w:t>
      </w:r>
      <w:ins w:id="355" w:author="Urša Miklavčič" w:date="2026-01-29T14:49:00Z" w16du:dateUtc="2026-01-29T13:49:00Z">
        <w:r w:rsidR="00ED4887">
          <w:rPr>
            <w:rFonts w:cs="Times New Roman"/>
            <w:szCs w:val="24"/>
          </w:rPr>
          <w:t>4</w:t>
        </w:r>
      </w:ins>
      <w:del w:id="356" w:author="Urša Miklavčič" w:date="2026-01-29T14:49:00Z" w16du:dateUtc="2026-01-29T13:49:00Z">
        <w:r w:rsidR="000F530F" w:rsidRPr="00DA42F5" w:rsidDel="00ED4887">
          <w:rPr>
            <w:rFonts w:cs="Times New Roman"/>
            <w:szCs w:val="24"/>
          </w:rPr>
          <w:delText>2</w:delText>
        </w:r>
      </w:del>
      <w:r w:rsidR="003E26C9" w:rsidRPr="00DA42F5">
        <w:rPr>
          <w:rFonts w:cs="Times New Roman"/>
          <w:szCs w:val="24"/>
        </w:rPr>
        <w:t>A</w:t>
      </w:r>
      <w:proofErr w:type="spellEnd"/>
      <w:r w:rsidR="003E26C9" w:rsidRPr="00DA42F5">
        <w:rPr>
          <w:rFonts w:cs="Times New Roman"/>
          <w:szCs w:val="24"/>
        </w:rPr>
        <w:t xml:space="preserve">). </w:t>
      </w:r>
    </w:p>
    <w:p w14:paraId="6ACE9AB0" w14:textId="3B3EAF13" w:rsidR="00251869" w:rsidRPr="00DA42F5" w:rsidRDefault="00CD77AB" w:rsidP="00CD77AB">
      <w:pPr>
        <w:rPr>
          <w:rFonts w:cs="Times New Roman"/>
          <w:szCs w:val="24"/>
        </w:rPr>
      </w:pPr>
      <w:r w:rsidRPr="00DA42F5">
        <w:rPr>
          <w:rFonts w:cs="Times New Roman"/>
          <w:szCs w:val="24"/>
        </w:rPr>
        <w:t xml:space="preserve">In our study, we observed a modest but significant increase in temporal variability within ethanol-resistant </w:t>
      </w:r>
      <w:r w:rsidRPr="00DA42F5">
        <w:rPr>
          <w:rFonts w:cs="Times New Roman"/>
          <w:i/>
          <w:iCs/>
          <w:szCs w:val="24"/>
        </w:rPr>
        <w:t>Bacillota</w:t>
      </w:r>
      <w:r w:rsidRPr="00DA42F5">
        <w:rPr>
          <w:rFonts w:cs="Times New Roman"/>
          <w:szCs w:val="24"/>
        </w:rPr>
        <w:t xml:space="preserve"> based on Jaccard distance (Pearson correlation, r = 0.19, p = 0.038, Figure </w:t>
      </w:r>
      <w:proofErr w:type="spellStart"/>
      <w:r w:rsidR="00D84F0D" w:rsidRPr="00DA42F5">
        <w:rPr>
          <w:rFonts w:cs="Times New Roman"/>
          <w:szCs w:val="24"/>
        </w:rPr>
        <w:t>1</w:t>
      </w:r>
      <w:r w:rsidR="00E9210E" w:rsidRPr="00DA42F5">
        <w:rPr>
          <w:rFonts w:cs="Times New Roman"/>
          <w:szCs w:val="24"/>
        </w:rPr>
        <w:t>4</w:t>
      </w:r>
      <w:r w:rsidRPr="00DA42F5">
        <w:rPr>
          <w:rFonts w:cs="Times New Roman"/>
          <w:szCs w:val="24"/>
        </w:rPr>
        <w:t>B</w:t>
      </w:r>
      <w:proofErr w:type="spellEnd"/>
      <w:r w:rsidRPr="00DA42F5">
        <w:rPr>
          <w:rFonts w:cs="Times New Roman"/>
          <w:szCs w:val="24"/>
        </w:rPr>
        <w:t>) and a borderline significant correlation using Bray-</w:t>
      </w:r>
      <w:proofErr w:type="gramStart"/>
      <w:r w:rsidRPr="00DA42F5">
        <w:rPr>
          <w:rFonts w:cs="Times New Roman"/>
          <w:szCs w:val="24"/>
        </w:rPr>
        <w:t>Curtis</w:t>
      </w:r>
      <w:proofErr w:type="gramEnd"/>
      <w:r w:rsidRPr="00DA42F5">
        <w:rPr>
          <w:rFonts w:cs="Times New Roman"/>
          <w:szCs w:val="24"/>
        </w:rPr>
        <w:t xml:space="preserve"> dissimilarity (Pearson correlation, r = 0.169, p = 0.051, Supplement Figure </w:t>
      </w:r>
      <w:proofErr w:type="spellStart"/>
      <w:r w:rsidR="003E26C9" w:rsidRPr="00DA42F5">
        <w:rPr>
          <w:rFonts w:cs="Times New Roman"/>
          <w:szCs w:val="24"/>
        </w:rPr>
        <w:t>1</w:t>
      </w:r>
      <w:ins w:id="357" w:author="Urša Miklavčič" w:date="2026-01-29T14:48:00Z" w16du:dateUtc="2026-01-29T13:48:00Z">
        <w:r w:rsidR="00ED4887">
          <w:rPr>
            <w:rFonts w:cs="Times New Roman"/>
            <w:szCs w:val="24"/>
          </w:rPr>
          <w:t>3</w:t>
        </w:r>
      </w:ins>
      <w:del w:id="358" w:author="Urša Miklavčič" w:date="2026-01-29T14:48:00Z" w16du:dateUtc="2026-01-29T13:48:00Z">
        <w:r w:rsidR="000F530F" w:rsidRPr="00DA42F5" w:rsidDel="00ED4887">
          <w:rPr>
            <w:rFonts w:cs="Times New Roman"/>
            <w:szCs w:val="24"/>
          </w:rPr>
          <w:delText>1</w:delText>
        </w:r>
      </w:del>
      <w:r w:rsidR="007D4BF8" w:rsidRPr="00DA42F5">
        <w:rPr>
          <w:rFonts w:cs="Times New Roman"/>
          <w:szCs w:val="24"/>
        </w:rPr>
        <w:t>B</w:t>
      </w:r>
      <w:proofErr w:type="spellEnd"/>
      <w:r w:rsidR="007D4BF8" w:rsidRPr="00DA42F5">
        <w:rPr>
          <w:rFonts w:cs="Times New Roman"/>
          <w:szCs w:val="24"/>
        </w:rPr>
        <w:t>, Supplement Table 8</w:t>
      </w:r>
      <w:r w:rsidRPr="00DA42F5">
        <w:rPr>
          <w:rFonts w:cs="Times New Roman"/>
          <w:szCs w:val="24"/>
        </w:rPr>
        <w:t xml:space="preserve">). In contrast, no significant temporal changes were observed in other communities (Figure </w:t>
      </w:r>
      <w:proofErr w:type="spellStart"/>
      <w:r w:rsidR="00D84F0D" w:rsidRPr="00DA42F5">
        <w:rPr>
          <w:rFonts w:cs="Times New Roman"/>
          <w:szCs w:val="24"/>
        </w:rPr>
        <w:t>1</w:t>
      </w:r>
      <w:r w:rsidR="00E9210E" w:rsidRPr="00DA42F5">
        <w:rPr>
          <w:rFonts w:cs="Times New Roman"/>
          <w:szCs w:val="24"/>
        </w:rPr>
        <w:t>4</w:t>
      </w:r>
      <w:r w:rsidRPr="00DA42F5">
        <w:rPr>
          <w:rFonts w:cs="Times New Roman"/>
          <w:szCs w:val="24"/>
        </w:rPr>
        <w:t>B</w:t>
      </w:r>
      <w:proofErr w:type="spellEnd"/>
      <w:r w:rsidRPr="00DA42F5">
        <w:rPr>
          <w:rFonts w:cs="Times New Roman"/>
          <w:szCs w:val="24"/>
        </w:rPr>
        <w:t xml:space="preserve">). </w:t>
      </w:r>
      <w:r w:rsidR="003E26C9" w:rsidRPr="00DA42F5">
        <w:rPr>
          <w:rFonts w:cs="Times New Roman"/>
          <w:szCs w:val="24"/>
        </w:rPr>
        <w:t xml:space="preserve">This temporal trend could not be observed </w:t>
      </w:r>
      <w:r w:rsidR="004F668E" w:rsidRPr="00DA42F5">
        <w:rPr>
          <w:rFonts w:cs="Times New Roman"/>
          <w:szCs w:val="24"/>
        </w:rPr>
        <w:t>for</w:t>
      </w:r>
      <w:r w:rsidR="00DC4C79" w:rsidRPr="00DA42F5">
        <w:rPr>
          <w:rFonts w:cs="Times New Roman"/>
          <w:szCs w:val="24"/>
        </w:rPr>
        <w:t xml:space="preserve"> spore-forming bacteria detected in shotgun metagenomic samples (Supplement Figure </w:t>
      </w:r>
      <w:proofErr w:type="spellStart"/>
      <w:r w:rsidR="00DC4C79" w:rsidRPr="00DA42F5">
        <w:rPr>
          <w:rFonts w:cs="Times New Roman"/>
          <w:szCs w:val="24"/>
        </w:rPr>
        <w:t>1</w:t>
      </w:r>
      <w:ins w:id="359" w:author="Urša Miklavčič" w:date="2026-01-29T14:49:00Z" w16du:dateUtc="2026-01-29T13:49:00Z">
        <w:r w:rsidR="00ED4887">
          <w:rPr>
            <w:rFonts w:cs="Times New Roman"/>
            <w:szCs w:val="24"/>
          </w:rPr>
          <w:t>4</w:t>
        </w:r>
      </w:ins>
      <w:del w:id="360" w:author="Urša Miklavčič" w:date="2026-01-29T14:49:00Z" w16du:dateUtc="2026-01-29T13:49:00Z">
        <w:r w:rsidR="000F530F" w:rsidRPr="00DA42F5" w:rsidDel="00ED4887">
          <w:rPr>
            <w:rFonts w:cs="Times New Roman"/>
            <w:szCs w:val="24"/>
          </w:rPr>
          <w:delText>2</w:delText>
        </w:r>
      </w:del>
      <w:r w:rsidR="003E26C9" w:rsidRPr="00DA42F5">
        <w:rPr>
          <w:rFonts w:cs="Times New Roman"/>
          <w:szCs w:val="24"/>
        </w:rPr>
        <w:t>B</w:t>
      </w:r>
      <w:proofErr w:type="spellEnd"/>
      <w:r w:rsidR="00DC4C79" w:rsidRPr="00DA42F5">
        <w:rPr>
          <w:rFonts w:cs="Times New Roman"/>
          <w:szCs w:val="24"/>
        </w:rPr>
        <w:t xml:space="preserve">). </w:t>
      </w:r>
    </w:p>
    <w:p w14:paraId="35A10901" w14:textId="1F9B9817" w:rsidR="00AC7C70" w:rsidRPr="00DA42F5" w:rsidRDefault="00E9210E" w:rsidP="00CD77AB">
      <w:pPr>
        <w:rPr>
          <w:rFonts w:cs="Times New Roman"/>
          <w:szCs w:val="24"/>
        </w:rPr>
      </w:pPr>
      <w:r w:rsidRPr="00DA42F5">
        <w:rPr>
          <w:noProof/>
        </w:rPr>
        <mc:AlternateContent>
          <mc:Choice Requires="wps">
            <w:drawing>
              <wp:anchor distT="0" distB="0" distL="114300" distR="114300" simplePos="0" relativeHeight="251664384" behindDoc="0" locked="0" layoutInCell="1" allowOverlap="1" wp14:anchorId="1BCD7D2F" wp14:editId="2741138D">
                <wp:simplePos x="0" y="0"/>
                <wp:positionH relativeFrom="column">
                  <wp:posOffset>0</wp:posOffset>
                </wp:positionH>
                <wp:positionV relativeFrom="paragraph">
                  <wp:posOffset>2659380</wp:posOffset>
                </wp:positionV>
                <wp:extent cx="5944235" cy="635"/>
                <wp:effectExtent l="0" t="0" r="0" b="0"/>
                <wp:wrapTopAndBottom/>
                <wp:docPr id="1759088922" name="Text Box 1"/>
                <wp:cNvGraphicFramePr/>
                <a:graphic xmlns:a="http://schemas.openxmlformats.org/drawingml/2006/main">
                  <a:graphicData uri="http://schemas.microsoft.com/office/word/2010/wordprocessingShape">
                    <wps:wsp>
                      <wps:cNvSpPr txBox="1"/>
                      <wps:spPr>
                        <a:xfrm>
                          <a:off x="0" y="0"/>
                          <a:ext cx="5944235" cy="635"/>
                        </a:xfrm>
                        <a:prstGeom prst="rect">
                          <a:avLst/>
                        </a:prstGeom>
                        <a:solidFill>
                          <a:prstClr val="white"/>
                        </a:solidFill>
                        <a:ln>
                          <a:noFill/>
                        </a:ln>
                      </wps:spPr>
                      <wps:txbx>
                        <w:txbxContent>
                          <w:p w14:paraId="422DBCAC" w14:textId="22D2093C" w:rsidR="00E9210E" w:rsidRPr="00E9210E" w:rsidRDefault="00E9210E" w:rsidP="00E9210E">
                            <w:pPr>
                              <w:pStyle w:val="Caption"/>
                              <w:rPr>
                                <w:rFonts w:cs="Times New Roman"/>
                                <w:b w:val="0"/>
                                <w:noProof/>
                                <w:szCs w:val="20"/>
                              </w:rPr>
                            </w:pPr>
                            <w:bookmarkStart w:id="361" w:name="_Toc216101628"/>
                            <w:r>
                              <w:t xml:space="preserve">Figure </w:t>
                            </w:r>
                            <w:r>
                              <w:fldChar w:fldCharType="begin"/>
                            </w:r>
                            <w:r>
                              <w:instrText xml:space="preserve"> SEQ Figure \* ARABIC </w:instrText>
                            </w:r>
                            <w:r>
                              <w:fldChar w:fldCharType="separate"/>
                            </w:r>
                            <w:r w:rsidR="00C11001">
                              <w:rPr>
                                <w:noProof/>
                              </w:rPr>
                              <w:t>14</w:t>
                            </w:r>
                            <w:r>
                              <w:fldChar w:fldCharType="end"/>
                            </w:r>
                            <w:r>
                              <w:t xml:space="preserve">. </w:t>
                            </w:r>
                            <w:r w:rsidRPr="00B3555F">
                              <w:t>Dynamics of ethanol-resistant and ethanol non-resistant taxa between and within individuals</w:t>
                            </w:r>
                            <w:r w:rsidR="006D0693">
                              <w:t xml:space="preserve"> in amplicon data</w:t>
                            </w:r>
                            <w:r w:rsidRPr="00B3555F">
                              <w:t>.</w:t>
                            </w:r>
                            <w:r>
                              <w:t xml:space="preserve"> </w:t>
                            </w:r>
                            <w:r w:rsidRPr="00E9210E">
                              <w:rPr>
                                <w:rStyle w:val="FigureTableZnak"/>
                                <w:b w:val="0"/>
                              </w:rPr>
                              <w:t xml:space="preserve">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6D0693">
                              <w:rPr>
                                <w:rStyle w:val="FigureTableZnak"/>
                                <w:b w:val="0"/>
                                <w:i/>
                                <w:iCs w:val="0"/>
                              </w:rPr>
                              <w:t>Bacillota</w:t>
                            </w:r>
                            <w:r w:rsidRPr="00E9210E">
                              <w:rPr>
                                <w:rStyle w:val="FigureTableZnak"/>
                                <w:b w:val="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6D0693">
                              <w:rPr>
                                <w:rStyle w:val="FigureTableZnak"/>
                                <w:b w:val="0"/>
                                <w:i/>
                                <w:iCs w:val="0"/>
                              </w:rPr>
                              <w:t>Bacillota</w:t>
                            </w:r>
                            <w:r w:rsidRPr="00E9210E">
                              <w:rPr>
                                <w:rStyle w:val="FigureTableZnak"/>
                                <w:b w:val="0"/>
                              </w:rPr>
                              <w:t xml:space="preserve"> (solid line) and other phyla (dashed line) and color-coded according to ethanol resistance. The correlation between time interval and Jaccard distance was assessed using Pearson’s correlation test. Statistical significance is indicated as *** for p &lt; 0.001</w:t>
                            </w:r>
                            <w:r>
                              <w:rPr>
                                <w:rStyle w:val="FigureTableZnak"/>
                                <w:b w:val="0"/>
                              </w:rPr>
                              <w:t>.</w:t>
                            </w:r>
                            <w:bookmarkEnd w:id="361"/>
                            <w:r>
                              <w:rPr>
                                <w:rStyle w:val="FigureTableZnak"/>
                                <w:b w:val="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CD7D2F" id="_x0000_t202" coordsize="21600,21600" o:spt="202" path="m,l,21600r21600,l21600,xe">
                <v:stroke joinstyle="miter"/>
                <v:path gradientshapeok="t" o:connecttype="rect"/>
              </v:shapetype>
              <v:shape id="Text Box 1" o:spid="_x0000_s1026" type="#_x0000_t202" style="position:absolute;left:0;text-align:left;margin-left:0;margin-top:209.4pt;width:468.0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" stroked="f">
                <v:textbox style="mso-fit-shape-to-text:t" inset="0,0,0,0">
                  <w:txbxContent>
                    <w:p w14:paraId="422DBCAC" w14:textId="22D2093C" w:rsidR="00E9210E" w:rsidRPr="00E9210E" w:rsidRDefault="00E9210E" w:rsidP="00E9210E">
                      <w:pPr>
                        <w:pStyle w:val="Caption"/>
                        <w:rPr>
                          <w:rFonts w:cs="Times New Roman"/>
                          <w:b w:val="0"/>
                          <w:noProof/>
                          <w:szCs w:val="20"/>
                        </w:rPr>
                      </w:pPr>
                      <w:bookmarkStart w:id="333" w:name="_Toc216101628"/>
                      <w:r>
                        <w:t xml:space="preserve">Figure </w:t>
                      </w:r>
                      <w:r>
                        <w:fldChar w:fldCharType="begin"/>
                      </w:r>
                      <w:r>
                        <w:instrText xml:space="preserve"> SEQ Figure \* ARABIC </w:instrText>
                      </w:r>
                      <w:r>
                        <w:fldChar w:fldCharType="separate"/>
                      </w:r>
                      <w:r w:rsidR="00C11001">
                        <w:rPr>
                          <w:noProof/>
                        </w:rPr>
                        <w:t>14</w:t>
                      </w:r>
                      <w:r>
                        <w:fldChar w:fldCharType="end"/>
                      </w:r>
                      <w:r>
                        <w:t xml:space="preserve">. </w:t>
                      </w:r>
                      <w:r w:rsidRPr="00B3555F">
                        <w:t>Dynamics of ethanol-resistant and ethanol non-resistant taxa between and within individuals</w:t>
                      </w:r>
                      <w:r w:rsidR="006D0693">
                        <w:t xml:space="preserve"> in amplicon data</w:t>
                      </w:r>
                      <w:r w:rsidRPr="00B3555F">
                        <w:t>.</w:t>
                      </w:r>
                      <w:r>
                        <w:t xml:space="preserve"> </w:t>
                      </w:r>
                      <w:r w:rsidRPr="00E9210E">
                        <w:rPr>
                          <w:rStyle w:val="FigureTableZnak"/>
                          <w:b w:val="0"/>
                        </w:rPr>
                        <w:t xml:space="preserve">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6D0693">
                        <w:rPr>
                          <w:rStyle w:val="FigureTableZnak"/>
                          <w:b w:val="0"/>
                          <w:i/>
                          <w:iCs w:val="0"/>
                        </w:rPr>
                        <w:t>Bacillota</w:t>
                      </w:r>
                      <w:r w:rsidRPr="00E9210E">
                        <w:rPr>
                          <w:rStyle w:val="FigureTableZnak"/>
                          <w:b w:val="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6D0693">
                        <w:rPr>
                          <w:rStyle w:val="FigureTableZnak"/>
                          <w:b w:val="0"/>
                          <w:i/>
                          <w:iCs w:val="0"/>
                        </w:rPr>
                        <w:t>Bacillota</w:t>
                      </w:r>
                      <w:r w:rsidRPr="00E9210E">
                        <w:rPr>
                          <w:rStyle w:val="FigureTableZnak"/>
                          <w:b w:val="0"/>
                        </w:rPr>
                        <w:t xml:space="preserve"> (solid line) and other phyla (dashed line) and color-coded according to ethanol resistance. The correlation between time interval and Jaccard distance was assessed using Pearson’s correlation test. Statistical significance is indicated as *** for p &lt; 0.001</w:t>
                      </w:r>
                      <w:r>
                        <w:rPr>
                          <w:rStyle w:val="FigureTableZnak"/>
                          <w:b w:val="0"/>
                        </w:rPr>
                        <w:t>.</w:t>
                      </w:r>
                      <w:bookmarkEnd w:id="333"/>
                      <w:r>
                        <w:rPr>
                          <w:rStyle w:val="FigureTableZnak"/>
                          <w:b w:val="0"/>
                        </w:rPr>
                        <w:t xml:space="preserve"> </w:t>
                      </w:r>
                    </w:p>
                  </w:txbxContent>
                </v:textbox>
                <w10:wrap type="topAndBottom"/>
              </v:shape>
            </w:pict>
          </mc:Fallback>
        </mc:AlternateContent>
      </w:r>
      <w:r w:rsidR="00CD77AB" w:rsidRPr="00DA42F5">
        <w:rPr>
          <w:rStyle w:val="FigureTableZnak"/>
          <w:b/>
          <w:bCs/>
          <w:noProof/>
        </w:rPr>
        <w:drawing>
          <wp:anchor distT="0" distB="0" distL="114300" distR="114300" simplePos="0" relativeHeight="251659264" behindDoc="0" locked="0" layoutInCell="1" allowOverlap="1" wp14:anchorId="2687BD3C" wp14:editId="40736F7A">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p>
    <w:p w14:paraId="60742254" w14:textId="3F28B4B4" w:rsidR="00AC7C70" w:rsidRDefault="006D0693" w:rsidP="00CD77AB">
      <w:pPr>
        <w:rPr>
          <w:rFonts w:cs="Times New Roman"/>
          <w:szCs w:val="24"/>
        </w:rPr>
      </w:pPr>
      <w:r w:rsidRPr="00DA42F5">
        <w:rPr>
          <w:rFonts w:cs="Times New Roman"/>
          <w:szCs w:val="24"/>
        </w:rPr>
        <w:lastRenderedPageBreak/>
        <w:t xml:space="preserve">Both spore-forming community and the </w:t>
      </w:r>
      <w:r w:rsidR="00AC7C70" w:rsidRPr="00DA42F5">
        <w:rPr>
          <w:rFonts w:cs="Times New Roman"/>
          <w:szCs w:val="24"/>
        </w:rPr>
        <w:t>e</w:t>
      </w:r>
      <w:r w:rsidR="00CD77AB" w:rsidRPr="00DA42F5">
        <w:rPr>
          <w:rFonts w:cs="Times New Roman"/>
          <w:szCs w:val="24"/>
        </w:rPr>
        <w:t xml:space="preserve">thanol-resistant community exhibits greater </w:t>
      </w:r>
      <w:r w:rsidRPr="00DA42F5">
        <w:rPr>
          <w:rFonts w:cs="Times New Roman"/>
          <w:szCs w:val="24"/>
        </w:rPr>
        <w:t>species/</w:t>
      </w:r>
      <w:r w:rsidR="00CD77AB" w:rsidRPr="00DA42F5">
        <w:rPr>
          <w:rFonts w:cs="Times New Roman"/>
          <w:szCs w:val="24"/>
        </w:rPr>
        <w:t xml:space="preserve">OTU sharing among </w:t>
      </w:r>
      <w:r w:rsidRPr="00DA42F5">
        <w:rPr>
          <w:rFonts w:cs="Times New Roman"/>
          <w:szCs w:val="24"/>
        </w:rPr>
        <w:t>unrelated and non-cohabitating individuals</w:t>
      </w:r>
      <w:r w:rsidR="00CD77AB" w:rsidRPr="00DA42F5">
        <w:rPr>
          <w:rFonts w:cs="Times New Roman"/>
          <w:szCs w:val="24"/>
        </w:rPr>
        <w:t xml:space="preserve">, </w:t>
      </w:r>
      <w:r w:rsidR="00D6030C" w:rsidRPr="00DA42F5">
        <w:rPr>
          <w:rFonts w:cs="Times New Roman"/>
          <w:szCs w:val="24"/>
        </w:rPr>
        <w:t>while non-spore-forming and</w:t>
      </w:r>
      <w:r w:rsidR="00CD77AB" w:rsidRPr="00DA42F5">
        <w:rPr>
          <w:rFonts w:cs="Times New Roman"/>
          <w:szCs w:val="24"/>
        </w:rPr>
        <w:t xml:space="preserve"> ethanol non-resistant community suggests greater individual-specificity</w:t>
      </w:r>
      <w:r w:rsidR="00654C98" w:rsidRPr="00DA42F5">
        <w:rPr>
          <w:rFonts w:cs="Times New Roman"/>
          <w:szCs w:val="24"/>
        </w:rPr>
        <w:t xml:space="preserve"> (Figure 1</w:t>
      </w:r>
      <w:r w:rsidR="00E9210E" w:rsidRPr="00DA42F5">
        <w:rPr>
          <w:rFonts w:cs="Times New Roman"/>
          <w:szCs w:val="24"/>
        </w:rPr>
        <w:t>5</w:t>
      </w:r>
      <w:r w:rsidRPr="00DA42F5">
        <w:rPr>
          <w:rFonts w:cs="Times New Roman"/>
          <w:szCs w:val="24"/>
        </w:rPr>
        <w:t xml:space="preserve">, </w:t>
      </w:r>
      <w:r w:rsidR="00AC7C70" w:rsidRPr="00DA42F5">
        <w:rPr>
          <w:rFonts w:cs="Times New Roman"/>
          <w:szCs w:val="24"/>
        </w:rPr>
        <w:t>Supplement Figure 1</w:t>
      </w:r>
      <w:ins w:id="362" w:author="Urša Miklavčič" w:date="2026-01-29T14:50:00Z" w16du:dateUtc="2026-01-29T13:50:00Z">
        <w:r w:rsidR="00ED4887">
          <w:rPr>
            <w:rFonts w:cs="Times New Roman"/>
            <w:szCs w:val="24"/>
          </w:rPr>
          <w:t>5</w:t>
        </w:r>
      </w:ins>
      <w:del w:id="363" w:author="Urša Miklavčič" w:date="2026-01-29T14:50:00Z" w16du:dateUtc="2026-01-29T13:50:00Z">
        <w:r w:rsidRPr="00DA42F5" w:rsidDel="00ED4887">
          <w:rPr>
            <w:rFonts w:cs="Times New Roman"/>
            <w:szCs w:val="24"/>
          </w:rPr>
          <w:delText>3</w:delText>
        </w:r>
      </w:del>
      <w:r w:rsidR="00AC7C70" w:rsidRPr="00DA42F5">
        <w:rPr>
          <w:rFonts w:cs="Times New Roman"/>
          <w:szCs w:val="24"/>
        </w:rPr>
        <w:t xml:space="preserve">). </w:t>
      </w:r>
    </w:p>
    <w:p w14:paraId="40009D50" w14:textId="56D17351" w:rsidR="00E9210E" w:rsidRPr="00006D53" w:rsidRDefault="00DF2149" w:rsidP="00006D53">
      <w:pPr>
        <w:rPr>
          <w:rFonts w:cs="Times New Roman"/>
          <w:szCs w:val="24"/>
        </w:rPr>
      </w:pPr>
      <w:r>
        <w:rPr>
          <w:rFonts w:cs="Times New Roman"/>
          <w:noProof/>
          <w:szCs w:val="24"/>
        </w:rPr>
        <w:drawing>
          <wp:inline distT="0" distB="0" distL="0" distR="0" wp14:anchorId="075D35CE" wp14:editId="14F4AC7A">
            <wp:extent cx="5943600" cy="1871980"/>
            <wp:effectExtent l="0" t="0" r="0" b="0"/>
            <wp:docPr id="21093037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1871980"/>
                    </a:xfrm>
                    <a:prstGeom prst="rect">
                      <a:avLst/>
                    </a:prstGeom>
                    <a:noFill/>
                    <a:ln>
                      <a:noFill/>
                    </a:ln>
                  </pic:spPr>
                </pic:pic>
              </a:graphicData>
            </a:graphic>
          </wp:inline>
        </w:drawing>
      </w:r>
    </w:p>
    <w:p w14:paraId="4D7219C3" w14:textId="48725ADB" w:rsidR="00CD77AB" w:rsidRPr="00DA42F5" w:rsidRDefault="00E9210E" w:rsidP="00E9210E">
      <w:pPr>
        <w:pStyle w:val="Caption"/>
        <w:rPr>
          <w:rFonts w:cs="Times New Roman"/>
          <w:b w:val="0"/>
          <w:bCs/>
          <w:szCs w:val="24"/>
        </w:rPr>
      </w:pPr>
      <w:bookmarkStart w:id="364" w:name="_Toc216101629"/>
      <w:commentRangeStart w:id="365"/>
      <w:r w:rsidRPr="00DA42F5">
        <w:t xml:space="preserve">Figure </w:t>
      </w:r>
      <w:r w:rsidRPr="00DA42F5">
        <w:fldChar w:fldCharType="begin"/>
      </w:r>
      <w:r w:rsidRPr="00DA42F5">
        <w:instrText xml:space="preserve"> SEQ Figure \* ARABIC </w:instrText>
      </w:r>
      <w:r w:rsidRPr="00DA42F5">
        <w:fldChar w:fldCharType="separate"/>
      </w:r>
      <w:r w:rsidR="00C11001">
        <w:rPr>
          <w:noProof/>
        </w:rPr>
        <w:t>15</w:t>
      </w:r>
      <w:r w:rsidRPr="00DA42F5">
        <w:fldChar w:fldCharType="end"/>
      </w:r>
      <w:r w:rsidRPr="00DA42F5">
        <w:t xml:space="preserve">. </w:t>
      </w:r>
      <w:commentRangeEnd w:id="365"/>
      <w:r w:rsidR="002A3EFB" w:rsidRPr="00DA42F5">
        <w:rPr>
          <w:rStyle w:val="CommentReference"/>
          <w:b w:val="0"/>
          <w:iCs w:val="0"/>
        </w:rPr>
        <w:commentReference w:id="365"/>
      </w:r>
      <w:r w:rsidRPr="00DA42F5">
        <w:t>Sharing of OTUs between people based on their resistance to ethanol.</w:t>
      </w:r>
      <w:bookmarkStart w:id="366" w:name="_Hlk215218913"/>
      <w:r w:rsidRPr="00DA42F5">
        <w:t xml:space="preserve"> </w:t>
      </w:r>
      <w:r w:rsidR="00CD77AB" w:rsidRPr="00DA42F5">
        <w:rPr>
          <w:b w:val="0"/>
          <w:bCs/>
        </w:rPr>
        <w:t>Proportion of OTUs in ethanol-resistant and ethanol non-resistant community are present in a single individual or present in two or more individuals. This analysis was conducted on 865 OTUs determined present in an individual (90% of all timepoints). That reduced the number of OTUs present in the ethanol-resistant and non-ethanol resistant community to 192 and 673 OTUs, respectively.</w:t>
      </w:r>
      <w:bookmarkEnd w:id="364"/>
      <w:r w:rsidR="00CD77AB" w:rsidRPr="00DA42F5">
        <w:rPr>
          <w:b w:val="0"/>
          <w:bCs/>
        </w:rPr>
        <w:t xml:space="preserve">  </w:t>
      </w:r>
    </w:p>
    <w:bookmarkEnd w:id="366"/>
    <w:p w14:paraId="54D4F617" w14:textId="77777777" w:rsidR="00F665E9" w:rsidRPr="00DA42F5" w:rsidRDefault="00F665E9" w:rsidP="00386B8B">
      <w:pPr>
        <w:rPr>
          <w:rFonts w:cs="Times New Roman"/>
          <w:szCs w:val="24"/>
        </w:rPr>
      </w:pPr>
    </w:p>
    <w:p w14:paraId="68D5BF03" w14:textId="0CDC6C2B" w:rsidR="00CD77AB" w:rsidRPr="00DA42F5" w:rsidRDefault="00CD77AB" w:rsidP="00221812">
      <w:pPr>
        <w:pStyle w:val="Heading3"/>
        <w:numPr>
          <w:ilvl w:val="2"/>
          <w:numId w:val="26"/>
        </w:numPr>
      </w:pPr>
      <w:bookmarkStart w:id="367" w:name="_Toc216099753"/>
      <w:bookmarkStart w:id="368" w:name="_Toc220591404"/>
      <w:r w:rsidRPr="00DA42F5">
        <w:t xml:space="preserve">Sporulation frequency of ethanol-resistant </w:t>
      </w:r>
      <w:r w:rsidRPr="00DA42F5">
        <w:rPr>
          <w:i/>
        </w:rPr>
        <w:t>Bacillota</w:t>
      </w:r>
      <w:r w:rsidRPr="00DA42F5">
        <w:t xml:space="preserve"> in the human gut is host and time dependent</w:t>
      </w:r>
      <w:bookmarkEnd w:id="367"/>
      <w:bookmarkEnd w:id="368"/>
    </w:p>
    <w:p w14:paraId="024FC4B4" w14:textId="3C1E74A8" w:rsidR="00320506" w:rsidRPr="00DA42F5" w:rsidRDefault="00CD77AB" w:rsidP="00320506">
      <w:pPr>
        <w:rPr>
          <w:rFonts w:cs="Times New Roman"/>
          <w:szCs w:val="24"/>
        </w:rPr>
      </w:pPr>
      <w:r w:rsidRPr="00DA42F5">
        <w:rPr>
          <w:rFonts w:cs="Times New Roman"/>
          <w:szCs w:val="24"/>
        </w:rPr>
        <w:t xml:space="preserve">Sporulation frequency was calculated for OTUs determined as part of the ethanol-resistant </w:t>
      </w:r>
      <w:r w:rsidR="00486762" w:rsidRPr="00DA42F5">
        <w:rPr>
          <w:rFonts w:cs="Times New Roman"/>
          <w:szCs w:val="24"/>
        </w:rPr>
        <w:t>community</w:t>
      </w:r>
      <w:r w:rsidRPr="00DA42F5">
        <w:rPr>
          <w:rFonts w:cs="Times New Roman"/>
          <w:szCs w:val="24"/>
        </w:rPr>
        <w:t xml:space="preserve"> with taxonomic classification to the phylum </w:t>
      </w:r>
      <w:r w:rsidRPr="00DA42F5">
        <w:rPr>
          <w:rFonts w:cs="Times New Roman"/>
          <w:i/>
          <w:iCs/>
          <w:szCs w:val="24"/>
        </w:rPr>
        <w:t>Bacillota</w:t>
      </w:r>
      <w:r w:rsidRPr="00DA42F5">
        <w:rPr>
          <w:rFonts w:cs="Times New Roman"/>
          <w:szCs w:val="24"/>
        </w:rPr>
        <w:t xml:space="preserve">. </w:t>
      </w:r>
      <w:r w:rsidR="00320506" w:rsidRPr="00DA42F5">
        <w:rPr>
          <w:rFonts w:cs="Times New Roman"/>
          <w:szCs w:val="24"/>
        </w:rPr>
        <w:t>For each OT</w:t>
      </w:r>
      <w:r w:rsidR="00D6030C" w:rsidRPr="00DA42F5">
        <w:rPr>
          <w:rFonts w:cs="Times New Roman"/>
          <w:szCs w:val="24"/>
        </w:rPr>
        <w:t>U</w:t>
      </w:r>
      <w:r w:rsidR="00320506" w:rsidRPr="00DA42F5">
        <w:rPr>
          <w:rFonts w:cs="Times New Roman"/>
          <w:szCs w:val="24"/>
        </w:rPr>
        <w:t xml:space="preserve">, the ratio of </w:t>
      </w:r>
      <w:r w:rsidRPr="00DA42F5">
        <w:rPr>
          <w:rFonts w:cs="Times New Roman"/>
          <w:szCs w:val="24"/>
        </w:rPr>
        <w:t xml:space="preserve">normalised abundance in </w:t>
      </w:r>
      <w:del w:id="369" w:author="Urša Miklavčič" w:date="2026-01-29T15:01:00Z" w16du:dateUtc="2026-01-29T14:01:00Z">
        <w:r w:rsidRPr="00DA42F5" w:rsidDel="00B41263">
          <w:rPr>
            <w:rFonts w:cs="Times New Roman"/>
            <w:szCs w:val="24"/>
          </w:rPr>
          <w:delText>bulk microbiota</w:delText>
        </w:r>
      </w:del>
      <w:ins w:id="370" w:author="Urša Miklavčič" w:date="2026-01-29T15:01:00Z" w16du:dateUtc="2026-01-29T14:01:00Z">
        <w:r w:rsidR="00B41263">
          <w:rPr>
            <w:rFonts w:cs="Times New Roman"/>
            <w:szCs w:val="24"/>
          </w:rPr>
          <w:t>untreated samples</w:t>
        </w:r>
      </w:ins>
      <w:r w:rsidR="00320506" w:rsidRPr="00DA42F5">
        <w:rPr>
          <w:rFonts w:cs="Times New Roman"/>
          <w:szCs w:val="24"/>
        </w:rPr>
        <w:t xml:space="preserve"> (including sequences from both vegetative cells and ethanol-resistant forms)</w:t>
      </w:r>
      <w:r w:rsidRPr="00DA42F5">
        <w:rPr>
          <w:rFonts w:cs="Times New Roman"/>
          <w:szCs w:val="24"/>
        </w:rPr>
        <w:t xml:space="preserve"> samples </w:t>
      </w:r>
      <w:r w:rsidR="00486762" w:rsidRPr="00DA42F5">
        <w:rPr>
          <w:rFonts w:cs="Times New Roman"/>
          <w:szCs w:val="24"/>
        </w:rPr>
        <w:t>to</w:t>
      </w:r>
      <w:r w:rsidRPr="00DA42F5">
        <w:rPr>
          <w:rFonts w:cs="Times New Roman"/>
          <w:szCs w:val="24"/>
        </w:rPr>
        <w:t xml:space="preserve"> normalised abundance in ethanol treated samples </w:t>
      </w:r>
      <w:r w:rsidR="00320506" w:rsidRPr="00DA42F5">
        <w:rPr>
          <w:rFonts w:cs="Times New Roman"/>
          <w:szCs w:val="24"/>
        </w:rPr>
        <w:t xml:space="preserve">(enriched for spores and other ethanol-resistant cell forms) </w:t>
      </w:r>
      <w:r w:rsidRPr="00DA42F5">
        <w:rPr>
          <w:rFonts w:cs="Times New Roman"/>
          <w:szCs w:val="24"/>
        </w:rPr>
        <w:t xml:space="preserve">was </w:t>
      </w:r>
      <w:r w:rsidR="00320506" w:rsidRPr="00DA42F5">
        <w:rPr>
          <w:rFonts w:cs="Times New Roman"/>
          <w:szCs w:val="24"/>
        </w:rPr>
        <w:t xml:space="preserve">defined as the </w:t>
      </w:r>
      <w:r w:rsidRPr="00DA42F5">
        <w:rPr>
          <w:rFonts w:cs="Times New Roman"/>
          <w:szCs w:val="24"/>
        </w:rPr>
        <w:t>sporulation frequency (</w:t>
      </w:r>
      <w:r w:rsidR="00EF6518" w:rsidRPr="00DA42F5">
        <w:rPr>
          <w:rFonts w:cs="Times New Roman"/>
          <w:szCs w:val="24"/>
        </w:rPr>
        <w:t>Supplement Text 2</w:t>
      </w:r>
      <w:r w:rsidRPr="00DA42F5">
        <w:rPr>
          <w:rFonts w:cs="Times New Roman"/>
          <w:szCs w:val="24"/>
        </w:rPr>
        <w:t>).</w:t>
      </w:r>
      <w:r w:rsidR="00EF6518" w:rsidRPr="00DA42F5">
        <w:rPr>
          <w:rFonts w:cs="Times New Roman"/>
          <w:szCs w:val="24"/>
        </w:rPr>
        <w:t xml:space="preserve"> </w:t>
      </w:r>
      <w:r w:rsidR="00320506" w:rsidRPr="00DA42F5">
        <w:rPr>
          <w:rFonts w:cs="Times New Roman"/>
          <w:szCs w:val="24"/>
        </w:rPr>
        <w:t xml:space="preserve">Sporulation frequency thus reflects the fraction of an OTU population in a sporulated state at a given time point </w:t>
      </w:r>
      <w:proofErr w:type="gramStart"/>
      <w:r w:rsidR="00320506" w:rsidRPr="00DA42F5">
        <w:rPr>
          <w:rFonts w:cs="Times New Roman"/>
          <w:szCs w:val="24"/>
        </w:rPr>
        <w:t>in a</w:t>
      </w:r>
      <w:r w:rsidR="00EF6518" w:rsidRPr="00DA42F5">
        <w:rPr>
          <w:rFonts w:cs="Times New Roman"/>
          <w:szCs w:val="24"/>
        </w:rPr>
        <w:t xml:space="preserve"> given</w:t>
      </w:r>
      <w:proofErr w:type="gramEnd"/>
      <w:r w:rsidR="00EF6518" w:rsidRPr="00DA42F5">
        <w:rPr>
          <w:rFonts w:cs="Times New Roman"/>
          <w:szCs w:val="24"/>
        </w:rPr>
        <w:t xml:space="preserve"> </w:t>
      </w:r>
      <w:r w:rsidR="00320506" w:rsidRPr="00DA42F5">
        <w:rPr>
          <w:rFonts w:cs="Times New Roman"/>
          <w:szCs w:val="24"/>
        </w:rPr>
        <w:t>host.</w:t>
      </w:r>
    </w:p>
    <w:p w14:paraId="0A564A47" w14:textId="5E2C6951" w:rsidR="00CD77AB" w:rsidRPr="00DA42F5" w:rsidRDefault="00CD77AB" w:rsidP="00CD77AB">
      <w:pPr>
        <w:rPr>
          <w:rFonts w:cs="Times New Roman"/>
          <w:szCs w:val="24"/>
        </w:rPr>
      </w:pPr>
      <w:r w:rsidRPr="00DA42F5">
        <w:rPr>
          <w:rFonts w:cs="Times New Roman"/>
          <w:szCs w:val="24"/>
        </w:rPr>
        <w:t xml:space="preserve">The sporulation frequency for all OTUs within an individual increases or decreases simultaneously at a single time point in </w:t>
      </w:r>
      <w:proofErr w:type="gramStart"/>
      <w:r w:rsidRPr="00DA42F5">
        <w:rPr>
          <w:rFonts w:cs="Times New Roman"/>
          <w:szCs w:val="24"/>
        </w:rPr>
        <w:t>the majority of</w:t>
      </w:r>
      <w:proofErr w:type="gramEnd"/>
      <w:r w:rsidRPr="00DA42F5">
        <w:rPr>
          <w:rFonts w:cs="Times New Roman"/>
          <w:szCs w:val="24"/>
        </w:rPr>
        <w:t xml:space="preserve"> time points (Figure </w:t>
      </w:r>
      <w:proofErr w:type="spellStart"/>
      <w:r w:rsidR="00486762" w:rsidRPr="00DA42F5">
        <w:rPr>
          <w:rFonts w:cs="Times New Roman"/>
          <w:szCs w:val="24"/>
        </w:rPr>
        <w:t>1</w:t>
      </w:r>
      <w:r w:rsidR="00E9210E" w:rsidRPr="00DA42F5">
        <w:rPr>
          <w:rFonts w:cs="Times New Roman"/>
          <w:szCs w:val="24"/>
        </w:rPr>
        <w:t>6</w:t>
      </w:r>
      <w:r w:rsidRPr="00DA42F5">
        <w:rPr>
          <w:rFonts w:cs="Times New Roman"/>
          <w:szCs w:val="24"/>
        </w:rPr>
        <w:t>A</w:t>
      </w:r>
      <w:proofErr w:type="spellEnd"/>
      <w:r w:rsidRPr="00DA42F5">
        <w:rPr>
          <w:rFonts w:cs="Times New Roman"/>
          <w:szCs w:val="24"/>
        </w:rPr>
        <w:t xml:space="preserve">). This indicates a dependency on the current state of the gut in each host. We </w:t>
      </w:r>
      <w:r w:rsidR="00486762" w:rsidRPr="00DA42F5">
        <w:rPr>
          <w:rFonts w:cs="Times New Roman"/>
          <w:szCs w:val="24"/>
        </w:rPr>
        <w:t>examined</w:t>
      </w:r>
      <w:r w:rsidRPr="00DA42F5">
        <w:rPr>
          <w:rFonts w:cs="Times New Roman"/>
          <w:szCs w:val="24"/>
        </w:rPr>
        <w:t xml:space="preserve"> the correlation between the variation in sporulation frequency of each OTU at a single time point, normalised by the mean variation in sporulation frequency of </w:t>
      </w:r>
      <w:r w:rsidR="00486762" w:rsidRPr="00DA42F5">
        <w:rPr>
          <w:rFonts w:cs="Times New Roman"/>
          <w:szCs w:val="24"/>
        </w:rPr>
        <w:t>that</w:t>
      </w:r>
      <w:r w:rsidRPr="00DA42F5">
        <w:rPr>
          <w:rFonts w:cs="Times New Roman"/>
          <w:szCs w:val="24"/>
        </w:rPr>
        <w:t xml:space="preserve">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7405C4E8" w14:textId="483A6B52" w:rsidR="00CD77AB" w:rsidRPr="00DA42F5" w:rsidRDefault="00CB40F9" w:rsidP="00CD77AB">
      <w:pPr>
        <w:rPr>
          <w:rFonts w:cs="Times New Roman"/>
          <w:szCs w:val="24"/>
        </w:rPr>
      </w:pPr>
      <w:r w:rsidRPr="00DA42F5">
        <w:rPr>
          <w:rFonts w:cs="Times New Roman"/>
          <w:szCs w:val="24"/>
        </w:rPr>
        <w:t xml:space="preserve">Variance in sporulation frequency of an OTU within an individual, compared to the variance in sporulation frequency of the same OTU across the whole population, indicates host specificity. </w:t>
      </w:r>
      <w:r w:rsidRPr="00DA42F5">
        <w:rPr>
          <w:rFonts w:cs="Times New Roman"/>
          <w:szCs w:val="24"/>
        </w:rPr>
        <w:lastRenderedPageBreak/>
        <w:t xml:space="preserve">This is demonstrated by the ratio between the variance of OTU </w:t>
      </w:r>
      <w:proofErr w:type="spellStart"/>
      <w:r w:rsidRPr="00DA42F5">
        <w:rPr>
          <w:rFonts w:cs="Times New Roman"/>
          <w:i/>
          <w:iCs/>
          <w:szCs w:val="24"/>
        </w:rPr>
        <w:t>i</w:t>
      </w:r>
      <w:proofErr w:type="spellEnd"/>
      <w:r w:rsidRPr="00DA42F5">
        <w:rPr>
          <w:rFonts w:cs="Times New Roman"/>
          <w:szCs w:val="24"/>
        </w:rPr>
        <w:t xml:space="preserve"> in an individual and the variance of OTU </w:t>
      </w:r>
      <w:proofErr w:type="spellStart"/>
      <w:r w:rsidRPr="00DA42F5">
        <w:rPr>
          <w:rFonts w:cs="Times New Roman"/>
          <w:i/>
          <w:iCs/>
          <w:szCs w:val="24"/>
        </w:rPr>
        <w:t>i</w:t>
      </w:r>
      <w:proofErr w:type="spellEnd"/>
      <w:r w:rsidRPr="00DA42F5">
        <w:rPr>
          <w:rFonts w:cs="Times New Roman"/>
          <w:szCs w:val="24"/>
        </w:rPr>
        <w:t xml:space="preserve"> in the population, which falls below 1 in all but two individuals (Figure </w:t>
      </w:r>
      <w:proofErr w:type="spellStart"/>
      <w:r w:rsidRPr="00DA42F5">
        <w:rPr>
          <w:rFonts w:cs="Times New Roman"/>
          <w:szCs w:val="24"/>
        </w:rPr>
        <w:t>1</w:t>
      </w:r>
      <w:r w:rsidR="00E9210E" w:rsidRPr="00DA42F5">
        <w:rPr>
          <w:rFonts w:cs="Times New Roman"/>
          <w:szCs w:val="24"/>
        </w:rPr>
        <w:t>6</w:t>
      </w:r>
      <w:r w:rsidR="00D6030C" w:rsidRPr="00DA42F5">
        <w:rPr>
          <w:rFonts w:cs="Times New Roman"/>
          <w:szCs w:val="24"/>
        </w:rPr>
        <w:t>C</w:t>
      </w:r>
      <w:proofErr w:type="spellEnd"/>
      <w:r w:rsidRPr="00DA42F5">
        <w:rPr>
          <w:rFonts w:cs="Times New Roman"/>
          <w:szCs w:val="24"/>
        </w:rPr>
        <w:t xml:space="preserve">). An exception was the increased sporulation frequency in individual H, relative to the population variance, which can be attributed to antibiotic consumption between days 71 and 84 of the study. There was also a slight increase in individual C, associated with five days spent abroad in the second month of the study. Notably, in individual H this coincided with a decrease in alpha diversity, while in individual C there was an increase in alpha diversity. The Kruskal test shows significantly different variance in sporulation frequency of OTUs between individuals in our study (p = 1.7 × 10⁻⁸), which strengthens our comparison, as the population variance reflects highly diverse individuals. In contrast, comparison of the variance in sporulation frequency between different OTUs is not significantly different (Kruskal test, p = 0.96, Figure </w:t>
      </w:r>
      <w:proofErr w:type="spellStart"/>
      <w:r w:rsidRPr="00DA42F5">
        <w:rPr>
          <w:rFonts w:cs="Times New Roman"/>
          <w:szCs w:val="24"/>
        </w:rPr>
        <w:t>1</w:t>
      </w:r>
      <w:r w:rsidR="00E9210E" w:rsidRPr="00DA42F5">
        <w:rPr>
          <w:rFonts w:cs="Times New Roman"/>
          <w:szCs w:val="24"/>
        </w:rPr>
        <w:t>6</w:t>
      </w:r>
      <w:r w:rsidR="00D6030C" w:rsidRPr="00DA42F5">
        <w:rPr>
          <w:rFonts w:cs="Times New Roman"/>
          <w:szCs w:val="24"/>
        </w:rPr>
        <w:t>B</w:t>
      </w:r>
      <w:proofErr w:type="spellEnd"/>
      <w:r w:rsidRPr="00DA42F5">
        <w:rPr>
          <w:rFonts w:cs="Times New Roman"/>
          <w:szCs w:val="24"/>
        </w:rPr>
        <w:t>). Further confirmation of the dependence of sporulation frequency on host and time, rather than OTU classification, is provided by positive Pearson correlations between sporulation frequencies of OTUs within an individual (Supplement Figure 1</w:t>
      </w:r>
      <w:ins w:id="371" w:author="Urša Miklavčič" w:date="2026-01-29T14:50:00Z" w16du:dateUtc="2026-01-29T13:50:00Z">
        <w:r w:rsidR="00ED4887">
          <w:rPr>
            <w:rFonts w:cs="Times New Roman"/>
            <w:szCs w:val="24"/>
          </w:rPr>
          <w:t>6</w:t>
        </w:r>
      </w:ins>
      <w:del w:id="372" w:author="Urša Miklavčič" w:date="2026-01-29T14:50:00Z" w16du:dateUtc="2026-01-29T13:50:00Z">
        <w:r w:rsidR="00D6030C" w:rsidRPr="00DA42F5" w:rsidDel="00ED4887">
          <w:rPr>
            <w:rFonts w:cs="Times New Roman"/>
            <w:szCs w:val="24"/>
          </w:rPr>
          <w:delText>4</w:delText>
        </w:r>
      </w:del>
      <w:r w:rsidRPr="00DA42F5">
        <w:rPr>
          <w:rFonts w:cs="Times New Roman"/>
          <w:szCs w:val="24"/>
        </w:rPr>
        <w:t xml:space="preserve">). </w:t>
      </w:r>
    </w:p>
    <w:p w14:paraId="1E2D0032" w14:textId="77777777" w:rsidR="00E9210E" w:rsidRPr="00DA42F5" w:rsidRDefault="00CB40F9" w:rsidP="00E9210E">
      <w:pPr>
        <w:keepNext/>
      </w:pPr>
      <w:r w:rsidRPr="00DA42F5">
        <w:rPr>
          <w:rFonts w:cs="Times New Roman"/>
          <w:noProof/>
          <w:szCs w:val="24"/>
        </w:rPr>
        <w:drawing>
          <wp:inline distT="0" distB="0" distL="0" distR="0" wp14:anchorId="204A7B9F" wp14:editId="623FEF3F">
            <wp:extent cx="5946464" cy="4572000"/>
            <wp:effectExtent l="0" t="0" r="0" b="0"/>
            <wp:docPr id="174903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54702" cy="4578334"/>
                    </a:xfrm>
                    <a:prstGeom prst="rect">
                      <a:avLst/>
                    </a:prstGeom>
                    <a:noFill/>
                    <a:ln>
                      <a:noFill/>
                    </a:ln>
                  </pic:spPr>
                </pic:pic>
              </a:graphicData>
            </a:graphic>
          </wp:inline>
        </w:drawing>
      </w:r>
    </w:p>
    <w:p w14:paraId="4AB25CD3" w14:textId="0DBAA584" w:rsidR="00E904D0" w:rsidRPr="00DA42F5" w:rsidRDefault="00E9210E" w:rsidP="00E9210E">
      <w:pPr>
        <w:pStyle w:val="Caption"/>
        <w:rPr>
          <w:rFonts w:cs="Times New Roman"/>
          <w:szCs w:val="24"/>
        </w:rPr>
      </w:pPr>
      <w:bookmarkStart w:id="373" w:name="_Toc216101630"/>
      <w:r w:rsidRPr="00DA42F5">
        <w:t xml:space="preserve">Figure </w:t>
      </w:r>
      <w:r w:rsidRPr="00DA42F5">
        <w:fldChar w:fldCharType="begin"/>
      </w:r>
      <w:r w:rsidRPr="00DA42F5">
        <w:instrText xml:space="preserve"> SEQ Figure \* ARABIC </w:instrText>
      </w:r>
      <w:r w:rsidRPr="00DA42F5">
        <w:fldChar w:fldCharType="separate"/>
      </w:r>
      <w:r w:rsidR="00C11001">
        <w:rPr>
          <w:noProof/>
        </w:rPr>
        <w:t>16</w:t>
      </w:r>
      <w:r w:rsidRPr="00DA42F5">
        <w:fldChar w:fldCharType="end"/>
      </w:r>
      <w:r w:rsidRPr="00DA42F5">
        <w:t xml:space="preserve">. Influence of individual, time or OTU identity on sporulation frequency. </w:t>
      </w:r>
      <w:r w:rsidRPr="00DA42F5">
        <w:rPr>
          <w:b w:val="0"/>
          <w:bCs/>
        </w:rPr>
        <w:t xml:space="preserve">The </w:t>
      </w:r>
      <w:r w:rsidR="00CB40F9" w:rsidRPr="00DA42F5">
        <w:rPr>
          <w:b w:val="0"/>
          <w:bCs/>
        </w:rPr>
        <w:t xml:space="preserve">analysis includes only highly prevalent OTUs belonging to ethanol-resistant </w:t>
      </w:r>
      <w:r w:rsidR="00CB40F9" w:rsidRPr="00DA42F5">
        <w:rPr>
          <w:b w:val="0"/>
          <w:bCs/>
          <w:i/>
          <w:iCs w:val="0"/>
        </w:rPr>
        <w:t>Bacillota</w:t>
      </w:r>
      <w:r w:rsidR="00CB40F9" w:rsidRPr="00DA42F5">
        <w:rPr>
          <w:b w:val="0"/>
          <w:bCs/>
        </w:rPr>
        <w:t xml:space="preserve"> (present in &gt; 80% of samples, n = 22). A) Sporulation frequency of each OTU over the study duration, shown separately for each participant. Sporulation frequency was calculated </w:t>
      </w:r>
      <w:r w:rsidR="00D6030C" w:rsidRPr="00DA42F5">
        <w:rPr>
          <w:b w:val="0"/>
          <w:bCs/>
        </w:rPr>
        <w:t xml:space="preserve">as a </w:t>
      </w:r>
      <w:r w:rsidR="00CB40F9" w:rsidRPr="00DA42F5">
        <w:rPr>
          <w:b w:val="0"/>
          <w:bCs/>
        </w:rPr>
        <w:t>ratio of normalized OTU abundance and ethanol-treated samples (</w:t>
      </w:r>
      <w:proofErr w:type="spellStart"/>
      <w:r w:rsidR="00CB40F9" w:rsidRPr="00DA42F5">
        <w:rPr>
          <w:b w:val="0"/>
          <w:bCs/>
        </w:rPr>
        <w:t>e</w:t>
      </w:r>
      <w:r w:rsidR="00D6030C" w:rsidRPr="00DA42F5">
        <w:rPr>
          <w:b w:val="0"/>
          <w:bCs/>
          <w:vertAlign w:val="subscript"/>
        </w:rPr>
        <w:t>i</w:t>
      </w:r>
      <w:proofErr w:type="spellEnd"/>
      <w:r w:rsidR="00CB40F9" w:rsidRPr="00DA42F5">
        <w:rPr>
          <w:b w:val="0"/>
          <w:bCs/>
        </w:rPr>
        <w:t xml:space="preserve">) and </w:t>
      </w:r>
      <w:del w:id="374" w:author="Urša Miklavčič" w:date="2026-01-29T15:01:00Z" w16du:dateUtc="2026-01-29T14:01:00Z">
        <w:r w:rsidR="00CB40F9" w:rsidRPr="00DA42F5" w:rsidDel="00B41263">
          <w:rPr>
            <w:b w:val="0"/>
            <w:bCs/>
          </w:rPr>
          <w:delText>bulk microbiota</w:delText>
        </w:r>
      </w:del>
      <w:ins w:id="375" w:author="Urša Miklavčič" w:date="2026-01-29T15:01:00Z" w16du:dateUtc="2026-01-29T14:01:00Z">
        <w:r w:rsidR="00B41263">
          <w:rPr>
            <w:b w:val="0"/>
            <w:bCs/>
          </w:rPr>
          <w:t>untreated</w:t>
        </w:r>
      </w:ins>
      <w:r w:rsidR="00CB40F9" w:rsidRPr="00DA42F5">
        <w:rPr>
          <w:b w:val="0"/>
          <w:bCs/>
        </w:rPr>
        <w:t xml:space="preserve"> </w:t>
      </w:r>
      <w:r w:rsidR="00CB40F9" w:rsidRPr="00DA42F5">
        <w:rPr>
          <w:b w:val="0"/>
          <w:bCs/>
        </w:rPr>
        <w:lastRenderedPageBreak/>
        <w:t>samples (m</w:t>
      </w:r>
      <w:r w:rsidR="00CB40F9" w:rsidRPr="00DA42F5">
        <w:rPr>
          <w:b w:val="0"/>
          <w:bCs/>
          <w:vertAlign w:val="subscript"/>
        </w:rPr>
        <w:t>i</w:t>
      </w:r>
      <w:r w:rsidR="00CB40F9" w:rsidRPr="00DA42F5">
        <w:rPr>
          <w:b w:val="0"/>
          <w:bCs/>
        </w:rPr>
        <w:t>)</w:t>
      </w:r>
      <w:r w:rsidR="00D6030C" w:rsidRPr="00DA42F5">
        <w:rPr>
          <w:b w:val="0"/>
          <w:bCs/>
        </w:rPr>
        <w:t xml:space="preserve">, and </w:t>
      </w:r>
      <w:proofErr w:type="spellStart"/>
      <w:r w:rsidR="00D6030C" w:rsidRPr="00DA42F5">
        <w:rPr>
          <w:b w:val="0"/>
          <w:bCs/>
        </w:rPr>
        <w:t>log10</w:t>
      </w:r>
      <w:proofErr w:type="spellEnd"/>
      <w:r w:rsidR="00D6030C" w:rsidRPr="00DA42F5">
        <w:rPr>
          <w:b w:val="0"/>
          <w:bCs/>
        </w:rPr>
        <w:t>-transformed for visualisation purposes</w:t>
      </w:r>
      <w:r w:rsidR="00CB40F9" w:rsidRPr="00DA42F5">
        <w:rPr>
          <w:b w:val="0"/>
          <w:bCs/>
        </w:rPr>
        <w:t>. B) Ratio of within-individual to population-level variance in sporulation frequency, plotted by OTU. C) Ratio of within-individual to population-level variance in sporulation frequency, plotted by study participant. The vertical line (x = 1) indicates where within-individual (OTU or participant) variance equals the population-wide variance.</w:t>
      </w:r>
      <w:bookmarkEnd w:id="373"/>
      <w:r w:rsidR="00E904D0" w:rsidRPr="00DA42F5">
        <w:br w:type="page"/>
      </w:r>
    </w:p>
    <w:p w14:paraId="42BC8F81" w14:textId="1813521B" w:rsidR="00CD77AB" w:rsidRPr="00DA42F5" w:rsidRDefault="00C65827" w:rsidP="00221812">
      <w:pPr>
        <w:pStyle w:val="Heading2"/>
        <w:numPr>
          <w:ilvl w:val="1"/>
          <w:numId w:val="26"/>
        </w:numPr>
      </w:pPr>
      <w:bookmarkStart w:id="376" w:name="_Toc212712217"/>
      <w:bookmarkStart w:id="377" w:name="_Toc216099754"/>
      <w:bookmarkStart w:id="378" w:name="_Toc220591405"/>
      <w:r w:rsidRPr="00DA42F5">
        <w:lastRenderedPageBreak/>
        <w:t xml:space="preserve">CULTIVATION AND MOLECULAR CHARACTERIZATION OF THE REPRESENTATIVE </w:t>
      </w:r>
      <w:r w:rsidR="00386B8B" w:rsidRPr="00DA42F5">
        <w:t>SPORE-FORMING SPECIES</w:t>
      </w:r>
      <w:bookmarkEnd w:id="376"/>
      <w:bookmarkEnd w:id="377"/>
      <w:bookmarkEnd w:id="378"/>
    </w:p>
    <w:p w14:paraId="4C00B3A6" w14:textId="43C1783C" w:rsidR="00542F69" w:rsidRPr="00DA42F5" w:rsidRDefault="008B2A44" w:rsidP="00542F69">
      <w:ins w:id="379" w:author="Maja Rupnik" w:date="2026-01-20T16:22:00Z" w16du:dateUtc="2026-01-20T15:22:00Z">
        <w:r w:rsidRPr="00DA42F5">
          <w:t xml:space="preserve">This analysis was done on </w:t>
        </w:r>
      </w:ins>
      <w:ins w:id="380" w:author="Urša Miklavčič" w:date="2026-01-21T10:33:00Z" w16du:dateUtc="2026-01-21T09:33:00Z">
        <w:r w:rsidR="00C65827">
          <w:t xml:space="preserve">three stool samples of </w:t>
        </w:r>
      </w:ins>
      <w:ins w:id="381" w:author="Maja Rupnik" w:date="2026-01-20T16:22:00Z" w16du:dateUtc="2026-01-20T15:22:00Z">
        <w:r w:rsidRPr="00DA42F5">
          <w:t xml:space="preserve">a single participant. </w:t>
        </w:r>
      </w:ins>
      <w:r w:rsidR="00866102" w:rsidRPr="00DA42F5">
        <w:t xml:space="preserve">Participant H consumed amoxicillin, a broad-spectrum penicillin, midway through the study </w:t>
      </w:r>
      <w:r w:rsidR="00651A38" w:rsidRPr="00DA42F5">
        <w:t xml:space="preserve">from </w:t>
      </w:r>
      <w:r w:rsidR="00866102" w:rsidRPr="00DA42F5">
        <w:t>day 70 to 84. During this period</w:t>
      </w:r>
      <w:r w:rsidR="009634C0" w:rsidRPr="00DA42F5">
        <w:t xml:space="preserve"> </w:t>
      </w:r>
      <w:r w:rsidR="00866102" w:rsidRPr="00DA42F5">
        <w:t xml:space="preserve">bacterial </w:t>
      </w:r>
      <w:r w:rsidR="009634C0" w:rsidRPr="00DA42F5">
        <w:t>diversity</w:t>
      </w:r>
      <w:r w:rsidR="00866102" w:rsidRPr="00DA42F5">
        <w:t xml:space="preserve"> and normalised abundance</w:t>
      </w:r>
      <w:r w:rsidR="009634C0" w:rsidRPr="00DA42F5">
        <w:t xml:space="preserve"> decreased, and sporulation frequency across OTUs was significantly higher than in other participants. This made participant H an informative case for investigating strain dynamics of selected spore-forming species. </w:t>
      </w:r>
      <w:r w:rsidR="00866102" w:rsidRPr="00DA42F5">
        <w:t>Spore-forming bacteria were isolated from three time points: one month befor</w:t>
      </w:r>
      <w:r w:rsidR="009634C0" w:rsidRPr="00DA42F5">
        <w:t>e</w:t>
      </w:r>
      <w:r w:rsidR="00866102" w:rsidRPr="00DA42F5">
        <w:t xml:space="preserve">, during, and one month after antibiotic </w:t>
      </w:r>
      <w:r w:rsidR="009634C0" w:rsidRPr="00DA42F5">
        <w:t>use</w:t>
      </w:r>
      <w:r w:rsidR="00866102" w:rsidRPr="00DA42F5">
        <w:t>.</w:t>
      </w:r>
    </w:p>
    <w:p w14:paraId="0D08AA24" w14:textId="77777777" w:rsidR="00542F69" w:rsidRPr="00DA42F5" w:rsidRDefault="00542F69" w:rsidP="00542F69"/>
    <w:p w14:paraId="0B2EB257" w14:textId="6AE13EFF" w:rsidR="00CD77AB" w:rsidRPr="00DA42F5" w:rsidRDefault="00CD77AB" w:rsidP="00221812">
      <w:pPr>
        <w:pStyle w:val="Heading3"/>
        <w:numPr>
          <w:ilvl w:val="2"/>
          <w:numId w:val="26"/>
        </w:numPr>
      </w:pPr>
      <w:bookmarkStart w:id="382" w:name="_Toc212712218"/>
      <w:bookmarkStart w:id="383" w:name="_Toc216099755"/>
      <w:bookmarkStart w:id="384" w:name="_Toc220591406"/>
      <w:r w:rsidRPr="00DA42F5">
        <w:t xml:space="preserve">Cultivation </w:t>
      </w:r>
      <w:r w:rsidR="00DC1E07" w:rsidRPr="00DA42F5">
        <w:t xml:space="preserve">and sequencing </w:t>
      </w:r>
      <w:r w:rsidRPr="00DA42F5">
        <w:t xml:space="preserve">of </w:t>
      </w:r>
      <w:r w:rsidR="00DC1E07" w:rsidRPr="00DA42F5">
        <w:t xml:space="preserve">selected </w:t>
      </w:r>
      <w:r w:rsidRPr="00DA42F5">
        <w:t xml:space="preserve">spore-forming species from ethanol </w:t>
      </w:r>
      <w:r w:rsidR="00542F69" w:rsidRPr="00DA42F5">
        <w:t>treated</w:t>
      </w:r>
      <w:r w:rsidRPr="00DA42F5">
        <w:t xml:space="preserve"> </w:t>
      </w:r>
      <w:r w:rsidR="00DC1E07" w:rsidRPr="00DA42F5">
        <w:t xml:space="preserve">stool </w:t>
      </w:r>
      <w:r w:rsidRPr="00DA42F5">
        <w:t>samples</w:t>
      </w:r>
      <w:bookmarkEnd w:id="382"/>
      <w:bookmarkEnd w:id="383"/>
      <w:bookmarkEnd w:id="384"/>
    </w:p>
    <w:p w14:paraId="050FA288" w14:textId="49ACECB2" w:rsidR="009634C0" w:rsidRPr="00DA42F5" w:rsidRDefault="00651A38" w:rsidP="00CD77AB">
      <w:pPr>
        <w:rPr>
          <w:rFonts w:cs="Times New Roman"/>
          <w:szCs w:val="24"/>
        </w:rPr>
      </w:pPr>
      <w:r w:rsidRPr="00DA42F5">
        <w:rPr>
          <w:rFonts w:cs="Times New Roman"/>
          <w:szCs w:val="24"/>
        </w:rPr>
        <w:t>Pre-, mid- and post-antibiotic stool samples of participant H (</w:t>
      </w:r>
      <w:proofErr w:type="spellStart"/>
      <w:r w:rsidRPr="00DA42F5">
        <w:rPr>
          <w:rFonts w:cs="Times New Roman"/>
          <w:szCs w:val="24"/>
        </w:rPr>
        <w:t>H005</w:t>
      </w:r>
      <w:proofErr w:type="spellEnd"/>
      <w:r w:rsidRPr="00DA42F5">
        <w:rPr>
          <w:rFonts w:cs="Times New Roman"/>
          <w:szCs w:val="24"/>
        </w:rPr>
        <w:t xml:space="preserve">, </w:t>
      </w:r>
      <w:proofErr w:type="spellStart"/>
      <w:r w:rsidRPr="00DA42F5">
        <w:rPr>
          <w:rFonts w:cs="Times New Roman"/>
          <w:szCs w:val="24"/>
        </w:rPr>
        <w:t>H007</w:t>
      </w:r>
      <w:proofErr w:type="spellEnd"/>
      <w:r w:rsidRPr="00DA42F5">
        <w:rPr>
          <w:rFonts w:cs="Times New Roman"/>
          <w:szCs w:val="24"/>
        </w:rPr>
        <w:t xml:space="preserve">, </w:t>
      </w:r>
      <w:proofErr w:type="spellStart"/>
      <w:r w:rsidRPr="00DA42F5">
        <w:rPr>
          <w:rFonts w:cs="Times New Roman"/>
          <w:szCs w:val="24"/>
        </w:rPr>
        <w:t>H009</w:t>
      </w:r>
      <w:proofErr w:type="spellEnd"/>
      <w:r w:rsidRPr="00DA42F5">
        <w:rPr>
          <w:rFonts w:cs="Times New Roman"/>
          <w:szCs w:val="24"/>
        </w:rPr>
        <w:t xml:space="preserve"> respectively) were exposed </w:t>
      </w:r>
      <w:r w:rsidR="00CD77AB" w:rsidRPr="00DA42F5">
        <w:rPr>
          <w:rFonts w:cs="Times New Roman"/>
          <w:szCs w:val="24"/>
        </w:rPr>
        <w:t>to ethanol shock</w:t>
      </w:r>
      <w:r w:rsidR="008B2A44" w:rsidRPr="00DA42F5">
        <w:rPr>
          <w:rFonts w:cs="Times New Roman"/>
          <w:szCs w:val="24"/>
        </w:rPr>
        <w:t xml:space="preserve"> and after cultivation</w:t>
      </w:r>
      <w:r w:rsidR="00715E54" w:rsidRPr="00DA42F5">
        <w:rPr>
          <w:rFonts w:cs="Times New Roman"/>
          <w:szCs w:val="24"/>
        </w:rPr>
        <w:t xml:space="preserve"> </w:t>
      </w:r>
      <w:r w:rsidR="00E65829" w:rsidRPr="00DA42F5">
        <w:rPr>
          <w:rFonts w:cs="Times New Roman"/>
          <w:szCs w:val="24"/>
        </w:rPr>
        <w:t xml:space="preserve">approximately </w:t>
      </w:r>
      <w:r w:rsidR="000848F8" w:rsidRPr="00DA42F5">
        <w:rPr>
          <w:rFonts w:cs="Times New Roman"/>
          <w:szCs w:val="24"/>
        </w:rPr>
        <w:t>6</w:t>
      </w:r>
      <w:r w:rsidR="00352514" w:rsidRPr="00DA42F5">
        <w:rPr>
          <w:rFonts w:cs="Times New Roman"/>
          <w:szCs w:val="24"/>
        </w:rPr>
        <w:t xml:space="preserve">0 colonies per sample </w:t>
      </w:r>
      <w:r w:rsidR="009634C0" w:rsidRPr="00DA42F5">
        <w:rPr>
          <w:rFonts w:cs="Times New Roman"/>
          <w:szCs w:val="24"/>
        </w:rPr>
        <w:t>were picked and re-streaked o</w:t>
      </w:r>
      <w:r w:rsidR="002E735E" w:rsidRPr="00DA42F5">
        <w:rPr>
          <w:rFonts w:cs="Times New Roman"/>
          <w:szCs w:val="24"/>
        </w:rPr>
        <w:t>n</w:t>
      </w:r>
      <w:r w:rsidR="009634C0" w:rsidRPr="00DA42F5">
        <w:rPr>
          <w:rFonts w:cs="Times New Roman"/>
          <w:szCs w:val="24"/>
        </w:rPr>
        <w:t>to</w:t>
      </w:r>
      <w:r w:rsidR="002E735E" w:rsidRPr="00DA42F5">
        <w:rPr>
          <w:rFonts w:cs="Times New Roman"/>
          <w:szCs w:val="24"/>
        </w:rPr>
        <w:t xml:space="preserve"> fresh media to obtain pure isolates</w:t>
      </w:r>
      <w:r w:rsidR="008B2A44" w:rsidRPr="00DA42F5">
        <w:rPr>
          <w:rFonts w:cs="Times New Roman"/>
          <w:szCs w:val="24"/>
        </w:rPr>
        <w:t>. The identification of obtained isolates is shown in Table 1.</w:t>
      </w:r>
    </w:p>
    <w:p w14:paraId="00319A55" w14:textId="63A488CA" w:rsidR="002471F9" w:rsidRPr="00DA42F5" w:rsidRDefault="004D77C6" w:rsidP="00CD77AB">
      <w:pPr>
        <w:rPr>
          <w:rFonts w:cs="Times New Roman"/>
          <w:szCs w:val="24"/>
        </w:rPr>
      </w:pPr>
      <w:r w:rsidRPr="00DA42F5">
        <w:rPr>
          <w:rFonts w:cs="Times New Roman"/>
          <w:szCs w:val="24"/>
        </w:rPr>
        <w:t>D</w:t>
      </w:r>
      <w:r w:rsidR="00CD77AB" w:rsidRPr="00DA42F5">
        <w:rPr>
          <w:rFonts w:cs="Times New Roman"/>
          <w:szCs w:val="24"/>
        </w:rPr>
        <w:t xml:space="preserve">ue to the highest number </w:t>
      </w:r>
      <w:r w:rsidR="002471F9" w:rsidRPr="00DA42F5">
        <w:rPr>
          <w:rFonts w:cs="Times New Roman"/>
          <w:szCs w:val="24"/>
        </w:rPr>
        <w:t>of isolates obtained</w:t>
      </w:r>
      <w:r w:rsidR="00CD77AB" w:rsidRPr="00DA42F5">
        <w:rPr>
          <w:rFonts w:cs="Times New Roman"/>
          <w:szCs w:val="24"/>
        </w:rPr>
        <w:t xml:space="preserve"> we selected </w:t>
      </w:r>
      <w:r w:rsidR="00CD77AB" w:rsidRPr="00DA42F5">
        <w:rPr>
          <w:rFonts w:cs="Times New Roman"/>
          <w:i/>
          <w:iCs/>
          <w:szCs w:val="24"/>
        </w:rPr>
        <w:t>Clostridium saudiense</w:t>
      </w:r>
      <w:r w:rsidR="00CD77AB" w:rsidRPr="00DA42F5">
        <w:rPr>
          <w:rFonts w:cs="Times New Roman"/>
          <w:szCs w:val="24"/>
        </w:rPr>
        <w:t xml:space="preserve"> for </w:t>
      </w:r>
      <w:r w:rsidR="002E735E" w:rsidRPr="00DA42F5">
        <w:rPr>
          <w:rFonts w:cs="Times New Roman"/>
          <w:szCs w:val="24"/>
        </w:rPr>
        <w:t xml:space="preserve">whole-genome </w:t>
      </w:r>
      <w:r w:rsidR="00CD77AB" w:rsidRPr="00DA42F5">
        <w:rPr>
          <w:rFonts w:cs="Times New Roman"/>
          <w:szCs w:val="24"/>
        </w:rPr>
        <w:t>sequencing</w:t>
      </w:r>
      <w:r w:rsidR="000848F8" w:rsidRPr="00DA42F5">
        <w:rPr>
          <w:rFonts w:cs="Times New Roman"/>
          <w:szCs w:val="24"/>
        </w:rPr>
        <w:t xml:space="preserve"> (</w:t>
      </w:r>
      <w:r w:rsidR="002471F9" w:rsidRPr="00DA42F5">
        <w:rPr>
          <w:rFonts w:cs="Times New Roman"/>
          <w:szCs w:val="24"/>
        </w:rPr>
        <w:t>Table 1</w:t>
      </w:r>
      <w:r w:rsidR="000848F8" w:rsidRPr="00DA42F5">
        <w:rPr>
          <w:rFonts w:cs="Times New Roman"/>
          <w:szCs w:val="24"/>
        </w:rPr>
        <w:t>)</w:t>
      </w:r>
      <w:r w:rsidR="00CD77AB" w:rsidRPr="00DA42F5">
        <w:rPr>
          <w:rFonts w:cs="Times New Roman"/>
          <w:szCs w:val="24"/>
        </w:rPr>
        <w:t>.</w:t>
      </w:r>
      <w:r w:rsidRPr="00DA42F5">
        <w:rPr>
          <w:rFonts w:cs="Times New Roman"/>
          <w:szCs w:val="24"/>
        </w:rPr>
        <w:t xml:space="preserve"> </w:t>
      </w:r>
      <w:commentRangeStart w:id="385"/>
      <w:r w:rsidR="009634C0" w:rsidRPr="00DA42F5">
        <w:rPr>
          <w:rFonts w:cs="Times New Roman"/>
          <w:szCs w:val="24"/>
        </w:rPr>
        <w:t xml:space="preserve">In total, </w:t>
      </w:r>
      <w:r w:rsidRPr="00DA42F5">
        <w:rPr>
          <w:rFonts w:cs="Times New Roman"/>
          <w:szCs w:val="24"/>
        </w:rPr>
        <w:t xml:space="preserve">44 </w:t>
      </w:r>
      <w:r w:rsidR="002E735E" w:rsidRPr="00DA42F5">
        <w:rPr>
          <w:rFonts w:cs="Times New Roman"/>
          <w:i/>
          <w:iCs/>
          <w:szCs w:val="24"/>
        </w:rPr>
        <w:t>C. saudiense</w:t>
      </w:r>
      <w:r w:rsidR="002E735E" w:rsidRPr="00DA42F5">
        <w:rPr>
          <w:rFonts w:cs="Times New Roman"/>
          <w:szCs w:val="24"/>
        </w:rPr>
        <w:t xml:space="preserve"> </w:t>
      </w:r>
      <w:r w:rsidR="009634C0" w:rsidRPr="00DA42F5">
        <w:rPr>
          <w:rFonts w:cs="Times New Roman"/>
          <w:szCs w:val="24"/>
        </w:rPr>
        <w:t xml:space="preserve">genomes were sequenced </w:t>
      </w:r>
      <w:r w:rsidRPr="00DA42F5">
        <w:rPr>
          <w:rFonts w:cs="Times New Roman"/>
          <w:szCs w:val="24"/>
        </w:rPr>
        <w:t xml:space="preserve">(Supplement Table </w:t>
      </w:r>
      <w:r w:rsidR="007D4BF8" w:rsidRPr="00DA42F5">
        <w:rPr>
          <w:rFonts w:cs="Times New Roman"/>
          <w:szCs w:val="24"/>
        </w:rPr>
        <w:t>5</w:t>
      </w:r>
      <w:r w:rsidR="00DC1E07" w:rsidRPr="00DA42F5">
        <w:rPr>
          <w:rFonts w:cs="Times New Roman"/>
          <w:szCs w:val="24"/>
        </w:rPr>
        <w:t>)</w:t>
      </w:r>
      <w:r w:rsidR="00503055" w:rsidRPr="00DA42F5">
        <w:rPr>
          <w:rFonts w:cs="Times New Roman"/>
          <w:szCs w:val="24"/>
        </w:rPr>
        <w:t>, as second re-streaking was not successful</w:t>
      </w:r>
      <w:r w:rsidR="008B2A44" w:rsidRPr="00DA42F5">
        <w:rPr>
          <w:rFonts w:cs="Times New Roman"/>
          <w:szCs w:val="24"/>
        </w:rPr>
        <w:t xml:space="preserve"> in remaining </w:t>
      </w:r>
      <w:r w:rsidR="00C65827">
        <w:rPr>
          <w:rFonts w:cs="Times New Roman"/>
          <w:szCs w:val="24"/>
        </w:rPr>
        <w:t>43</w:t>
      </w:r>
      <w:r w:rsidR="008B2A44" w:rsidRPr="00DA42F5">
        <w:rPr>
          <w:rFonts w:cs="Times New Roman"/>
          <w:szCs w:val="24"/>
        </w:rPr>
        <w:t xml:space="preserve"> isolates</w:t>
      </w:r>
      <w:commentRangeEnd w:id="385"/>
      <w:r w:rsidR="008B2A44" w:rsidRPr="00DA42F5">
        <w:rPr>
          <w:rStyle w:val="CommentReference"/>
        </w:rPr>
        <w:commentReference w:id="385"/>
      </w:r>
      <w:r w:rsidR="00503055" w:rsidRPr="00DA42F5">
        <w:rPr>
          <w:rFonts w:cs="Times New Roman"/>
          <w:szCs w:val="24"/>
        </w:rPr>
        <w:t xml:space="preserve">. We obtained </w:t>
      </w:r>
      <w:r w:rsidRPr="00DA42F5">
        <w:rPr>
          <w:rFonts w:cs="Times New Roman"/>
          <w:szCs w:val="24"/>
        </w:rPr>
        <w:t xml:space="preserve">8, 16, and 18 </w:t>
      </w:r>
      <w:r w:rsidR="00503055" w:rsidRPr="00DA42F5">
        <w:rPr>
          <w:rFonts w:cs="Times New Roman"/>
          <w:szCs w:val="24"/>
        </w:rPr>
        <w:t xml:space="preserve">genomes from </w:t>
      </w:r>
      <w:r w:rsidR="009634C0" w:rsidRPr="00DA42F5">
        <w:rPr>
          <w:rFonts w:cs="Times New Roman"/>
          <w:szCs w:val="24"/>
        </w:rPr>
        <w:t>the pre-, mid- and post-antibiotic samples</w:t>
      </w:r>
      <w:r w:rsidR="00293919" w:rsidRPr="00DA42F5">
        <w:rPr>
          <w:rFonts w:cs="Times New Roman"/>
          <w:szCs w:val="24"/>
        </w:rPr>
        <w:t>,</w:t>
      </w:r>
      <w:r w:rsidR="009634C0" w:rsidRPr="00DA42F5">
        <w:rPr>
          <w:rFonts w:cs="Times New Roman"/>
          <w:szCs w:val="24"/>
        </w:rPr>
        <w:t xml:space="preserve"> respectively. </w:t>
      </w:r>
    </w:p>
    <w:p w14:paraId="65465C61" w14:textId="601D6CCD" w:rsidR="00E9210E" w:rsidRPr="00DA42F5" w:rsidRDefault="00E9210E" w:rsidP="00E9210E">
      <w:pPr>
        <w:pStyle w:val="FigureTable"/>
      </w:pPr>
      <w:r w:rsidRPr="00DA42F5">
        <w:rPr>
          <w:b/>
          <w:bCs/>
        </w:rPr>
        <w:t xml:space="preserve">Table </w:t>
      </w:r>
      <w:r w:rsidRPr="00DA42F5">
        <w:rPr>
          <w:b/>
          <w:bCs/>
        </w:rPr>
        <w:fldChar w:fldCharType="begin"/>
      </w:r>
      <w:r w:rsidRPr="00DA42F5">
        <w:rPr>
          <w:b/>
          <w:bCs/>
        </w:rPr>
        <w:instrText xml:space="preserve"> SEQ Table \* ARABIC </w:instrText>
      </w:r>
      <w:r w:rsidRPr="00DA42F5">
        <w:rPr>
          <w:b/>
          <w:bCs/>
        </w:rPr>
        <w:fldChar w:fldCharType="separate"/>
      </w:r>
      <w:r w:rsidR="00A06FFE" w:rsidRPr="00DA42F5">
        <w:rPr>
          <w:b/>
          <w:bCs/>
          <w:noProof/>
        </w:rPr>
        <w:t>1</w:t>
      </w:r>
      <w:r w:rsidRPr="00DA42F5">
        <w:rPr>
          <w:b/>
          <w:bCs/>
        </w:rPr>
        <w:fldChar w:fldCharType="end"/>
      </w:r>
      <w:r w:rsidRPr="00DA42F5">
        <w:rPr>
          <w:b/>
          <w:bCs/>
        </w:rPr>
        <w:t>. Number of obtained isolates after picking and first re-streaking.</w:t>
      </w:r>
      <w:r w:rsidRPr="00DA42F5">
        <w:t xml:space="preserve"> Species of isolate was determined with MALDI-TOF</w:t>
      </w:r>
      <w:r w:rsidR="00503055" w:rsidRPr="00DA42F5">
        <w:t xml:space="preserve"> MS</w:t>
      </w:r>
      <w:r w:rsidRPr="00DA42F5">
        <w:t xml:space="preserve">. </w:t>
      </w:r>
      <w:proofErr w:type="spellStart"/>
      <w:r w:rsidRPr="00DA42F5">
        <w:t>H005</w:t>
      </w:r>
      <w:proofErr w:type="spellEnd"/>
      <w:r w:rsidRPr="00DA42F5">
        <w:t xml:space="preserve">, </w:t>
      </w:r>
      <w:proofErr w:type="spellStart"/>
      <w:r w:rsidRPr="00DA42F5">
        <w:t>H007</w:t>
      </w:r>
      <w:proofErr w:type="spellEnd"/>
      <w:r w:rsidRPr="00DA42F5">
        <w:t xml:space="preserve"> and </w:t>
      </w:r>
      <w:proofErr w:type="spellStart"/>
      <w:r w:rsidRPr="00DA42F5">
        <w:t>H009</w:t>
      </w:r>
      <w:proofErr w:type="spellEnd"/>
      <w:r w:rsidRPr="00DA42F5">
        <w:t xml:space="preserve"> are samples from time point pre-, mid- and post-antibiotic use of participant H. </w:t>
      </w:r>
      <w:r w:rsidRPr="00DA42F5">
        <w:rPr>
          <w:szCs w:val="24"/>
        </w:rPr>
        <w:t>Some colonies were lost during the second re-streaking step, due to not growing, which accounts for the unequal numbers</w:t>
      </w:r>
      <w:r w:rsidR="00503055" w:rsidRPr="00DA42F5">
        <w:rPr>
          <w:szCs w:val="24"/>
        </w:rPr>
        <w:t xml:space="preserve"> to the sequencing experiment.</w:t>
      </w:r>
    </w:p>
    <w:tbl>
      <w:tblPr>
        <w:tblW w:w="9356" w:type="dxa"/>
        <w:tblCellMar>
          <w:left w:w="70" w:type="dxa"/>
          <w:right w:w="70" w:type="dxa"/>
        </w:tblCellMar>
        <w:tblLook w:val="04A0" w:firstRow="1" w:lastRow="0" w:firstColumn="1" w:lastColumn="0" w:noHBand="0" w:noVBand="1"/>
      </w:tblPr>
      <w:tblGrid>
        <w:gridCol w:w="3119"/>
        <w:gridCol w:w="1134"/>
        <w:gridCol w:w="1701"/>
        <w:gridCol w:w="1843"/>
        <w:gridCol w:w="1559"/>
      </w:tblGrid>
      <w:tr w:rsidR="006A08CB" w:rsidRPr="00DA42F5" w14:paraId="44D02DC1" w14:textId="77777777" w:rsidTr="006A08CB">
        <w:trPr>
          <w:trHeight w:val="300"/>
          <w:tblHeader/>
        </w:trPr>
        <w:tc>
          <w:tcPr>
            <w:tcW w:w="3119" w:type="dxa"/>
            <w:tcBorders>
              <w:top w:val="single" w:sz="4" w:space="0" w:color="auto"/>
              <w:left w:val="nil"/>
              <w:bottom w:val="single" w:sz="4" w:space="0" w:color="auto"/>
              <w:right w:val="nil"/>
            </w:tcBorders>
            <w:noWrap/>
            <w:vAlign w:val="bottom"/>
            <w:hideMark/>
          </w:tcPr>
          <w:p w14:paraId="283BDA83" w14:textId="77777777" w:rsidR="002471F9" w:rsidRPr="00DA42F5" w:rsidRDefault="002471F9" w:rsidP="001E36D0">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Detected species </w:t>
            </w:r>
          </w:p>
        </w:tc>
        <w:tc>
          <w:tcPr>
            <w:tcW w:w="1134" w:type="dxa"/>
            <w:tcBorders>
              <w:top w:val="single" w:sz="4" w:space="0" w:color="auto"/>
              <w:left w:val="nil"/>
              <w:bottom w:val="single" w:sz="4" w:space="0" w:color="auto"/>
              <w:right w:val="nil"/>
            </w:tcBorders>
            <w:noWrap/>
            <w:vAlign w:val="bottom"/>
            <w:hideMark/>
          </w:tcPr>
          <w:p w14:paraId="1B3A898A" w14:textId="77777777" w:rsidR="002471F9" w:rsidRPr="00DA42F5" w:rsidRDefault="002471F9" w:rsidP="001E36D0">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All samples </w:t>
            </w:r>
          </w:p>
        </w:tc>
        <w:tc>
          <w:tcPr>
            <w:tcW w:w="1701" w:type="dxa"/>
            <w:tcBorders>
              <w:top w:val="single" w:sz="4" w:space="0" w:color="auto"/>
              <w:left w:val="nil"/>
              <w:bottom w:val="single" w:sz="4" w:space="0" w:color="auto"/>
              <w:right w:val="nil"/>
            </w:tcBorders>
            <w:noWrap/>
            <w:vAlign w:val="bottom"/>
            <w:hideMark/>
          </w:tcPr>
          <w:p w14:paraId="2FBB4495" w14:textId="304B2828" w:rsidR="002471F9" w:rsidRPr="00DA42F5" w:rsidRDefault="006A08CB" w:rsidP="006A08CB">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Before antibiotic </w:t>
            </w:r>
            <w:proofErr w:type="spellStart"/>
            <w:r w:rsidR="002471F9" w:rsidRPr="00DA42F5">
              <w:rPr>
                <w:rFonts w:eastAsia="Times New Roman" w:cs="Times New Roman"/>
                <w:b/>
                <w:bCs/>
                <w:color w:val="000000"/>
                <w:sz w:val="20"/>
                <w:szCs w:val="20"/>
                <w:lang w:eastAsia="sl-SI"/>
              </w:rPr>
              <w:t>H005</w:t>
            </w:r>
            <w:proofErr w:type="spellEnd"/>
          </w:p>
        </w:tc>
        <w:tc>
          <w:tcPr>
            <w:tcW w:w="1843" w:type="dxa"/>
            <w:tcBorders>
              <w:top w:val="single" w:sz="4" w:space="0" w:color="auto"/>
              <w:left w:val="nil"/>
              <w:bottom w:val="single" w:sz="4" w:space="0" w:color="auto"/>
              <w:right w:val="nil"/>
            </w:tcBorders>
            <w:noWrap/>
            <w:vAlign w:val="bottom"/>
            <w:hideMark/>
          </w:tcPr>
          <w:p w14:paraId="4404066C" w14:textId="0524A1B5" w:rsidR="006A08CB" w:rsidRPr="00DA42F5" w:rsidRDefault="006A08CB" w:rsidP="001E36D0">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During antibiotic </w:t>
            </w:r>
          </w:p>
          <w:p w14:paraId="3E42CC9D" w14:textId="69823A50" w:rsidR="002471F9" w:rsidRPr="00DA42F5" w:rsidRDefault="002471F9" w:rsidP="001E36D0">
            <w:pPr>
              <w:spacing w:after="0" w:line="240" w:lineRule="auto"/>
              <w:jc w:val="left"/>
              <w:rPr>
                <w:rFonts w:eastAsia="Times New Roman" w:cs="Times New Roman"/>
                <w:b/>
                <w:bCs/>
                <w:color w:val="000000"/>
                <w:sz w:val="20"/>
                <w:szCs w:val="20"/>
                <w:lang w:eastAsia="sl-SI"/>
              </w:rPr>
            </w:pPr>
            <w:proofErr w:type="spellStart"/>
            <w:r w:rsidRPr="00DA42F5">
              <w:rPr>
                <w:rFonts w:eastAsia="Times New Roman" w:cs="Times New Roman"/>
                <w:b/>
                <w:bCs/>
                <w:color w:val="000000"/>
                <w:sz w:val="20"/>
                <w:szCs w:val="20"/>
                <w:lang w:eastAsia="sl-SI"/>
              </w:rPr>
              <w:t>H007</w:t>
            </w:r>
            <w:proofErr w:type="spellEnd"/>
          </w:p>
        </w:tc>
        <w:tc>
          <w:tcPr>
            <w:tcW w:w="1559" w:type="dxa"/>
            <w:tcBorders>
              <w:top w:val="single" w:sz="4" w:space="0" w:color="auto"/>
              <w:left w:val="nil"/>
              <w:bottom w:val="single" w:sz="4" w:space="0" w:color="auto"/>
              <w:right w:val="nil"/>
            </w:tcBorders>
            <w:noWrap/>
            <w:vAlign w:val="bottom"/>
            <w:hideMark/>
          </w:tcPr>
          <w:p w14:paraId="78C11720" w14:textId="7299C053" w:rsidR="006A08CB" w:rsidRPr="00DA42F5" w:rsidRDefault="006A08CB" w:rsidP="001E36D0">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After antibiotic </w:t>
            </w:r>
          </w:p>
          <w:p w14:paraId="23B07DA0" w14:textId="3D1C10E6" w:rsidR="002471F9" w:rsidRPr="00DA42F5" w:rsidRDefault="002471F9" w:rsidP="001E36D0">
            <w:pPr>
              <w:spacing w:after="0" w:line="240" w:lineRule="auto"/>
              <w:jc w:val="left"/>
              <w:rPr>
                <w:rFonts w:eastAsia="Times New Roman" w:cs="Times New Roman"/>
                <w:b/>
                <w:bCs/>
                <w:color w:val="000000"/>
                <w:sz w:val="20"/>
                <w:szCs w:val="20"/>
                <w:lang w:eastAsia="sl-SI"/>
              </w:rPr>
            </w:pPr>
            <w:proofErr w:type="spellStart"/>
            <w:r w:rsidRPr="00DA42F5">
              <w:rPr>
                <w:rFonts w:eastAsia="Times New Roman" w:cs="Times New Roman"/>
                <w:b/>
                <w:bCs/>
                <w:color w:val="000000"/>
                <w:sz w:val="20"/>
                <w:szCs w:val="20"/>
                <w:lang w:eastAsia="sl-SI"/>
              </w:rPr>
              <w:t>H009</w:t>
            </w:r>
            <w:proofErr w:type="spellEnd"/>
            <w:r w:rsidRPr="00DA42F5">
              <w:rPr>
                <w:rFonts w:eastAsia="Times New Roman" w:cs="Times New Roman"/>
                <w:b/>
                <w:bCs/>
                <w:color w:val="000000"/>
                <w:sz w:val="20"/>
                <w:szCs w:val="20"/>
                <w:lang w:eastAsia="sl-SI"/>
              </w:rPr>
              <w:t xml:space="preserve"> </w:t>
            </w:r>
          </w:p>
        </w:tc>
      </w:tr>
      <w:tr w:rsidR="006A08CB" w:rsidRPr="00DA42F5" w14:paraId="41326A11" w14:textId="77777777" w:rsidTr="006A08CB">
        <w:trPr>
          <w:trHeight w:val="300"/>
        </w:trPr>
        <w:tc>
          <w:tcPr>
            <w:tcW w:w="3119" w:type="dxa"/>
            <w:tcBorders>
              <w:top w:val="nil"/>
              <w:left w:val="nil"/>
              <w:bottom w:val="nil"/>
              <w:right w:val="nil"/>
            </w:tcBorders>
            <w:noWrap/>
            <w:vAlign w:val="bottom"/>
            <w:hideMark/>
          </w:tcPr>
          <w:p w14:paraId="01781BA9" w14:textId="77777777" w:rsidR="002471F9" w:rsidRPr="00DA42F5" w:rsidRDefault="002471F9" w:rsidP="001E36D0">
            <w:pPr>
              <w:spacing w:after="0" w:line="240" w:lineRule="auto"/>
              <w:jc w:val="left"/>
              <w:rPr>
                <w:rFonts w:eastAsia="Times New Roman" w:cs="Times New Roman"/>
                <w:i/>
                <w:iCs/>
                <w:color w:val="000000"/>
                <w:sz w:val="20"/>
                <w:szCs w:val="20"/>
                <w:lang w:eastAsia="sl-SI"/>
              </w:rPr>
            </w:pPr>
            <w:r w:rsidRPr="00DA42F5">
              <w:rPr>
                <w:rFonts w:eastAsia="Times New Roman" w:cs="Times New Roman"/>
                <w:i/>
                <w:iCs/>
                <w:color w:val="000000"/>
                <w:sz w:val="20"/>
                <w:szCs w:val="20"/>
                <w:lang w:eastAsia="sl-SI"/>
              </w:rPr>
              <w:t xml:space="preserve">Clostridium </w:t>
            </w:r>
            <w:proofErr w:type="spellStart"/>
            <w:r w:rsidRPr="00DA42F5">
              <w:rPr>
                <w:rFonts w:eastAsia="Times New Roman" w:cs="Times New Roman"/>
                <w:i/>
                <w:iCs/>
                <w:color w:val="000000"/>
                <w:sz w:val="20"/>
                <w:szCs w:val="20"/>
                <w:lang w:eastAsia="sl-SI"/>
              </w:rPr>
              <w:t>paraputrificum</w:t>
            </w:r>
            <w:proofErr w:type="spellEnd"/>
          </w:p>
        </w:tc>
        <w:tc>
          <w:tcPr>
            <w:tcW w:w="1134" w:type="dxa"/>
            <w:tcBorders>
              <w:top w:val="nil"/>
              <w:left w:val="nil"/>
              <w:bottom w:val="nil"/>
              <w:right w:val="nil"/>
            </w:tcBorders>
            <w:noWrap/>
            <w:vAlign w:val="bottom"/>
            <w:hideMark/>
          </w:tcPr>
          <w:p w14:paraId="77C9CE00"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24</w:t>
            </w:r>
          </w:p>
        </w:tc>
        <w:tc>
          <w:tcPr>
            <w:tcW w:w="1701" w:type="dxa"/>
            <w:tcBorders>
              <w:top w:val="nil"/>
              <w:left w:val="nil"/>
              <w:bottom w:val="nil"/>
              <w:right w:val="nil"/>
            </w:tcBorders>
            <w:noWrap/>
            <w:vAlign w:val="bottom"/>
            <w:hideMark/>
          </w:tcPr>
          <w:p w14:paraId="13F0CB44"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23</w:t>
            </w:r>
          </w:p>
        </w:tc>
        <w:tc>
          <w:tcPr>
            <w:tcW w:w="1843" w:type="dxa"/>
            <w:tcBorders>
              <w:top w:val="nil"/>
              <w:left w:val="nil"/>
              <w:bottom w:val="nil"/>
              <w:right w:val="nil"/>
            </w:tcBorders>
            <w:noWrap/>
            <w:vAlign w:val="bottom"/>
            <w:hideMark/>
          </w:tcPr>
          <w:p w14:paraId="17B2B910"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0</w:t>
            </w:r>
          </w:p>
        </w:tc>
        <w:tc>
          <w:tcPr>
            <w:tcW w:w="1559" w:type="dxa"/>
            <w:tcBorders>
              <w:top w:val="nil"/>
              <w:left w:val="nil"/>
              <w:bottom w:val="nil"/>
              <w:right w:val="nil"/>
            </w:tcBorders>
            <w:noWrap/>
            <w:vAlign w:val="bottom"/>
            <w:hideMark/>
          </w:tcPr>
          <w:p w14:paraId="3E72479F"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w:t>
            </w:r>
          </w:p>
        </w:tc>
      </w:tr>
      <w:tr w:rsidR="006A08CB" w:rsidRPr="00DA42F5" w14:paraId="26065152" w14:textId="77777777" w:rsidTr="006A08CB">
        <w:trPr>
          <w:trHeight w:val="300"/>
        </w:trPr>
        <w:tc>
          <w:tcPr>
            <w:tcW w:w="3119" w:type="dxa"/>
            <w:tcBorders>
              <w:top w:val="nil"/>
              <w:left w:val="nil"/>
              <w:bottom w:val="nil"/>
              <w:right w:val="nil"/>
            </w:tcBorders>
            <w:noWrap/>
            <w:vAlign w:val="bottom"/>
            <w:hideMark/>
          </w:tcPr>
          <w:p w14:paraId="461BD6B5" w14:textId="77777777" w:rsidR="002471F9" w:rsidRPr="00DA42F5" w:rsidRDefault="002471F9" w:rsidP="001E36D0">
            <w:pPr>
              <w:spacing w:after="0" w:line="240" w:lineRule="auto"/>
              <w:jc w:val="left"/>
              <w:rPr>
                <w:rFonts w:eastAsia="Times New Roman" w:cs="Times New Roman"/>
                <w:i/>
                <w:iCs/>
                <w:color w:val="000000"/>
                <w:sz w:val="20"/>
                <w:szCs w:val="20"/>
                <w:lang w:eastAsia="sl-SI"/>
              </w:rPr>
            </w:pPr>
            <w:proofErr w:type="spellStart"/>
            <w:r w:rsidRPr="00DA42F5">
              <w:rPr>
                <w:rFonts w:eastAsia="Times New Roman" w:cs="Times New Roman"/>
                <w:i/>
                <w:iCs/>
                <w:color w:val="000000"/>
                <w:sz w:val="20"/>
                <w:szCs w:val="20"/>
                <w:lang w:eastAsia="sl-SI"/>
              </w:rPr>
              <w:t>Intestinibacter</w:t>
            </w:r>
            <w:proofErr w:type="spellEnd"/>
            <w:r w:rsidRPr="00DA42F5">
              <w:rPr>
                <w:rFonts w:eastAsia="Times New Roman" w:cs="Times New Roman"/>
                <w:i/>
                <w:iCs/>
                <w:color w:val="000000"/>
                <w:sz w:val="20"/>
                <w:szCs w:val="20"/>
                <w:lang w:eastAsia="sl-SI"/>
              </w:rPr>
              <w:t xml:space="preserve"> </w:t>
            </w:r>
            <w:proofErr w:type="spellStart"/>
            <w:r w:rsidRPr="00DA42F5">
              <w:rPr>
                <w:rFonts w:eastAsia="Times New Roman" w:cs="Times New Roman"/>
                <w:i/>
                <w:iCs/>
                <w:color w:val="000000"/>
                <w:sz w:val="20"/>
                <w:szCs w:val="20"/>
                <w:lang w:eastAsia="sl-SI"/>
              </w:rPr>
              <w:t>bartletti</w:t>
            </w:r>
            <w:proofErr w:type="spellEnd"/>
          </w:p>
        </w:tc>
        <w:tc>
          <w:tcPr>
            <w:tcW w:w="1134" w:type="dxa"/>
            <w:tcBorders>
              <w:top w:val="nil"/>
              <w:left w:val="nil"/>
              <w:bottom w:val="nil"/>
              <w:right w:val="nil"/>
            </w:tcBorders>
            <w:noWrap/>
            <w:vAlign w:val="bottom"/>
            <w:hideMark/>
          </w:tcPr>
          <w:p w14:paraId="3508B100"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11</w:t>
            </w:r>
          </w:p>
        </w:tc>
        <w:tc>
          <w:tcPr>
            <w:tcW w:w="1701" w:type="dxa"/>
            <w:tcBorders>
              <w:top w:val="nil"/>
              <w:left w:val="nil"/>
              <w:bottom w:val="nil"/>
              <w:right w:val="nil"/>
            </w:tcBorders>
            <w:noWrap/>
            <w:vAlign w:val="bottom"/>
            <w:hideMark/>
          </w:tcPr>
          <w:p w14:paraId="297B1F46"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w:t>
            </w:r>
          </w:p>
        </w:tc>
        <w:tc>
          <w:tcPr>
            <w:tcW w:w="1843" w:type="dxa"/>
            <w:tcBorders>
              <w:top w:val="nil"/>
              <w:left w:val="nil"/>
              <w:bottom w:val="nil"/>
              <w:right w:val="nil"/>
            </w:tcBorders>
            <w:noWrap/>
            <w:vAlign w:val="bottom"/>
            <w:hideMark/>
          </w:tcPr>
          <w:p w14:paraId="736B84D6"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w:t>
            </w:r>
          </w:p>
        </w:tc>
        <w:tc>
          <w:tcPr>
            <w:tcW w:w="1559" w:type="dxa"/>
            <w:tcBorders>
              <w:top w:val="nil"/>
              <w:left w:val="nil"/>
              <w:bottom w:val="nil"/>
              <w:right w:val="nil"/>
            </w:tcBorders>
            <w:noWrap/>
            <w:vAlign w:val="bottom"/>
            <w:hideMark/>
          </w:tcPr>
          <w:p w14:paraId="7ED3FFB9"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5</w:t>
            </w:r>
          </w:p>
        </w:tc>
      </w:tr>
      <w:tr w:rsidR="006A08CB" w:rsidRPr="00DA42F5" w14:paraId="5C7B8A8C" w14:textId="77777777" w:rsidTr="006A08CB">
        <w:trPr>
          <w:trHeight w:val="300"/>
        </w:trPr>
        <w:tc>
          <w:tcPr>
            <w:tcW w:w="3119" w:type="dxa"/>
            <w:tcBorders>
              <w:top w:val="nil"/>
              <w:left w:val="nil"/>
              <w:bottom w:val="nil"/>
              <w:right w:val="nil"/>
            </w:tcBorders>
            <w:noWrap/>
            <w:vAlign w:val="bottom"/>
            <w:hideMark/>
          </w:tcPr>
          <w:p w14:paraId="5B6A8D08" w14:textId="77777777" w:rsidR="002471F9" w:rsidRPr="00DA42F5" w:rsidRDefault="002471F9" w:rsidP="001E36D0">
            <w:pPr>
              <w:spacing w:after="0" w:line="240" w:lineRule="auto"/>
              <w:jc w:val="left"/>
              <w:rPr>
                <w:rFonts w:eastAsia="Times New Roman" w:cs="Times New Roman"/>
                <w:i/>
                <w:iCs/>
                <w:color w:val="000000"/>
                <w:sz w:val="20"/>
                <w:szCs w:val="20"/>
                <w:lang w:eastAsia="sl-SI"/>
              </w:rPr>
            </w:pPr>
            <w:r w:rsidRPr="00DA42F5">
              <w:rPr>
                <w:rFonts w:eastAsia="Times New Roman" w:cs="Times New Roman"/>
                <w:i/>
                <w:iCs/>
                <w:color w:val="000000"/>
                <w:sz w:val="20"/>
                <w:szCs w:val="20"/>
                <w:lang w:eastAsia="sl-SI"/>
              </w:rPr>
              <w:t>Clostridium saudiense</w:t>
            </w:r>
          </w:p>
        </w:tc>
        <w:tc>
          <w:tcPr>
            <w:tcW w:w="1134" w:type="dxa"/>
            <w:tcBorders>
              <w:top w:val="nil"/>
              <w:left w:val="nil"/>
              <w:bottom w:val="nil"/>
              <w:right w:val="nil"/>
            </w:tcBorders>
            <w:noWrap/>
            <w:vAlign w:val="bottom"/>
            <w:hideMark/>
          </w:tcPr>
          <w:p w14:paraId="21B1485F"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87</w:t>
            </w:r>
          </w:p>
        </w:tc>
        <w:tc>
          <w:tcPr>
            <w:tcW w:w="1701" w:type="dxa"/>
            <w:tcBorders>
              <w:top w:val="nil"/>
              <w:left w:val="nil"/>
              <w:bottom w:val="nil"/>
              <w:right w:val="nil"/>
            </w:tcBorders>
            <w:noWrap/>
            <w:vAlign w:val="bottom"/>
            <w:hideMark/>
          </w:tcPr>
          <w:p w14:paraId="29321D89"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19</w:t>
            </w:r>
          </w:p>
        </w:tc>
        <w:tc>
          <w:tcPr>
            <w:tcW w:w="1843" w:type="dxa"/>
            <w:tcBorders>
              <w:top w:val="nil"/>
              <w:left w:val="nil"/>
              <w:bottom w:val="nil"/>
              <w:right w:val="nil"/>
            </w:tcBorders>
            <w:noWrap/>
            <w:vAlign w:val="bottom"/>
            <w:hideMark/>
          </w:tcPr>
          <w:p w14:paraId="02A3CD04"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42</w:t>
            </w:r>
          </w:p>
        </w:tc>
        <w:tc>
          <w:tcPr>
            <w:tcW w:w="1559" w:type="dxa"/>
            <w:tcBorders>
              <w:top w:val="nil"/>
              <w:left w:val="nil"/>
              <w:bottom w:val="nil"/>
              <w:right w:val="nil"/>
            </w:tcBorders>
            <w:noWrap/>
            <w:vAlign w:val="bottom"/>
            <w:hideMark/>
          </w:tcPr>
          <w:p w14:paraId="60FCC76D"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26</w:t>
            </w:r>
          </w:p>
        </w:tc>
      </w:tr>
      <w:tr w:rsidR="006A08CB" w:rsidRPr="00DA42F5" w14:paraId="149C9AAC" w14:textId="77777777" w:rsidTr="006A08CB">
        <w:trPr>
          <w:trHeight w:val="300"/>
        </w:trPr>
        <w:tc>
          <w:tcPr>
            <w:tcW w:w="3119" w:type="dxa"/>
            <w:tcBorders>
              <w:top w:val="nil"/>
              <w:left w:val="nil"/>
              <w:bottom w:val="nil"/>
              <w:right w:val="nil"/>
            </w:tcBorders>
            <w:noWrap/>
            <w:vAlign w:val="bottom"/>
            <w:hideMark/>
          </w:tcPr>
          <w:p w14:paraId="0A7F0790"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No organism identification possible</w:t>
            </w:r>
          </w:p>
        </w:tc>
        <w:tc>
          <w:tcPr>
            <w:tcW w:w="1134" w:type="dxa"/>
            <w:tcBorders>
              <w:top w:val="nil"/>
              <w:left w:val="nil"/>
              <w:bottom w:val="nil"/>
              <w:right w:val="nil"/>
            </w:tcBorders>
            <w:noWrap/>
            <w:vAlign w:val="bottom"/>
            <w:hideMark/>
          </w:tcPr>
          <w:p w14:paraId="4651C59A"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20</w:t>
            </w:r>
          </w:p>
        </w:tc>
        <w:tc>
          <w:tcPr>
            <w:tcW w:w="1701" w:type="dxa"/>
            <w:tcBorders>
              <w:top w:val="nil"/>
              <w:left w:val="nil"/>
              <w:bottom w:val="nil"/>
              <w:right w:val="nil"/>
            </w:tcBorders>
            <w:noWrap/>
            <w:vAlign w:val="bottom"/>
            <w:hideMark/>
          </w:tcPr>
          <w:p w14:paraId="4A1677D1"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7</w:t>
            </w:r>
          </w:p>
        </w:tc>
        <w:tc>
          <w:tcPr>
            <w:tcW w:w="1843" w:type="dxa"/>
            <w:tcBorders>
              <w:top w:val="nil"/>
              <w:left w:val="nil"/>
              <w:bottom w:val="nil"/>
              <w:right w:val="nil"/>
            </w:tcBorders>
            <w:noWrap/>
            <w:vAlign w:val="bottom"/>
            <w:hideMark/>
          </w:tcPr>
          <w:p w14:paraId="5AFF62B8"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7</w:t>
            </w:r>
          </w:p>
        </w:tc>
        <w:tc>
          <w:tcPr>
            <w:tcW w:w="1559" w:type="dxa"/>
            <w:tcBorders>
              <w:top w:val="nil"/>
              <w:left w:val="nil"/>
              <w:bottom w:val="nil"/>
              <w:right w:val="nil"/>
            </w:tcBorders>
            <w:noWrap/>
            <w:vAlign w:val="bottom"/>
            <w:hideMark/>
          </w:tcPr>
          <w:p w14:paraId="127B05DD"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6</w:t>
            </w:r>
          </w:p>
        </w:tc>
      </w:tr>
      <w:tr w:rsidR="006A08CB" w:rsidRPr="00DA42F5" w14:paraId="79EB639B" w14:textId="77777777" w:rsidTr="006A08CB">
        <w:trPr>
          <w:trHeight w:val="300"/>
        </w:trPr>
        <w:tc>
          <w:tcPr>
            <w:tcW w:w="3119" w:type="dxa"/>
            <w:tcBorders>
              <w:top w:val="nil"/>
              <w:left w:val="nil"/>
              <w:bottom w:val="single" w:sz="4" w:space="0" w:color="auto"/>
              <w:right w:val="nil"/>
            </w:tcBorders>
            <w:noWrap/>
            <w:vAlign w:val="bottom"/>
            <w:hideMark/>
          </w:tcPr>
          <w:p w14:paraId="56E6727A" w14:textId="39DED9CF"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 xml:space="preserve">No growth after </w:t>
            </w:r>
            <w:r w:rsidR="00FE56A9" w:rsidRPr="00DA42F5">
              <w:rPr>
                <w:rFonts w:eastAsia="Times New Roman" w:cs="Times New Roman"/>
                <w:color w:val="000000"/>
                <w:sz w:val="20"/>
                <w:szCs w:val="20"/>
                <w:lang w:eastAsia="sl-SI"/>
              </w:rPr>
              <w:t>first re-streaking</w:t>
            </w:r>
          </w:p>
        </w:tc>
        <w:tc>
          <w:tcPr>
            <w:tcW w:w="1134" w:type="dxa"/>
            <w:tcBorders>
              <w:top w:val="nil"/>
              <w:left w:val="nil"/>
              <w:bottom w:val="single" w:sz="4" w:space="0" w:color="auto"/>
              <w:right w:val="nil"/>
            </w:tcBorders>
            <w:noWrap/>
            <w:vAlign w:val="bottom"/>
            <w:hideMark/>
          </w:tcPr>
          <w:p w14:paraId="61C2A2C9"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0</w:t>
            </w:r>
          </w:p>
        </w:tc>
        <w:tc>
          <w:tcPr>
            <w:tcW w:w="1701" w:type="dxa"/>
            <w:tcBorders>
              <w:top w:val="nil"/>
              <w:left w:val="nil"/>
              <w:bottom w:val="single" w:sz="4" w:space="0" w:color="auto"/>
              <w:right w:val="nil"/>
            </w:tcBorders>
            <w:noWrap/>
            <w:vAlign w:val="bottom"/>
            <w:hideMark/>
          </w:tcPr>
          <w:p w14:paraId="02EBEB84"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w:t>
            </w:r>
          </w:p>
        </w:tc>
        <w:tc>
          <w:tcPr>
            <w:tcW w:w="1843" w:type="dxa"/>
            <w:tcBorders>
              <w:top w:val="nil"/>
              <w:left w:val="nil"/>
              <w:bottom w:val="single" w:sz="4" w:space="0" w:color="auto"/>
              <w:right w:val="nil"/>
            </w:tcBorders>
            <w:noWrap/>
            <w:vAlign w:val="bottom"/>
            <w:hideMark/>
          </w:tcPr>
          <w:p w14:paraId="2FB6C90C"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19</w:t>
            </w:r>
          </w:p>
        </w:tc>
        <w:tc>
          <w:tcPr>
            <w:tcW w:w="1559" w:type="dxa"/>
            <w:tcBorders>
              <w:top w:val="nil"/>
              <w:left w:val="nil"/>
              <w:bottom w:val="single" w:sz="4" w:space="0" w:color="auto"/>
              <w:right w:val="nil"/>
            </w:tcBorders>
            <w:noWrap/>
            <w:vAlign w:val="bottom"/>
            <w:hideMark/>
          </w:tcPr>
          <w:p w14:paraId="124B9DA4" w14:textId="77777777" w:rsidR="002471F9" w:rsidRPr="00DA42F5" w:rsidRDefault="002471F9" w:rsidP="001E36D0">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25</w:t>
            </w:r>
          </w:p>
        </w:tc>
      </w:tr>
    </w:tbl>
    <w:p w14:paraId="7E62D99B" w14:textId="393F4A6B" w:rsidR="000848F8" w:rsidRPr="00DA42F5" w:rsidRDefault="00CD77AB" w:rsidP="002471F9">
      <w:pPr>
        <w:pStyle w:val="FigureTable"/>
      </w:pPr>
      <w:r w:rsidRPr="00DA42F5">
        <w:t xml:space="preserve"> </w:t>
      </w:r>
    </w:p>
    <w:p w14:paraId="43FA87B2" w14:textId="5B9C212D" w:rsidR="004D77C6" w:rsidRPr="00DA42F5" w:rsidRDefault="004D77C6" w:rsidP="004D77C6">
      <w:pPr>
        <w:pStyle w:val="Heading3"/>
        <w:numPr>
          <w:ilvl w:val="0"/>
          <w:numId w:val="0"/>
        </w:numPr>
        <w:ind w:left="720" w:hanging="720"/>
      </w:pPr>
      <w:bookmarkStart w:id="386" w:name="_Toc216099756"/>
      <w:bookmarkStart w:id="387" w:name="_Toc220591407"/>
      <w:r w:rsidRPr="00DA42F5">
        <w:t>4.1.2 Average nucleotide identity</w:t>
      </w:r>
      <w:r w:rsidR="007861E7" w:rsidRPr="00DA42F5">
        <w:t>, core SNPs analysis and pangenome construction</w:t>
      </w:r>
      <w:bookmarkEnd w:id="386"/>
      <w:bookmarkEnd w:id="387"/>
    </w:p>
    <w:p w14:paraId="5EF1AACE" w14:textId="77777777" w:rsidR="00006D53" w:rsidRDefault="00681828" w:rsidP="00CD77AB">
      <w:pPr>
        <w:rPr>
          <w:rFonts w:cs="Times New Roman"/>
          <w:szCs w:val="24"/>
        </w:rPr>
      </w:pPr>
      <w:r w:rsidRPr="00DA42F5">
        <w:t xml:space="preserve">We first </w:t>
      </w:r>
      <w:r w:rsidR="00DC1E07" w:rsidRPr="00DA42F5">
        <w:t>determin</w:t>
      </w:r>
      <w:r w:rsidRPr="00DA42F5">
        <w:t>ed</w:t>
      </w:r>
      <w:r w:rsidR="00DC1E07" w:rsidRPr="00DA42F5">
        <w:t xml:space="preserve"> pairwise average nucleotide identity </w:t>
      </w:r>
      <w:r w:rsidR="00CD0474" w:rsidRPr="00DA42F5">
        <w:t xml:space="preserve">(ANI) </w:t>
      </w:r>
      <w:r w:rsidR="00DC1E07" w:rsidRPr="00DA42F5">
        <w:t>between all obtained isolates (Figure 1</w:t>
      </w:r>
      <w:r w:rsidR="00CD0474" w:rsidRPr="00DA42F5">
        <w:t>7</w:t>
      </w:r>
      <w:r w:rsidR="00DC1E07" w:rsidRPr="00DA42F5">
        <w:t>).</w:t>
      </w:r>
      <w:r w:rsidR="00D53DA9" w:rsidRPr="00DA42F5">
        <w:t xml:space="preserve"> We </w:t>
      </w:r>
      <w:r w:rsidR="00CD0474" w:rsidRPr="00DA42F5">
        <w:t xml:space="preserve">observed two </w:t>
      </w:r>
      <w:r w:rsidR="00D53DA9" w:rsidRPr="00DA42F5">
        <w:t>genomes with ANI score</w:t>
      </w:r>
      <w:r w:rsidR="00CD0474" w:rsidRPr="00DA42F5">
        <w:t>s</w:t>
      </w:r>
      <w:r w:rsidR="00D53DA9" w:rsidRPr="00DA42F5">
        <w:t xml:space="preserve"> below 95%</w:t>
      </w:r>
      <w:r w:rsidR="00CD0474" w:rsidRPr="00DA42F5">
        <w:t>. O</w:t>
      </w:r>
      <w:r w:rsidR="00D53DA9" w:rsidRPr="00DA42F5">
        <w:t xml:space="preserve">ne was </w:t>
      </w:r>
      <w:r w:rsidR="00715E54" w:rsidRPr="00DA42F5">
        <w:t>identified</w:t>
      </w:r>
      <w:r w:rsidR="00D53DA9" w:rsidRPr="00DA42F5">
        <w:t xml:space="preserve"> as </w:t>
      </w:r>
      <w:r w:rsidR="00CD77AB" w:rsidRPr="00DA42F5">
        <w:rPr>
          <w:rFonts w:cs="Times New Roman"/>
          <w:i/>
          <w:iCs/>
          <w:szCs w:val="24"/>
        </w:rPr>
        <w:t xml:space="preserve">Clostridium </w:t>
      </w:r>
      <w:proofErr w:type="spellStart"/>
      <w:r w:rsidR="00CD77AB" w:rsidRPr="00DA42F5">
        <w:rPr>
          <w:rFonts w:cs="Times New Roman"/>
          <w:i/>
          <w:iCs/>
          <w:szCs w:val="24"/>
        </w:rPr>
        <w:t>paraputrificium</w:t>
      </w:r>
      <w:proofErr w:type="spellEnd"/>
      <w:r w:rsidR="00CD77AB" w:rsidRPr="00DA42F5">
        <w:rPr>
          <w:rFonts w:cs="Times New Roman"/>
          <w:szCs w:val="24"/>
        </w:rPr>
        <w:t xml:space="preserve">, while </w:t>
      </w:r>
      <w:r w:rsidR="00D53DA9" w:rsidRPr="00DA42F5">
        <w:rPr>
          <w:rFonts w:cs="Times New Roman"/>
          <w:szCs w:val="24"/>
        </w:rPr>
        <w:t>the other</w:t>
      </w:r>
      <w:r w:rsidR="00CD77AB" w:rsidRPr="00DA42F5">
        <w:rPr>
          <w:rFonts w:cs="Times New Roman"/>
          <w:szCs w:val="24"/>
        </w:rPr>
        <w:t xml:space="preserve"> was a mixed isolate of </w:t>
      </w:r>
      <w:r w:rsidR="00CD77AB" w:rsidRPr="00DA42F5">
        <w:rPr>
          <w:rFonts w:cs="Times New Roman"/>
          <w:i/>
          <w:iCs/>
          <w:szCs w:val="24"/>
        </w:rPr>
        <w:t xml:space="preserve">C. </w:t>
      </w:r>
      <w:proofErr w:type="spellStart"/>
      <w:r w:rsidR="00CD77AB" w:rsidRPr="00DA42F5">
        <w:rPr>
          <w:rFonts w:cs="Times New Roman"/>
          <w:i/>
          <w:iCs/>
          <w:szCs w:val="24"/>
        </w:rPr>
        <w:t>paraputrificium</w:t>
      </w:r>
      <w:proofErr w:type="spellEnd"/>
      <w:r w:rsidR="00CD77AB" w:rsidRPr="00DA42F5">
        <w:rPr>
          <w:rFonts w:cs="Times New Roman"/>
          <w:i/>
          <w:iCs/>
          <w:szCs w:val="24"/>
        </w:rPr>
        <w:t xml:space="preserve"> </w:t>
      </w:r>
      <w:r w:rsidR="00CD77AB" w:rsidRPr="00DA42F5">
        <w:rPr>
          <w:rFonts w:cs="Times New Roman"/>
          <w:szCs w:val="24"/>
        </w:rPr>
        <w:t xml:space="preserve">and </w:t>
      </w:r>
      <w:r w:rsidR="00CD77AB" w:rsidRPr="00DA42F5">
        <w:rPr>
          <w:rFonts w:cs="Times New Roman"/>
          <w:i/>
          <w:iCs/>
          <w:szCs w:val="24"/>
        </w:rPr>
        <w:t>C. saudiense</w:t>
      </w:r>
      <w:r w:rsidR="00CD0474" w:rsidRPr="00DA42F5">
        <w:rPr>
          <w:rFonts w:cs="Times New Roman"/>
          <w:szCs w:val="24"/>
        </w:rPr>
        <w:t>. These</w:t>
      </w:r>
      <w:r w:rsidR="00CD77AB" w:rsidRPr="00DA42F5">
        <w:rPr>
          <w:rFonts w:cs="Times New Roman"/>
          <w:szCs w:val="24"/>
        </w:rPr>
        <w:t xml:space="preserve"> were excluded from the analysis. </w:t>
      </w:r>
    </w:p>
    <w:p w14:paraId="0D42229A" w14:textId="14717066" w:rsidR="00D53DA9" w:rsidRPr="00DA42F5" w:rsidRDefault="00CD77AB" w:rsidP="00CD77AB">
      <w:pPr>
        <w:rPr>
          <w:rFonts w:cs="Times New Roman"/>
          <w:szCs w:val="24"/>
        </w:rPr>
      </w:pPr>
      <w:r w:rsidRPr="00DA42F5">
        <w:rPr>
          <w:rFonts w:cs="Times New Roman"/>
          <w:szCs w:val="24"/>
        </w:rPr>
        <w:lastRenderedPageBreak/>
        <w:t xml:space="preserve">We determined </w:t>
      </w:r>
      <w:r w:rsidR="00CD0474" w:rsidRPr="00DA42F5">
        <w:rPr>
          <w:rFonts w:cs="Times New Roman"/>
          <w:szCs w:val="24"/>
        </w:rPr>
        <w:t xml:space="preserve">the </w:t>
      </w:r>
      <w:r w:rsidRPr="00DA42F5">
        <w:rPr>
          <w:rFonts w:cs="Times New Roman"/>
          <w:szCs w:val="24"/>
        </w:rPr>
        <w:t xml:space="preserve">strain break after pairwise comparisons of all </w:t>
      </w:r>
      <w:r w:rsidRPr="00DA42F5">
        <w:rPr>
          <w:rFonts w:cs="Times New Roman"/>
          <w:i/>
          <w:iCs/>
          <w:szCs w:val="24"/>
        </w:rPr>
        <w:t>C. saudiense</w:t>
      </w:r>
      <w:r w:rsidRPr="00DA42F5">
        <w:rPr>
          <w:rFonts w:cs="Times New Roman"/>
          <w:szCs w:val="24"/>
        </w:rPr>
        <w:t xml:space="preserve"> </w:t>
      </w:r>
      <w:r w:rsidR="00CD0474" w:rsidRPr="00DA42F5">
        <w:rPr>
          <w:rFonts w:cs="Times New Roman"/>
          <w:szCs w:val="24"/>
        </w:rPr>
        <w:t xml:space="preserve">genomes </w:t>
      </w:r>
      <w:r w:rsidRPr="00DA42F5">
        <w:rPr>
          <w:rFonts w:cs="Times New Roman"/>
          <w:szCs w:val="24"/>
        </w:rPr>
        <w:t>to be 99.</w:t>
      </w:r>
      <w:r w:rsidR="00D53DA9" w:rsidRPr="00DA42F5">
        <w:rPr>
          <w:rFonts w:cs="Times New Roman"/>
          <w:szCs w:val="24"/>
        </w:rPr>
        <w:t>9</w:t>
      </w:r>
      <w:r w:rsidRPr="00DA42F5">
        <w:rPr>
          <w:rFonts w:cs="Times New Roman"/>
          <w:szCs w:val="24"/>
        </w:rPr>
        <w:t>8%</w:t>
      </w:r>
      <w:r w:rsidR="0081529F" w:rsidRPr="00DA42F5">
        <w:rPr>
          <w:rFonts w:cs="Times New Roman"/>
          <w:szCs w:val="24"/>
        </w:rPr>
        <w:t xml:space="preserve">. Using a similarity network analysis based on </w:t>
      </w:r>
      <w:r w:rsidR="00727CBA" w:rsidRPr="00DA42F5">
        <w:rPr>
          <w:rFonts w:cs="Times New Roman"/>
          <w:szCs w:val="24"/>
        </w:rPr>
        <w:t>pairwise</w:t>
      </w:r>
      <w:r w:rsidR="0081529F" w:rsidRPr="00DA42F5">
        <w:rPr>
          <w:rFonts w:cs="Times New Roman"/>
          <w:szCs w:val="24"/>
        </w:rPr>
        <w:t xml:space="preserve"> ANI scores, we </w:t>
      </w:r>
      <w:r w:rsidR="005330D0" w:rsidRPr="00DA42F5">
        <w:rPr>
          <w:rFonts w:cs="Times New Roman"/>
          <w:szCs w:val="24"/>
        </w:rPr>
        <w:t>identified</w:t>
      </w:r>
      <w:r w:rsidR="0081529F" w:rsidRPr="00DA42F5">
        <w:rPr>
          <w:rFonts w:cs="Times New Roman"/>
          <w:szCs w:val="24"/>
        </w:rPr>
        <w:t xml:space="preserve"> </w:t>
      </w:r>
      <w:r w:rsidR="00CD0474" w:rsidRPr="00DA42F5">
        <w:rPr>
          <w:rFonts w:cs="Times New Roman"/>
          <w:szCs w:val="24"/>
        </w:rPr>
        <w:t>four</w:t>
      </w:r>
      <w:r w:rsidRPr="00DA42F5">
        <w:rPr>
          <w:rFonts w:cs="Times New Roman"/>
          <w:szCs w:val="24"/>
        </w:rPr>
        <w:t xml:space="preserve"> strain groups</w:t>
      </w:r>
      <w:r w:rsidR="00CD0474" w:rsidRPr="00DA42F5">
        <w:rPr>
          <w:rFonts w:cs="Times New Roman"/>
          <w:szCs w:val="24"/>
        </w:rPr>
        <w:t>,</w:t>
      </w:r>
      <w:r w:rsidRPr="00DA42F5">
        <w:rPr>
          <w:rFonts w:cs="Times New Roman"/>
          <w:szCs w:val="24"/>
        </w:rPr>
        <w:t xml:space="preserve"> with one genome </w:t>
      </w:r>
      <w:r w:rsidR="00CD0474" w:rsidRPr="00DA42F5">
        <w:rPr>
          <w:rFonts w:cs="Times New Roman"/>
          <w:szCs w:val="24"/>
        </w:rPr>
        <w:t>determined</w:t>
      </w:r>
      <w:r w:rsidRPr="00DA42F5">
        <w:rPr>
          <w:rFonts w:cs="Times New Roman"/>
          <w:szCs w:val="24"/>
        </w:rPr>
        <w:t xml:space="preserve"> a singleton.</w:t>
      </w:r>
      <w:r w:rsidR="00715E54" w:rsidRPr="00DA42F5">
        <w:t xml:space="preserve"> </w:t>
      </w:r>
      <w:r w:rsidR="00715E54" w:rsidRPr="00DA42F5">
        <w:rPr>
          <w:rFonts w:cs="Times New Roman"/>
          <w:szCs w:val="24"/>
        </w:rPr>
        <w:t>These ANI‑defined groups were confirmed by a neighbour‑joining tree built from core genome SNPs.</w:t>
      </w:r>
    </w:p>
    <w:p w14:paraId="11E0F9EB" w14:textId="77777777" w:rsidR="00E9210E" w:rsidRPr="00DA42F5" w:rsidRDefault="00D53DA9" w:rsidP="00E9210E">
      <w:pPr>
        <w:keepNext/>
      </w:pPr>
      <w:r w:rsidRPr="00DA42F5">
        <w:rPr>
          <w:rFonts w:cs="Times New Roman"/>
          <w:noProof/>
          <w:szCs w:val="24"/>
        </w:rPr>
        <w:drawing>
          <wp:inline distT="0" distB="0" distL="0" distR="0" wp14:anchorId="17D40C18" wp14:editId="796B30F2">
            <wp:extent cx="5943600" cy="3564890"/>
            <wp:effectExtent l="0" t="0" r="0" b="0"/>
            <wp:docPr id="742381698" name="Picture 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1698" name="Picture 1" descr="A graph of a graph showing a number of number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p>
    <w:p w14:paraId="7EE072E0" w14:textId="046D2EDF" w:rsidR="00E9210E" w:rsidRPr="00DA42F5" w:rsidRDefault="00E9210E" w:rsidP="00E9210E">
      <w:pPr>
        <w:pStyle w:val="Caption"/>
        <w:rPr>
          <w:b w:val="0"/>
          <w:bCs/>
        </w:rPr>
      </w:pPr>
      <w:bookmarkStart w:id="388" w:name="_Toc216101631"/>
      <w:r w:rsidRPr="00DA42F5">
        <w:t xml:space="preserve">Figure </w:t>
      </w:r>
      <w:r w:rsidRPr="00DA42F5">
        <w:fldChar w:fldCharType="begin"/>
      </w:r>
      <w:r w:rsidRPr="00DA42F5">
        <w:instrText xml:space="preserve"> SEQ Figure \* ARABIC </w:instrText>
      </w:r>
      <w:r w:rsidRPr="00DA42F5">
        <w:fldChar w:fldCharType="separate"/>
      </w:r>
      <w:r w:rsidR="00C11001">
        <w:rPr>
          <w:noProof/>
        </w:rPr>
        <w:t>17</w:t>
      </w:r>
      <w:r w:rsidRPr="00DA42F5">
        <w:fldChar w:fldCharType="end"/>
      </w:r>
      <w:r w:rsidRPr="00DA42F5">
        <w:t xml:space="preserve">. </w:t>
      </w:r>
      <w:r w:rsidR="00503055" w:rsidRPr="00DA42F5">
        <w:t>P</w:t>
      </w:r>
      <w:r w:rsidRPr="00DA42F5">
        <w:t xml:space="preserve">airwise average nucleotide identity comparison for all isolate genomes determined as </w:t>
      </w:r>
      <w:r w:rsidRPr="00DA42F5">
        <w:rPr>
          <w:i/>
          <w:iCs w:val="0"/>
        </w:rPr>
        <w:t xml:space="preserve">C. saudiense. </w:t>
      </w:r>
      <w:r w:rsidRPr="00DA42F5">
        <w:rPr>
          <w:b w:val="0"/>
          <w:bCs/>
        </w:rPr>
        <w:t xml:space="preserve">Average nucleotide identity was calculated with </w:t>
      </w:r>
      <w:proofErr w:type="spellStart"/>
      <w:r w:rsidRPr="00DA42F5">
        <w:rPr>
          <w:b w:val="0"/>
          <w:bCs/>
        </w:rPr>
        <w:t>pyANI</w:t>
      </w:r>
      <w:proofErr w:type="spellEnd"/>
      <w:r w:rsidRPr="00DA42F5">
        <w:rPr>
          <w:b w:val="0"/>
          <w:bCs/>
        </w:rPr>
        <w:t xml:space="preserve">-plus program utilizing the ANI blast program, but also </w:t>
      </w:r>
      <w:proofErr w:type="spellStart"/>
      <w:r w:rsidRPr="00DA42F5">
        <w:rPr>
          <w:b w:val="0"/>
          <w:bCs/>
        </w:rPr>
        <w:t>ANIm</w:t>
      </w:r>
      <w:proofErr w:type="spellEnd"/>
      <w:r w:rsidRPr="00DA42F5">
        <w:rPr>
          <w:b w:val="0"/>
          <w:bCs/>
        </w:rPr>
        <w:t xml:space="preserve"> and </w:t>
      </w:r>
      <w:proofErr w:type="spellStart"/>
      <w:r w:rsidRPr="00DA42F5">
        <w:rPr>
          <w:b w:val="0"/>
          <w:bCs/>
        </w:rPr>
        <w:t>sourmash</w:t>
      </w:r>
      <w:proofErr w:type="spellEnd"/>
      <w:r w:rsidRPr="00DA42F5">
        <w:rPr>
          <w:b w:val="0"/>
          <w:bCs/>
        </w:rPr>
        <w:t xml:space="preserve"> (Supplement Figure 1</w:t>
      </w:r>
      <w:ins w:id="389" w:author="Urša Miklavčič" w:date="2026-01-29T14:51:00Z" w16du:dateUtc="2026-01-29T13:51:00Z">
        <w:r w:rsidR="00ED4887">
          <w:rPr>
            <w:b w:val="0"/>
            <w:bCs/>
          </w:rPr>
          <w:t>7</w:t>
        </w:r>
      </w:ins>
      <w:del w:id="390" w:author="Urša Miklavčič" w:date="2026-01-29T14:51:00Z" w16du:dateUtc="2026-01-29T13:51:00Z">
        <w:r w:rsidR="00503055" w:rsidRPr="00DA42F5" w:rsidDel="00ED4887">
          <w:rPr>
            <w:b w:val="0"/>
            <w:bCs/>
          </w:rPr>
          <w:delText>5</w:delText>
        </w:r>
      </w:del>
      <w:r w:rsidRPr="00DA42F5">
        <w:rPr>
          <w:b w:val="0"/>
          <w:bCs/>
        </w:rPr>
        <w:t>, 1</w:t>
      </w:r>
      <w:ins w:id="391" w:author="Urša Miklavčič" w:date="2026-01-29T14:51:00Z" w16du:dateUtc="2026-01-29T13:51:00Z">
        <w:r w:rsidR="00ED4887">
          <w:rPr>
            <w:b w:val="0"/>
            <w:bCs/>
          </w:rPr>
          <w:t>8</w:t>
        </w:r>
      </w:ins>
      <w:del w:id="392" w:author="Urša Miklavčič" w:date="2026-01-29T14:51:00Z" w16du:dateUtc="2026-01-29T13:51:00Z">
        <w:r w:rsidR="00503055" w:rsidRPr="00DA42F5" w:rsidDel="00ED4887">
          <w:rPr>
            <w:b w:val="0"/>
            <w:bCs/>
          </w:rPr>
          <w:delText>6</w:delText>
        </w:r>
      </w:del>
      <w:r w:rsidRPr="00DA42F5">
        <w:rPr>
          <w:b w:val="0"/>
          <w:bCs/>
        </w:rPr>
        <w:t>).</w:t>
      </w:r>
      <w:bookmarkEnd w:id="388"/>
      <w:r w:rsidRPr="00DA42F5">
        <w:rPr>
          <w:b w:val="0"/>
          <w:bCs/>
        </w:rPr>
        <w:t xml:space="preserve">  </w:t>
      </w:r>
    </w:p>
    <w:p w14:paraId="7EDE7035" w14:textId="762FF5A7" w:rsidR="00006D53" w:rsidRDefault="00715E54" w:rsidP="005820FC">
      <w:pPr>
        <w:rPr>
          <w:ins w:id="393" w:author="Urša Miklavčič" w:date="2026-01-28T15:50:00Z" w16du:dateUtc="2026-01-28T14:50:00Z"/>
        </w:rPr>
      </w:pPr>
      <w:r w:rsidRPr="00DA42F5">
        <w:t xml:space="preserve">From </w:t>
      </w:r>
      <w:r w:rsidR="00D03BA6" w:rsidRPr="00DA42F5">
        <w:t xml:space="preserve">each of the </w:t>
      </w:r>
      <w:r w:rsidRPr="00DA42F5">
        <w:t xml:space="preserve">five strain groups, one representative genome with high coverage and fewest contigs was selected and re‑sequenced on an Oxford Nanopore </w:t>
      </w:r>
      <w:proofErr w:type="spellStart"/>
      <w:r w:rsidRPr="00DA42F5">
        <w:t>MinION</w:t>
      </w:r>
      <w:proofErr w:type="spellEnd"/>
      <w:r w:rsidRPr="00DA42F5">
        <w:t xml:space="preserve"> to obtain long reads</w:t>
      </w:r>
      <w:r w:rsidR="00503055" w:rsidRPr="00DA42F5">
        <w:t xml:space="preserve"> </w:t>
      </w:r>
      <w:r w:rsidRPr="00DA42F5">
        <w:t xml:space="preserve">(Supplement Table 5). </w:t>
      </w:r>
      <w:r w:rsidRPr="00DA42F5">
        <w:rPr>
          <w:rFonts w:cs="Times New Roman"/>
          <w:szCs w:val="24"/>
        </w:rPr>
        <w:t xml:space="preserve">SNP analysis was repeated using genome </w:t>
      </w:r>
      <w:proofErr w:type="spellStart"/>
      <w:r w:rsidRPr="00DA42F5">
        <w:rPr>
          <w:rFonts w:cs="Times New Roman"/>
          <w:szCs w:val="24"/>
        </w:rPr>
        <w:t>H00</w:t>
      </w:r>
      <w:r w:rsidR="00665D44">
        <w:rPr>
          <w:rFonts w:cs="Times New Roman"/>
          <w:szCs w:val="24"/>
        </w:rPr>
        <w:t>9</w:t>
      </w:r>
      <w:r w:rsidRPr="00DA42F5">
        <w:rPr>
          <w:rFonts w:cs="Times New Roman"/>
          <w:szCs w:val="24"/>
        </w:rPr>
        <w:t>_</w:t>
      </w:r>
      <w:r w:rsidR="00665D44">
        <w:rPr>
          <w:rFonts w:cs="Times New Roman"/>
          <w:szCs w:val="24"/>
        </w:rPr>
        <w:t>221</w:t>
      </w:r>
      <w:proofErr w:type="spellEnd"/>
      <w:r w:rsidRPr="00DA42F5">
        <w:rPr>
          <w:rFonts w:cs="Times New Roman"/>
          <w:szCs w:val="24"/>
        </w:rPr>
        <w:t xml:space="preserve"> as the reference, as it had the fewest contigs.</w:t>
      </w:r>
      <w:r w:rsidRPr="00DA42F5">
        <w:t xml:space="preserve"> The resulting </w:t>
      </w:r>
      <w:ins w:id="394" w:author="Urša Miklavčič" w:date="2026-01-28T15:48:00Z" w16du:dateUtc="2026-01-28T14:48:00Z">
        <w:r w:rsidR="00006D53">
          <w:t xml:space="preserve">phylogenetic tree based on </w:t>
        </w:r>
      </w:ins>
      <w:ins w:id="395" w:author="Urša Miklavčič" w:date="2026-01-28T15:49:00Z" w16du:dateUtc="2026-01-28T14:49:00Z">
        <w:r w:rsidR="00006D53">
          <w:t xml:space="preserve">SNPs in the </w:t>
        </w:r>
      </w:ins>
      <w:r w:rsidRPr="00DA42F5">
        <w:t>core</w:t>
      </w:r>
      <w:ins w:id="396" w:author="Urša Miklavčič" w:date="2026-01-28T15:49:00Z" w16du:dateUtc="2026-01-28T14:49:00Z">
        <w:r w:rsidR="00006D53">
          <w:t xml:space="preserve"> </w:t>
        </w:r>
      </w:ins>
      <w:del w:id="397" w:author="Urša Miklavčič" w:date="2026-01-28T15:49:00Z" w16du:dateUtc="2026-01-28T14:49:00Z">
        <w:r w:rsidRPr="00DA42F5" w:rsidDel="00006D53">
          <w:delText>‑</w:delText>
        </w:r>
      </w:del>
      <w:r w:rsidRPr="00DA42F5">
        <w:t>genome</w:t>
      </w:r>
      <w:del w:id="398" w:author="Urša Miklavčič" w:date="2026-01-28T15:49:00Z" w16du:dateUtc="2026-01-28T14:49:00Z">
        <w:r w:rsidRPr="00DA42F5" w:rsidDel="00006D53">
          <w:delText xml:space="preserve"> SNP tree</w:delText>
        </w:r>
      </w:del>
      <w:r w:rsidRPr="00DA42F5">
        <w:t xml:space="preserve"> resolved six strains </w:t>
      </w:r>
      <w:ins w:id="399" w:author="Urša Miklavčič" w:date="2026-01-21T10:42:00Z" w16du:dateUtc="2026-01-21T09:42:00Z">
        <w:r w:rsidR="00665D44">
          <w:t xml:space="preserve">and a singleton </w:t>
        </w:r>
      </w:ins>
      <w:r w:rsidRPr="00DA42F5">
        <w:t>(Figure 1</w:t>
      </w:r>
      <w:r w:rsidR="00503055" w:rsidRPr="00DA42F5">
        <w:t>8</w:t>
      </w:r>
      <w:r w:rsidRPr="00DA42F5">
        <w:t xml:space="preserve">). </w:t>
      </w:r>
      <w:ins w:id="400" w:author="Urša Miklavčič" w:date="2026-01-28T15:50:00Z" w16du:dateUtc="2026-01-28T14:50:00Z">
        <w:r w:rsidR="00006D53" w:rsidRPr="00DA42F5">
          <w:t xml:space="preserve">A phylogeny based on </w:t>
        </w:r>
        <w:r w:rsidR="00006D53">
          <w:t>core</w:t>
        </w:r>
        <w:r w:rsidR="00006D53" w:rsidRPr="00DA42F5">
          <w:t xml:space="preserve"> genes confirmed this grouping</w:t>
        </w:r>
        <w:r w:rsidR="00006D53">
          <w:t xml:space="preserve"> and s</w:t>
        </w:r>
      </w:ins>
      <w:ins w:id="401" w:author="Urša Miklavčič" w:date="2026-01-28T15:51:00Z" w16du:dateUtc="2026-01-28T14:51:00Z">
        <w:r w:rsidR="00006D53">
          <w:t xml:space="preserve">o did the accessory </w:t>
        </w:r>
        <w:proofErr w:type="gramStart"/>
        <w:r w:rsidR="00006D53">
          <w:t xml:space="preserve">genes </w:t>
        </w:r>
      </w:ins>
      <w:ins w:id="402" w:author="Urša Miklavčič" w:date="2026-01-28T15:50:00Z" w16du:dateUtc="2026-01-28T14:50:00Z">
        <w:r w:rsidR="00006D53" w:rsidRPr="00DA42F5">
          <w:t xml:space="preserve"> (</w:t>
        </w:r>
        <w:proofErr w:type="gramEnd"/>
        <w:r w:rsidR="00006D53" w:rsidRPr="00DA42F5">
          <w:t>Supplement Figure 1</w:t>
        </w:r>
      </w:ins>
      <w:ins w:id="403" w:author="Urša Miklavčič" w:date="2026-01-29T14:51:00Z" w16du:dateUtc="2026-01-29T13:51:00Z">
        <w:r w:rsidR="00ED4887">
          <w:t>9</w:t>
        </w:r>
      </w:ins>
      <w:ins w:id="404" w:author="Urša Miklavčič" w:date="2026-01-28T15:50:00Z" w16du:dateUtc="2026-01-28T14:50:00Z">
        <w:r w:rsidR="00006D53" w:rsidRPr="00DA42F5">
          <w:t>).</w:t>
        </w:r>
        <w:r w:rsidR="00006D53">
          <w:t xml:space="preserve"> </w:t>
        </w:r>
      </w:ins>
    </w:p>
    <w:p w14:paraId="02BC43B3" w14:textId="70DD8FB1" w:rsidR="00D03BA6" w:rsidRPr="00DA42F5" w:rsidRDefault="00715E54" w:rsidP="005820FC">
      <w:pPr>
        <w:rPr>
          <w:ins w:id="405" w:author="Maja Rupnik" w:date="2026-01-20T16:34:00Z" w16du:dateUtc="2026-01-20T15:34:00Z"/>
        </w:rPr>
      </w:pPr>
      <w:commentRangeStart w:id="406"/>
      <w:proofErr w:type="spellStart"/>
      <w:r w:rsidRPr="00DA42F5">
        <w:t>Strain</w:t>
      </w:r>
      <w:ins w:id="407" w:author="Urša Miklavčič" w:date="2026-01-21T10:36:00Z" w16du:dateUtc="2026-01-21T09:36:00Z">
        <w:r w:rsidR="00C65827">
          <w:t>s</w:t>
        </w:r>
      </w:ins>
      <w:del w:id="408" w:author="Urša Miklavčič" w:date="2026-01-21T10:36:00Z" w16du:dateUtc="2026-01-21T09:36:00Z">
        <w:r w:rsidRPr="00DA42F5" w:rsidDel="00C65827">
          <w:delText xml:space="preserve"> groups </w:delText>
        </w:r>
        <w:commentRangeEnd w:id="406"/>
        <w:r w:rsidR="00D03BA6" w:rsidRPr="00DA42F5" w:rsidDel="00C65827">
          <w:rPr>
            <w:rStyle w:val="CommentReference"/>
          </w:rPr>
          <w:commentReference w:id="406"/>
        </w:r>
      </w:del>
      <w:r w:rsidRPr="00DA42F5">
        <w:t>1</w:t>
      </w:r>
      <w:proofErr w:type="spellEnd"/>
      <w:r w:rsidRPr="00DA42F5">
        <w:t xml:space="preserve">, </w:t>
      </w:r>
      <w:proofErr w:type="spellStart"/>
      <w:r w:rsidRPr="00DA42F5">
        <w:t>2a</w:t>
      </w:r>
      <w:proofErr w:type="spellEnd"/>
      <w:r w:rsidRPr="00DA42F5">
        <w:t xml:space="preserve">, 3, and 4 were detected at only one of the three time points, whereas strain </w:t>
      </w:r>
      <w:proofErr w:type="spellStart"/>
      <w:r w:rsidRPr="00DA42F5">
        <w:t>2c</w:t>
      </w:r>
      <w:proofErr w:type="spellEnd"/>
      <w:r w:rsidRPr="00DA42F5">
        <w:t xml:space="preserve"> was present before and during, but not after</w:t>
      </w:r>
      <w:ins w:id="409" w:author="Urša Miklavčič" w:date="2026-01-21T10:42:00Z" w16du:dateUtc="2026-01-21T09:42:00Z">
        <w:r w:rsidR="00665D44">
          <w:t xml:space="preserve"> </w:t>
        </w:r>
      </w:ins>
      <w:del w:id="410" w:author="Urša Miklavčič" w:date="2026-01-21T10:42:00Z" w16du:dateUtc="2026-01-21T09:42:00Z">
        <w:r w:rsidRPr="00DA42F5" w:rsidDel="00665D44">
          <w:delText xml:space="preserve">, </w:delText>
        </w:r>
      </w:del>
      <w:r w:rsidRPr="00DA42F5">
        <w:t xml:space="preserve">antibiotic treatment. Only strain </w:t>
      </w:r>
      <w:proofErr w:type="spellStart"/>
      <w:r w:rsidRPr="00DA42F5">
        <w:t>2b</w:t>
      </w:r>
      <w:proofErr w:type="spellEnd"/>
      <w:r w:rsidRPr="00DA42F5">
        <w:t xml:space="preserve"> was observed at all three time points. </w:t>
      </w:r>
    </w:p>
    <w:p w14:paraId="5B7F4BD5" w14:textId="6A5ED679" w:rsidR="00715E54" w:rsidRPr="00DA42F5" w:rsidRDefault="00715E54" w:rsidP="005820FC">
      <w:del w:id="411" w:author="Urša Miklavčič" w:date="2026-01-28T15:50:00Z" w16du:dateUtc="2026-01-28T14:50:00Z">
        <w:r w:rsidRPr="00DA42F5" w:rsidDel="00006D53">
          <w:delText xml:space="preserve">A phylogeny based on genes </w:delText>
        </w:r>
        <w:r w:rsidR="00503055" w:rsidRPr="00DA42F5" w:rsidDel="00006D53">
          <w:delText>confirmed</w:delText>
        </w:r>
        <w:r w:rsidRPr="00DA42F5" w:rsidDel="00006D53">
          <w:delText xml:space="preserve"> </w:delText>
        </w:r>
        <w:r w:rsidR="00503055" w:rsidRPr="00DA42F5" w:rsidDel="00006D53">
          <w:delText xml:space="preserve">this </w:delText>
        </w:r>
        <w:r w:rsidRPr="00DA42F5" w:rsidDel="00006D53">
          <w:delText>grouping (Supplement Figure 1</w:delText>
        </w:r>
        <w:r w:rsidR="00503055" w:rsidRPr="00DA42F5" w:rsidDel="00006D53">
          <w:delText>7</w:delText>
        </w:r>
        <w:r w:rsidRPr="00DA42F5" w:rsidDel="00006D53">
          <w:delText xml:space="preserve">). </w:delText>
        </w:r>
      </w:del>
      <w:r w:rsidRPr="00DA42F5">
        <w:t>No new bacteriophages or other mobile genetic elements were acquired during the 60‑day interval between the first and last sample</w:t>
      </w:r>
      <w:r w:rsidR="00D03BA6" w:rsidRPr="00DA42F5">
        <w:t xml:space="preserve"> in none of the strains</w:t>
      </w:r>
      <w:r w:rsidRPr="00DA42F5">
        <w:t>.</w:t>
      </w:r>
      <w:ins w:id="412" w:author="Urša Miklavčič" w:date="2026-01-21T15:00:00Z" w16du:dateUtc="2026-01-21T14:00:00Z">
        <w:r w:rsidR="007660BE">
          <w:t xml:space="preserve"> </w:t>
        </w:r>
      </w:ins>
    </w:p>
    <w:p w14:paraId="0685F9C0" w14:textId="77777777" w:rsidR="00E9210E" w:rsidRPr="00DA42F5" w:rsidRDefault="004D2FBF" w:rsidP="00E9210E">
      <w:pPr>
        <w:keepNext/>
      </w:pPr>
      <w:r w:rsidRPr="00DA42F5">
        <w:rPr>
          <w:rFonts w:cs="Times New Roman"/>
          <w:noProof/>
          <w:szCs w:val="24"/>
        </w:rPr>
        <w:lastRenderedPageBreak/>
        <w:drawing>
          <wp:inline distT="0" distB="0" distL="0" distR="0" wp14:anchorId="2C12E8D6" wp14:editId="05AB6667">
            <wp:extent cx="4907280" cy="7190125"/>
            <wp:effectExtent l="0" t="0" r="7620" b="0"/>
            <wp:docPr id="965960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16476" cy="7203599"/>
                    </a:xfrm>
                    <a:prstGeom prst="rect">
                      <a:avLst/>
                    </a:prstGeom>
                    <a:noFill/>
                    <a:ln>
                      <a:noFill/>
                    </a:ln>
                  </pic:spPr>
                </pic:pic>
              </a:graphicData>
            </a:graphic>
          </wp:inline>
        </w:drawing>
      </w:r>
    </w:p>
    <w:p w14:paraId="709DD96F" w14:textId="2B31DAFC" w:rsidR="00CD77AB" w:rsidRPr="00DA42F5" w:rsidRDefault="00E9210E" w:rsidP="00E9210E">
      <w:pPr>
        <w:pStyle w:val="Caption"/>
        <w:rPr>
          <w:rFonts w:cs="Times New Roman"/>
          <w:b w:val="0"/>
          <w:bCs/>
          <w:szCs w:val="24"/>
        </w:rPr>
      </w:pPr>
      <w:bookmarkStart w:id="413" w:name="_Toc216101632"/>
      <w:r w:rsidRPr="00DA42F5">
        <w:t xml:space="preserve">Figure </w:t>
      </w:r>
      <w:r w:rsidRPr="00DA42F5">
        <w:fldChar w:fldCharType="begin"/>
      </w:r>
      <w:r w:rsidRPr="00DA42F5">
        <w:instrText xml:space="preserve"> SEQ Figure \* ARABIC </w:instrText>
      </w:r>
      <w:r w:rsidRPr="00DA42F5">
        <w:fldChar w:fldCharType="separate"/>
      </w:r>
      <w:r w:rsidR="00C11001">
        <w:rPr>
          <w:noProof/>
        </w:rPr>
        <w:t>18</w:t>
      </w:r>
      <w:r w:rsidRPr="00DA42F5">
        <w:fldChar w:fldCharType="end"/>
      </w:r>
      <w:r w:rsidRPr="00DA42F5">
        <w:t xml:space="preserve">. Phylogenetic </w:t>
      </w:r>
      <w:r w:rsidR="00503055" w:rsidRPr="00DA42F5">
        <w:t xml:space="preserve">tree constructed with </w:t>
      </w:r>
      <w:r w:rsidRPr="00DA42F5">
        <w:t xml:space="preserve">neighbour-joining </w:t>
      </w:r>
      <w:r w:rsidR="00503055" w:rsidRPr="00DA42F5">
        <w:t>algorithm</w:t>
      </w:r>
      <w:r w:rsidRPr="00DA42F5">
        <w:t xml:space="preserve"> based on core genome SNPs. </w:t>
      </w:r>
      <w:r w:rsidR="005820FC" w:rsidRPr="00DA42F5">
        <w:rPr>
          <w:b w:val="0"/>
          <w:bCs/>
        </w:rPr>
        <w:t>Coloured squares represent time point from which the isolate was obtained.</w:t>
      </w:r>
      <w:bookmarkEnd w:id="413"/>
      <w:r w:rsidR="005820FC" w:rsidRPr="00DA42F5">
        <w:rPr>
          <w:b w:val="0"/>
          <w:bCs/>
        </w:rPr>
        <w:t xml:space="preserve"> </w:t>
      </w:r>
    </w:p>
    <w:p w14:paraId="5A01A9FE" w14:textId="77777777" w:rsidR="000E622D" w:rsidRPr="00DA42F5" w:rsidRDefault="000E622D" w:rsidP="00CD77AB">
      <w:pPr>
        <w:rPr>
          <w:rFonts w:cs="Times New Roman"/>
          <w:bCs/>
          <w:szCs w:val="24"/>
        </w:rPr>
      </w:pPr>
    </w:p>
    <w:p w14:paraId="74F881AC" w14:textId="45B5B0E9" w:rsidR="00416D96" w:rsidRPr="00DA42F5" w:rsidRDefault="001E2B98" w:rsidP="00416D96">
      <w:pPr>
        <w:pStyle w:val="Heading3"/>
        <w:numPr>
          <w:ilvl w:val="2"/>
          <w:numId w:val="32"/>
        </w:numPr>
      </w:pPr>
      <w:bookmarkStart w:id="414" w:name="_Toc216099757"/>
      <w:bookmarkStart w:id="415" w:name="_Toc220591408"/>
      <w:r w:rsidRPr="00DA42F5">
        <w:lastRenderedPageBreak/>
        <w:t xml:space="preserve">Shotgun metagenomic analysis of </w:t>
      </w:r>
      <w:r w:rsidRPr="00DA42F5">
        <w:rPr>
          <w:i/>
          <w:iCs/>
        </w:rPr>
        <w:t>C. saudiense</w:t>
      </w:r>
      <w:bookmarkEnd w:id="414"/>
      <w:bookmarkEnd w:id="415"/>
      <w:r w:rsidRPr="00DA42F5">
        <w:t xml:space="preserve"> </w:t>
      </w:r>
    </w:p>
    <w:p w14:paraId="5BC02197" w14:textId="6440FF4E" w:rsidR="00210890" w:rsidRPr="00DA42F5" w:rsidRDefault="00210890" w:rsidP="00DC5B01">
      <w:r w:rsidRPr="00DA42F5">
        <w:t xml:space="preserve">To link the isolate-based findings with metagenomic data, we used </w:t>
      </w:r>
      <w:proofErr w:type="spellStart"/>
      <w:r w:rsidRPr="00DA42F5">
        <w:t>StrainPhlAn</w:t>
      </w:r>
      <w:proofErr w:type="spellEnd"/>
      <w:r w:rsidRPr="00DA42F5">
        <w:t xml:space="preserve"> to characterise the </w:t>
      </w:r>
      <w:r w:rsidR="00715E54" w:rsidRPr="00DA42F5">
        <w:t>within</w:t>
      </w:r>
      <w:r w:rsidRPr="00DA42F5">
        <w:t xml:space="preserve">-species diversity of the </w:t>
      </w:r>
      <w:r w:rsidRPr="00DA42F5">
        <w:rPr>
          <w:i/>
          <w:iCs/>
        </w:rPr>
        <w:t xml:space="preserve">C. saudiense </w:t>
      </w:r>
      <w:r w:rsidRPr="00DA42F5">
        <w:t xml:space="preserve">population in all </w:t>
      </w:r>
      <w:r w:rsidR="00715E54" w:rsidRPr="00DA42F5">
        <w:t xml:space="preserve">shotgun metagenomic </w:t>
      </w:r>
      <w:r w:rsidRPr="00DA42F5">
        <w:t>samples from individual H</w:t>
      </w:r>
      <w:r w:rsidR="00715E54" w:rsidRPr="00DA42F5">
        <w:t xml:space="preserve"> </w:t>
      </w:r>
      <w:r w:rsidRPr="00DA42F5">
        <w:t xml:space="preserve">(Figure </w:t>
      </w:r>
      <w:r w:rsidR="00503055" w:rsidRPr="00DA42F5">
        <w:t>19</w:t>
      </w:r>
      <w:r w:rsidRPr="00DA42F5">
        <w:t xml:space="preserve">). The </w:t>
      </w:r>
      <w:r w:rsidR="00715E54" w:rsidRPr="00DA42F5">
        <w:t xml:space="preserve">resulting dendrogram </w:t>
      </w:r>
      <w:ins w:id="416" w:author="Urša Miklavčič" w:date="2026-01-28T15:51:00Z" w16du:dateUtc="2026-01-28T14:51:00Z">
        <w:r w:rsidR="00752368">
          <w:t xml:space="preserve">of samples </w:t>
        </w:r>
      </w:ins>
      <w:r w:rsidRPr="00DA42F5">
        <w:t xml:space="preserve">revealed two main </w:t>
      </w:r>
      <w:r w:rsidRPr="00DA42F5">
        <w:rPr>
          <w:i/>
          <w:iCs/>
        </w:rPr>
        <w:t>C. saudiense</w:t>
      </w:r>
      <w:r w:rsidRPr="00DA42F5">
        <w:t xml:space="preserve"> clusters</w:t>
      </w:r>
      <w:r w:rsidR="00715E54" w:rsidRPr="00DA42F5">
        <w:t xml:space="preserve">, </w:t>
      </w:r>
      <w:r w:rsidR="00503055" w:rsidRPr="00DA42F5">
        <w:t>which</w:t>
      </w:r>
      <w:r w:rsidR="00715E54" w:rsidRPr="00DA42F5">
        <w:t xml:space="preserve"> did not segregate according to </w:t>
      </w:r>
      <w:r w:rsidRPr="00DA42F5">
        <w:t xml:space="preserve">antibiotic </w:t>
      </w:r>
      <w:r w:rsidR="00715E54" w:rsidRPr="00DA42F5">
        <w:t>exposure</w:t>
      </w:r>
      <w:ins w:id="417" w:author="Urša Miklavčič" w:date="2026-01-28T15:51:00Z" w16du:dateUtc="2026-01-28T14:51:00Z">
        <w:r w:rsidR="00752368">
          <w:t xml:space="preserve"> or time, but rather r</w:t>
        </w:r>
      </w:ins>
      <w:ins w:id="418" w:author="Urša Miklavčič" w:date="2026-01-28T15:52:00Z" w16du:dateUtc="2026-01-28T14:52:00Z">
        <w:r w:rsidR="00752368">
          <w:t>andomly</w:t>
        </w:r>
      </w:ins>
      <w:r w:rsidRPr="00DA42F5">
        <w:t xml:space="preserve">. </w:t>
      </w:r>
    </w:p>
    <w:p w14:paraId="612EDEE3" w14:textId="77777777" w:rsidR="00E9210E" w:rsidRPr="00DA42F5" w:rsidRDefault="00144661" w:rsidP="00E9210E">
      <w:pPr>
        <w:keepNext/>
      </w:pPr>
      <w:r w:rsidRPr="00DA42F5">
        <w:rPr>
          <w:noProof/>
        </w:rPr>
        <w:drawing>
          <wp:inline distT="0" distB="0" distL="0" distR="0" wp14:anchorId="619067FE" wp14:editId="7BF27015">
            <wp:extent cx="4903768" cy="5108091"/>
            <wp:effectExtent l="0" t="0" r="0" b="0"/>
            <wp:docPr id="34" name="Picture 33" descr="A diagram of a tree&#10;&#10;AI-generated content may be incorrect.">
              <a:extLst xmlns:a="http://schemas.openxmlformats.org/drawingml/2006/main">
                <a:ext uri="{FF2B5EF4-FFF2-40B4-BE49-F238E27FC236}">
                  <a16:creationId xmlns:a16="http://schemas.microsoft.com/office/drawing/2014/main" id="{16EFEFB1-BC48-3C4C-5E18-3A125454D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diagram of a tree&#10;&#10;AI-generated content may be incorrect.">
                      <a:extLst>
                        <a:ext uri="{FF2B5EF4-FFF2-40B4-BE49-F238E27FC236}">
                          <a16:creationId xmlns:a16="http://schemas.microsoft.com/office/drawing/2014/main" id="{16EFEFB1-BC48-3C4C-5E18-3A125454D65B}"/>
                        </a:ext>
                      </a:extLst>
                    </pic:cNvPr>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903768" cy="5108091"/>
                    </a:xfrm>
                    <a:prstGeom prst="rect">
                      <a:avLst/>
                    </a:prstGeom>
                  </pic:spPr>
                </pic:pic>
              </a:graphicData>
            </a:graphic>
          </wp:inline>
        </w:drawing>
      </w:r>
    </w:p>
    <w:p w14:paraId="645F2828" w14:textId="22E79E0C" w:rsidR="003A4BED" w:rsidRPr="00DA42F5" w:rsidRDefault="00E9210E" w:rsidP="00E9210E">
      <w:pPr>
        <w:pStyle w:val="Caption"/>
        <w:rPr>
          <w:b w:val="0"/>
          <w:bCs/>
        </w:rPr>
      </w:pPr>
      <w:bookmarkStart w:id="419" w:name="_Toc216101633"/>
      <w:r w:rsidRPr="00DA42F5">
        <w:t xml:space="preserve">Figure </w:t>
      </w:r>
      <w:r w:rsidRPr="00DA42F5">
        <w:fldChar w:fldCharType="begin"/>
      </w:r>
      <w:r w:rsidRPr="00DA42F5">
        <w:instrText xml:space="preserve"> SEQ Figure \* ARABIC </w:instrText>
      </w:r>
      <w:r w:rsidRPr="00DA42F5">
        <w:fldChar w:fldCharType="separate"/>
      </w:r>
      <w:r w:rsidR="00C11001">
        <w:rPr>
          <w:noProof/>
        </w:rPr>
        <w:t>19</w:t>
      </w:r>
      <w:r w:rsidRPr="00DA42F5">
        <w:fldChar w:fldCharType="end"/>
      </w:r>
      <w:r w:rsidRPr="00DA42F5">
        <w:t xml:space="preserve">. </w:t>
      </w:r>
      <w:del w:id="420" w:author="Urša Miklavčič" w:date="2026-01-21T10:44:00Z" w16du:dateUtc="2026-01-21T09:44:00Z">
        <w:r w:rsidRPr="00DA42F5" w:rsidDel="00665D44">
          <w:delText xml:space="preserve">Dendrogram </w:delText>
        </w:r>
      </w:del>
      <w:ins w:id="421" w:author="Urša Miklavčič" w:date="2026-01-21T15:03:00Z" w16du:dateUtc="2026-01-21T14:03:00Z">
        <w:r w:rsidR="007660BE">
          <w:t xml:space="preserve"> </w:t>
        </w:r>
      </w:ins>
      <w:ins w:id="422" w:author="Urša Miklavčič" w:date="2026-01-28T15:52:00Z" w16du:dateUtc="2026-01-28T14:52:00Z">
        <w:r w:rsidR="00752368">
          <w:t>D</w:t>
        </w:r>
      </w:ins>
      <w:ins w:id="423" w:author="Urša Miklavčič" w:date="2026-01-21T15:03:00Z" w16du:dateUtc="2026-01-21T14:03:00Z">
        <w:r w:rsidR="007660BE">
          <w:t xml:space="preserve">endrogram of stool samples </w:t>
        </w:r>
      </w:ins>
      <w:ins w:id="424" w:author="Urša Miklavčič" w:date="2026-01-21T15:04:00Z" w16du:dateUtc="2026-01-21T14:04:00Z">
        <w:r w:rsidR="008B500A">
          <w:t xml:space="preserve">of </w:t>
        </w:r>
      </w:ins>
      <w:ins w:id="425" w:author="Urša Miklavčič" w:date="2026-01-28T15:52:00Z" w16du:dateUtc="2026-01-28T14:52:00Z">
        <w:r w:rsidR="00257385">
          <w:t>participant</w:t>
        </w:r>
      </w:ins>
      <w:ins w:id="426" w:author="Urša Miklavčič" w:date="2026-01-21T15:04:00Z" w16du:dateUtc="2026-01-21T14:04:00Z">
        <w:r w:rsidR="008B500A">
          <w:t xml:space="preserve"> H based on</w:t>
        </w:r>
      </w:ins>
      <w:del w:id="427" w:author="Urša Miklavčič" w:date="2026-01-21T15:04:00Z" w16du:dateUtc="2026-01-21T14:04:00Z">
        <w:r w:rsidRPr="00DA42F5" w:rsidDel="008B500A">
          <w:delText>of</w:delText>
        </w:r>
      </w:del>
      <w:r w:rsidRPr="00DA42F5">
        <w:t xml:space="preserve"> </w:t>
      </w:r>
      <w:r w:rsidRPr="00DA42F5">
        <w:rPr>
          <w:i/>
          <w:iCs w:val="0"/>
        </w:rPr>
        <w:t>C. saudiense</w:t>
      </w:r>
      <w:r w:rsidRPr="00DA42F5">
        <w:t xml:space="preserve"> </w:t>
      </w:r>
      <w:ins w:id="428" w:author="Urša Miklavčič" w:date="2026-01-21T10:44:00Z" w16du:dateUtc="2026-01-21T09:44:00Z">
        <w:r w:rsidR="00665D44">
          <w:t xml:space="preserve">marker-gene </w:t>
        </w:r>
      </w:ins>
      <w:ins w:id="429" w:author="Urša Miklavčič" w:date="2026-01-21T10:45:00Z" w16du:dateUtc="2026-01-21T09:45:00Z">
        <w:r w:rsidR="00665D44">
          <w:t xml:space="preserve">alignment </w:t>
        </w:r>
      </w:ins>
      <w:del w:id="430" w:author="Urša Miklavčič" w:date="2026-01-21T10:45:00Z" w16du:dateUtc="2026-01-21T09:45:00Z">
        <w:r w:rsidRPr="00DA42F5" w:rsidDel="00665D44">
          <w:delText>strain profiles</w:delText>
        </w:r>
      </w:del>
      <w:del w:id="431" w:author="Urša Miklavčič" w:date="2026-01-21T15:04:00Z" w16du:dateUtc="2026-01-21T14:04:00Z">
        <w:r w:rsidRPr="00DA42F5" w:rsidDel="008B500A">
          <w:delText xml:space="preserve"> from participant H </w:delText>
        </w:r>
      </w:del>
      <w:r w:rsidRPr="00DA42F5">
        <w:t xml:space="preserve">inferred with </w:t>
      </w:r>
      <w:proofErr w:type="spellStart"/>
      <w:r w:rsidRPr="00DA42F5">
        <w:t>StrainPhlAn</w:t>
      </w:r>
      <w:proofErr w:type="spellEnd"/>
      <w:r w:rsidRPr="00DA42F5">
        <w:t xml:space="preserve">. </w:t>
      </w:r>
      <w:ins w:id="432" w:author="Urša Miklavčič" w:date="2026-01-21T10:45:00Z" w16du:dateUtc="2026-01-21T09:45:00Z">
        <w:r w:rsidR="00665D44">
          <w:rPr>
            <w:b w:val="0"/>
            <w:bCs/>
          </w:rPr>
          <w:t>Colours represent sampling time</w:t>
        </w:r>
      </w:ins>
      <w:ins w:id="433" w:author="Urša Miklavčič" w:date="2026-01-28T15:53:00Z" w16du:dateUtc="2026-01-28T14:53:00Z">
        <w:r w:rsidR="00257385">
          <w:rPr>
            <w:b w:val="0"/>
            <w:bCs/>
          </w:rPr>
          <w:t xml:space="preserve"> </w:t>
        </w:r>
      </w:ins>
      <w:ins w:id="434" w:author="Urša Miklavčič" w:date="2026-01-21T10:45:00Z" w16du:dateUtc="2026-01-21T09:45:00Z">
        <w:r w:rsidR="00665D44">
          <w:rPr>
            <w:b w:val="0"/>
            <w:bCs/>
          </w:rPr>
          <w:t xml:space="preserve">point. </w:t>
        </w:r>
      </w:ins>
      <w:del w:id="435" w:author="Urša Miklavčič" w:date="2026-01-21T10:45:00Z" w16du:dateUtc="2026-01-21T09:45:00Z">
        <w:r w:rsidR="0081529F" w:rsidRPr="00DA42F5" w:rsidDel="00665D44">
          <w:rPr>
            <w:b w:val="0"/>
            <w:bCs/>
          </w:rPr>
          <w:delText xml:space="preserve">Samples are coloured by </w:delText>
        </w:r>
        <w:r w:rsidR="00FB701E" w:rsidRPr="00DA42F5" w:rsidDel="00665D44">
          <w:rPr>
            <w:b w:val="0"/>
            <w:bCs/>
          </w:rPr>
          <w:delText>sampling</w:delText>
        </w:r>
        <w:r w:rsidR="0081529F" w:rsidRPr="00DA42F5" w:rsidDel="00665D44">
          <w:rPr>
            <w:b w:val="0"/>
            <w:bCs/>
          </w:rPr>
          <w:delText xml:space="preserve"> time point</w:delText>
        </w:r>
        <w:r w:rsidR="00FB701E" w:rsidRPr="00DA42F5" w:rsidDel="00665D44">
          <w:rPr>
            <w:b w:val="0"/>
            <w:bCs/>
          </w:rPr>
          <w:delText xml:space="preserve">. </w:delText>
        </w:r>
      </w:del>
      <w:r w:rsidR="00FB701E" w:rsidRPr="00DA42F5">
        <w:rPr>
          <w:b w:val="0"/>
          <w:bCs/>
        </w:rPr>
        <w:t xml:space="preserve">Sample IDs encode experimental conditions: the first letter indicates the DNA isolation protocol (S for ethanol treated samples and M for </w:t>
      </w:r>
      <w:r w:rsidR="00257385">
        <w:rPr>
          <w:b w:val="0"/>
          <w:bCs/>
        </w:rPr>
        <w:t>untreated</w:t>
      </w:r>
      <w:r w:rsidR="00665D44">
        <w:rPr>
          <w:b w:val="0"/>
          <w:bCs/>
        </w:rPr>
        <w:t xml:space="preserve"> stool samples</w:t>
      </w:r>
      <w:r w:rsidR="00FB701E" w:rsidRPr="00DA42F5">
        <w:rPr>
          <w:b w:val="0"/>
          <w:bCs/>
        </w:rPr>
        <w:t>), the second letter denotes the participant (H)</w:t>
      </w:r>
      <w:r w:rsidR="00210890" w:rsidRPr="00DA42F5">
        <w:rPr>
          <w:b w:val="0"/>
          <w:bCs/>
        </w:rPr>
        <w:t xml:space="preserve">, </w:t>
      </w:r>
      <w:r w:rsidR="00FB701E" w:rsidRPr="00DA42F5">
        <w:rPr>
          <w:b w:val="0"/>
          <w:bCs/>
        </w:rPr>
        <w:t xml:space="preserve">and the number indicates the sampling time point. </w:t>
      </w:r>
      <w:bookmarkEnd w:id="419"/>
    </w:p>
    <w:p w14:paraId="56A82F01" w14:textId="6572DE4C" w:rsidR="004270CA" w:rsidRPr="00DA42F5" w:rsidRDefault="000209F9" w:rsidP="00665D44">
      <w:proofErr w:type="spellStart"/>
      <w:r w:rsidRPr="00DA42F5">
        <w:t>StrainPhlAn</w:t>
      </w:r>
      <w:proofErr w:type="spellEnd"/>
      <w:r w:rsidRPr="00DA42F5">
        <w:t xml:space="preserve"> profiles only the dominant strain of a species in </w:t>
      </w:r>
      <w:ins w:id="436" w:author="Urša Miklavčič" w:date="2026-01-21T10:46:00Z" w16du:dateUtc="2026-01-21T09:46:00Z">
        <w:r w:rsidR="00665D44">
          <w:t>given</w:t>
        </w:r>
      </w:ins>
      <w:r w:rsidR="00665D44">
        <w:t xml:space="preserve"> </w:t>
      </w:r>
      <w:del w:id="437" w:author="Urša Miklavčič" w:date="2026-01-21T10:46:00Z" w16du:dateUtc="2026-01-21T09:46:00Z">
        <w:r w:rsidRPr="00DA42F5" w:rsidDel="00665D44">
          <w:delText xml:space="preserve">each </w:delText>
        </w:r>
      </w:del>
      <w:r w:rsidRPr="00DA42F5">
        <w:t>shotgun metagenomic sample</w:t>
      </w:r>
      <w:ins w:id="438" w:author="Urša Miklavčič" w:date="2026-01-28T15:53:00Z" w16du:dateUtc="2026-01-28T14:53:00Z">
        <w:r w:rsidR="00257385">
          <w:t>s</w:t>
        </w:r>
      </w:ins>
      <w:r w:rsidRPr="00DA42F5">
        <w:t xml:space="preserve"> and quantifies divergence from th</w:t>
      </w:r>
      <w:r w:rsidR="006C2B2A" w:rsidRPr="00DA42F5">
        <w:t>e</w:t>
      </w:r>
      <w:r w:rsidRPr="00DA42F5">
        <w:t xml:space="preserve"> dominant genotype</w:t>
      </w:r>
      <w:r w:rsidR="006C2B2A" w:rsidRPr="00DA42F5">
        <w:t xml:space="preserve"> </w:t>
      </w:r>
      <w:del w:id="439" w:author="Urša Miklavčič" w:date="2026-01-21T10:46:00Z" w16du:dateUtc="2026-01-21T09:46:00Z">
        <w:r w:rsidR="006C2B2A" w:rsidRPr="00DA42F5" w:rsidDel="00665D44">
          <w:delText xml:space="preserve">of </w:delText>
        </w:r>
      </w:del>
      <w:ins w:id="440" w:author="Urša Miklavčič" w:date="2026-01-21T10:46:00Z" w16du:dateUtc="2026-01-21T09:46:00Z">
        <w:r w:rsidR="00665D44">
          <w:t>for</w:t>
        </w:r>
        <w:r w:rsidR="00665D44" w:rsidRPr="00DA42F5">
          <w:t xml:space="preserve"> </w:t>
        </w:r>
      </w:ins>
      <w:r w:rsidR="006C2B2A" w:rsidRPr="00DA42F5">
        <w:t>all samples</w:t>
      </w:r>
      <w:r w:rsidRPr="00DA42F5">
        <w:t xml:space="preserve">, but it does not resolve the full strain structure when multiple strains co-occur at similar abundances. To obtain a more detailed view of </w:t>
      </w:r>
      <w:r w:rsidRPr="00DA42F5">
        <w:rPr>
          <w:i/>
          <w:iCs/>
        </w:rPr>
        <w:t>C. saudiense</w:t>
      </w:r>
      <w:r w:rsidRPr="00DA42F5">
        <w:t xml:space="preserve"> strain structure, strain-specific genes were identified from our </w:t>
      </w:r>
      <w:r w:rsidRPr="00DA42F5">
        <w:lastRenderedPageBreak/>
        <w:t>isolate genomes (</w:t>
      </w:r>
      <w:r w:rsidR="00DE3B67" w:rsidRPr="00DA42F5">
        <w:t>Table 2, Supplement T</w:t>
      </w:r>
      <w:r w:rsidRPr="00DA42F5">
        <w:t xml:space="preserve">able </w:t>
      </w:r>
      <w:r w:rsidR="006C2B2A" w:rsidRPr="00DA42F5">
        <w:t>9</w:t>
      </w:r>
      <w:r w:rsidRPr="00DA42F5">
        <w:t>)</w:t>
      </w:r>
      <w:r w:rsidR="004270CA" w:rsidRPr="00DA42F5">
        <w:t xml:space="preserve">. Shotgun metagenomic reads from all samples of participants A and H were mapped to these markers. Participant A served as a negative control, because </w:t>
      </w:r>
      <w:r w:rsidR="004270CA" w:rsidRPr="00DA42F5">
        <w:rPr>
          <w:i/>
          <w:iCs/>
        </w:rPr>
        <w:t>C. saudiense</w:t>
      </w:r>
      <w:r w:rsidR="004270CA" w:rsidRPr="00DA42F5">
        <w:t xml:space="preserve"> was detected at low abundance in only one of his 12 samples</w:t>
      </w:r>
      <w:r w:rsidR="007F1806" w:rsidRPr="00DA42F5">
        <w:t xml:space="preserve"> (Supplement Figure </w:t>
      </w:r>
      <w:del w:id="441" w:author="Urša Miklavčič" w:date="2026-01-29T14:52:00Z" w16du:dateUtc="2026-01-29T13:52:00Z">
        <w:r w:rsidR="007F1806" w:rsidRPr="00DA42F5" w:rsidDel="00ED4887">
          <w:delText>18</w:delText>
        </w:r>
      </w:del>
      <w:ins w:id="442" w:author="Urša Miklavčič" w:date="2026-01-29T14:52:00Z" w16du:dateUtc="2026-01-29T13:52:00Z">
        <w:r w:rsidR="00ED4887">
          <w:t>20</w:t>
        </w:r>
      </w:ins>
      <w:r w:rsidR="007F1806" w:rsidRPr="00DA42F5">
        <w:t>)</w:t>
      </w:r>
      <w:r w:rsidR="004270CA" w:rsidRPr="00DA42F5">
        <w:t>. As expected, reads from participant A covered genes at much lower numbers than reads of participant H</w:t>
      </w:r>
      <w:r w:rsidR="00A47232" w:rsidRPr="00DA42F5">
        <w:t xml:space="preserve"> (only 8 genes had higher coverage in A than in H of the 85 genes detected in both participants). </w:t>
      </w:r>
    </w:p>
    <w:p w14:paraId="58538D5C" w14:textId="5C8AE0A3" w:rsidR="00E9210E" w:rsidRPr="00DA42F5" w:rsidRDefault="00E9210E" w:rsidP="00E9210E">
      <w:pPr>
        <w:pStyle w:val="FigureTable"/>
      </w:pPr>
      <w:r w:rsidRPr="00DA42F5">
        <w:rPr>
          <w:b/>
          <w:bCs/>
        </w:rPr>
        <w:t xml:space="preserve">Table </w:t>
      </w:r>
      <w:r w:rsidRPr="00DA42F5">
        <w:rPr>
          <w:b/>
          <w:bCs/>
        </w:rPr>
        <w:fldChar w:fldCharType="begin"/>
      </w:r>
      <w:r w:rsidRPr="00DA42F5">
        <w:rPr>
          <w:b/>
          <w:bCs/>
        </w:rPr>
        <w:instrText xml:space="preserve"> SEQ Table \* ARABIC </w:instrText>
      </w:r>
      <w:r w:rsidRPr="00DA42F5">
        <w:rPr>
          <w:b/>
          <w:bCs/>
        </w:rPr>
        <w:fldChar w:fldCharType="separate"/>
      </w:r>
      <w:r w:rsidR="00A06FFE" w:rsidRPr="00DA42F5">
        <w:rPr>
          <w:b/>
          <w:bCs/>
          <w:noProof/>
        </w:rPr>
        <w:t>2</w:t>
      </w:r>
      <w:r w:rsidRPr="00DA42F5">
        <w:rPr>
          <w:b/>
          <w:bCs/>
        </w:rPr>
        <w:fldChar w:fldCharType="end"/>
      </w:r>
      <w:r w:rsidRPr="00DA42F5">
        <w:rPr>
          <w:b/>
          <w:bCs/>
        </w:rPr>
        <w:t>. Number of strain-specific genes for each isolate.</w:t>
      </w:r>
      <w:r w:rsidR="006C2B2A" w:rsidRPr="00DA42F5">
        <w:t xml:space="preserve"> </w:t>
      </w:r>
      <w:r w:rsidRPr="00DA42F5">
        <w:t xml:space="preserve">A detailed table with gene names is available as Supplement Table </w:t>
      </w:r>
      <w:r w:rsidR="006C2B2A" w:rsidRPr="00DA42F5">
        <w:t>9</w:t>
      </w:r>
      <w:r w:rsidRPr="00DA42F5">
        <w:t xml:space="preserve">. </w:t>
      </w:r>
    </w:p>
    <w:tbl>
      <w:tblPr>
        <w:tblW w:w="9440" w:type="dxa"/>
        <w:tblCellMar>
          <w:left w:w="70" w:type="dxa"/>
          <w:right w:w="70" w:type="dxa"/>
        </w:tblCellMar>
        <w:tblLook w:val="04A0" w:firstRow="1" w:lastRow="0" w:firstColumn="1" w:lastColumn="0" w:noHBand="0" w:noVBand="1"/>
      </w:tblPr>
      <w:tblGrid>
        <w:gridCol w:w="3560"/>
        <w:gridCol w:w="840"/>
        <w:gridCol w:w="840"/>
        <w:gridCol w:w="840"/>
        <w:gridCol w:w="840"/>
        <w:gridCol w:w="840"/>
        <w:gridCol w:w="840"/>
        <w:gridCol w:w="840"/>
      </w:tblGrid>
      <w:tr w:rsidR="00853AA2" w:rsidRPr="00DA42F5" w14:paraId="320E960C" w14:textId="77777777" w:rsidTr="00853AA2">
        <w:trPr>
          <w:trHeight w:val="300"/>
        </w:trPr>
        <w:tc>
          <w:tcPr>
            <w:tcW w:w="3560" w:type="dxa"/>
            <w:tcBorders>
              <w:top w:val="single" w:sz="4" w:space="0" w:color="auto"/>
              <w:left w:val="nil"/>
              <w:bottom w:val="single" w:sz="4" w:space="0" w:color="auto"/>
              <w:right w:val="nil"/>
            </w:tcBorders>
            <w:noWrap/>
            <w:hideMark/>
          </w:tcPr>
          <w:p w14:paraId="7DEA1D66"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Strain </w:t>
            </w:r>
          </w:p>
        </w:tc>
        <w:tc>
          <w:tcPr>
            <w:tcW w:w="840" w:type="dxa"/>
            <w:tcBorders>
              <w:top w:val="single" w:sz="4" w:space="0" w:color="auto"/>
              <w:left w:val="nil"/>
              <w:bottom w:val="single" w:sz="4" w:space="0" w:color="auto"/>
              <w:right w:val="nil"/>
            </w:tcBorders>
            <w:noWrap/>
            <w:hideMark/>
          </w:tcPr>
          <w:p w14:paraId="1976C1A0"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1</w:t>
            </w:r>
          </w:p>
        </w:tc>
        <w:tc>
          <w:tcPr>
            <w:tcW w:w="840" w:type="dxa"/>
            <w:tcBorders>
              <w:top w:val="single" w:sz="4" w:space="0" w:color="auto"/>
              <w:left w:val="nil"/>
              <w:bottom w:val="single" w:sz="4" w:space="0" w:color="auto"/>
              <w:right w:val="nil"/>
            </w:tcBorders>
            <w:noWrap/>
            <w:hideMark/>
          </w:tcPr>
          <w:p w14:paraId="7BEEDC6E"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proofErr w:type="spellStart"/>
            <w:r w:rsidRPr="00DA42F5">
              <w:rPr>
                <w:rFonts w:eastAsia="Times New Roman" w:cs="Times New Roman"/>
                <w:b/>
                <w:bCs/>
                <w:color w:val="000000"/>
                <w:sz w:val="20"/>
                <w:szCs w:val="20"/>
                <w:lang w:eastAsia="sl-SI"/>
              </w:rPr>
              <w:t>2a</w:t>
            </w:r>
            <w:proofErr w:type="spellEnd"/>
          </w:p>
        </w:tc>
        <w:tc>
          <w:tcPr>
            <w:tcW w:w="840" w:type="dxa"/>
            <w:tcBorders>
              <w:top w:val="single" w:sz="4" w:space="0" w:color="auto"/>
              <w:left w:val="nil"/>
              <w:bottom w:val="single" w:sz="4" w:space="0" w:color="auto"/>
              <w:right w:val="nil"/>
            </w:tcBorders>
            <w:noWrap/>
            <w:hideMark/>
          </w:tcPr>
          <w:p w14:paraId="158B68D7"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proofErr w:type="spellStart"/>
            <w:r w:rsidRPr="00DA42F5">
              <w:rPr>
                <w:rFonts w:eastAsia="Times New Roman" w:cs="Times New Roman"/>
                <w:b/>
                <w:bCs/>
                <w:color w:val="000000"/>
                <w:sz w:val="20"/>
                <w:szCs w:val="20"/>
                <w:lang w:eastAsia="sl-SI"/>
              </w:rPr>
              <w:t>2b</w:t>
            </w:r>
            <w:proofErr w:type="spellEnd"/>
          </w:p>
        </w:tc>
        <w:tc>
          <w:tcPr>
            <w:tcW w:w="840" w:type="dxa"/>
            <w:tcBorders>
              <w:top w:val="single" w:sz="4" w:space="0" w:color="auto"/>
              <w:left w:val="nil"/>
              <w:bottom w:val="single" w:sz="4" w:space="0" w:color="auto"/>
              <w:right w:val="nil"/>
            </w:tcBorders>
            <w:noWrap/>
            <w:hideMark/>
          </w:tcPr>
          <w:p w14:paraId="2041C3C5"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proofErr w:type="spellStart"/>
            <w:r w:rsidRPr="00DA42F5">
              <w:rPr>
                <w:rFonts w:eastAsia="Times New Roman" w:cs="Times New Roman"/>
                <w:b/>
                <w:bCs/>
                <w:color w:val="000000"/>
                <w:sz w:val="20"/>
                <w:szCs w:val="20"/>
                <w:lang w:eastAsia="sl-SI"/>
              </w:rPr>
              <w:t>2c</w:t>
            </w:r>
            <w:proofErr w:type="spellEnd"/>
          </w:p>
        </w:tc>
        <w:tc>
          <w:tcPr>
            <w:tcW w:w="840" w:type="dxa"/>
            <w:tcBorders>
              <w:top w:val="single" w:sz="4" w:space="0" w:color="auto"/>
              <w:left w:val="nil"/>
              <w:bottom w:val="single" w:sz="4" w:space="0" w:color="auto"/>
              <w:right w:val="nil"/>
            </w:tcBorders>
            <w:noWrap/>
            <w:hideMark/>
          </w:tcPr>
          <w:p w14:paraId="160010DF"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3</w:t>
            </w:r>
          </w:p>
        </w:tc>
        <w:tc>
          <w:tcPr>
            <w:tcW w:w="840" w:type="dxa"/>
            <w:tcBorders>
              <w:top w:val="single" w:sz="4" w:space="0" w:color="auto"/>
              <w:left w:val="nil"/>
              <w:bottom w:val="single" w:sz="4" w:space="0" w:color="auto"/>
              <w:right w:val="nil"/>
            </w:tcBorders>
            <w:noWrap/>
            <w:hideMark/>
          </w:tcPr>
          <w:p w14:paraId="1B93E63F"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4</w:t>
            </w:r>
          </w:p>
        </w:tc>
        <w:tc>
          <w:tcPr>
            <w:tcW w:w="840" w:type="dxa"/>
            <w:tcBorders>
              <w:top w:val="single" w:sz="4" w:space="0" w:color="auto"/>
              <w:left w:val="nil"/>
              <w:bottom w:val="single" w:sz="4" w:space="0" w:color="auto"/>
              <w:right w:val="nil"/>
            </w:tcBorders>
            <w:noWrap/>
            <w:hideMark/>
          </w:tcPr>
          <w:p w14:paraId="13F4D150"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5</w:t>
            </w:r>
          </w:p>
        </w:tc>
      </w:tr>
      <w:tr w:rsidR="00853AA2" w:rsidRPr="00DA42F5" w14:paraId="6C7211AB" w14:textId="77777777" w:rsidTr="00853AA2">
        <w:trPr>
          <w:trHeight w:val="300"/>
        </w:trPr>
        <w:tc>
          <w:tcPr>
            <w:tcW w:w="3560" w:type="dxa"/>
            <w:tcBorders>
              <w:top w:val="nil"/>
              <w:left w:val="nil"/>
              <w:bottom w:val="nil"/>
              <w:right w:val="nil"/>
            </w:tcBorders>
            <w:noWrap/>
            <w:hideMark/>
          </w:tcPr>
          <w:p w14:paraId="749F15BC" w14:textId="70616723"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 genomes </w:t>
            </w:r>
          </w:p>
        </w:tc>
        <w:tc>
          <w:tcPr>
            <w:tcW w:w="840" w:type="dxa"/>
            <w:tcBorders>
              <w:top w:val="nil"/>
              <w:left w:val="nil"/>
              <w:bottom w:val="nil"/>
              <w:right w:val="nil"/>
            </w:tcBorders>
            <w:noWrap/>
            <w:hideMark/>
          </w:tcPr>
          <w:p w14:paraId="1611C329"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w:t>
            </w:r>
          </w:p>
        </w:tc>
        <w:tc>
          <w:tcPr>
            <w:tcW w:w="840" w:type="dxa"/>
            <w:tcBorders>
              <w:top w:val="nil"/>
              <w:left w:val="nil"/>
              <w:bottom w:val="nil"/>
              <w:right w:val="nil"/>
            </w:tcBorders>
            <w:noWrap/>
            <w:hideMark/>
          </w:tcPr>
          <w:p w14:paraId="4278CB18"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w:t>
            </w:r>
          </w:p>
        </w:tc>
        <w:tc>
          <w:tcPr>
            <w:tcW w:w="840" w:type="dxa"/>
            <w:tcBorders>
              <w:top w:val="nil"/>
              <w:left w:val="nil"/>
              <w:bottom w:val="nil"/>
              <w:right w:val="nil"/>
            </w:tcBorders>
            <w:noWrap/>
            <w:hideMark/>
          </w:tcPr>
          <w:p w14:paraId="2F143156"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13</w:t>
            </w:r>
          </w:p>
        </w:tc>
        <w:tc>
          <w:tcPr>
            <w:tcW w:w="840" w:type="dxa"/>
            <w:tcBorders>
              <w:top w:val="nil"/>
              <w:left w:val="nil"/>
              <w:bottom w:val="nil"/>
              <w:right w:val="nil"/>
            </w:tcBorders>
            <w:noWrap/>
            <w:hideMark/>
          </w:tcPr>
          <w:p w14:paraId="34B56D03"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15</w:t>
            </w:r>
          </w:p>
        </w:tc>
        <w:tc>
          <w:tcPr>
            <w:tcW w:w="840" w:type="dxa"/>
            <w:tcBorders>
              <w:top w:val="nil"/>
              <w:left w:val="nil"/>
              <w:bottom w:val="nil"/>
              <w:right w:val="nil"/>
            </w:tcBorders>
            <w:noWrap/>
            <w:hideMark/>
          </w:tcPr>
          <w:p w14:paraId="2F23CB7B"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w:t>
            </w:r>
          </w:p>
        </w:tc>
        <w:tc>
          <w:tcPr>
            <w:tcW w:w="840" w:type="dxa"/>
            <w:tcBorders>
              <w:top w:val="nil"/>
              <w:left w:val="nil"/>
              <w:bottom w:val="nil"/>
              <w:right w:val="nil"/>
            </w:tcBorders>
            <w:noWrap/>
            <w:hideMark/>
          </w:tcPr>
          <w:p w14:paraId="0B41FACA"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5</w:t>
            </w:r>
          </w:p>
        </w:tc>
        <w:tc>
          <w:tcPr>
            <w:tcW w:w="840" w:type="dxa"/>
            <w:tcBorders>
              <w:top w:val="nil"/>
              <w:left w:val="nil"/>
              <w:bottom w:val="nil"/>
              <w:right w:val="nil"/>
            </w:tcBorders>
            <w:noWrap/>
            <w:hideMark/>
          </w:tcPr>
          <w:p w14:paraId="7D3EC755"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w:t>
            </w:r>
          </w:p>
        </w:tc>
      </w:tr>
      <w:tr w:rsidR="00853AA2" w:rsidRPr="00DA42F5" w14:paraId="38A74EA9" w14:textId="77777777" w:rsidTr="00853AA2">
        <w:trPr>
          <w:trHeight w:val="300"/>
        </w:trPr>
        <w:tc>
          <w:tcPr>
            <w:tcW w:w="3560" w:type="dxa"/>
            <w:tcBorders>
              <w:top w:val="nil"/>
              <w:left w:val="nil"/>
              <w:bottom w:val="nil"/>
              <w:right w:val="nil"/>
            </w:tcBorders>
            <w:noWrap/>
            <w:hideMark/>
          </w:tcPr>
          <w:p w14:paraId="6F1CCED2" w14:textId="63BE990E"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 unique genes </w:t>
            </w:r>
          </w:p>
        </w:tc>
        <w:tc>
          <w:tcPr>
            <w:tcW w:w="840" w:type="dxa"/>
            <w:tcBorders>
              <w:top w:val="nil"/>
              <w:left w:val="nil"/>
              <w:bottom w:val="nil"/>
              <w:right w:val="nil"/>
            </w:tcBorders>
            <w:noWrap/>
            <w:hideMark/>
          </w:tcPr>
          <w:p w14:paraId="3F373850"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464</w:t>
            </w:r>
          </w:p>
        </w:tc>
        <w:tc>
          <w:tcPr>
            <w:tcW w:w="840" w:type="dxa"/>
            <w:tcBorders>
              <w:top w:val="nil"/>
              <w:left w:val="nil"/>
              <w:bottom w:val="nil"/>
              <w:right w:val="nil"/>
            </w:tcBorders>
            <w:noWrap/>
            <w:hideMark/>
          </w:tcPr>
          <w:p w14:paraId="44782FCD"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59</w:t>
            </w:r>
          </w:p>
        </w:tc>
        <w:tc>
          <w:tcPr>
            <w:tcW w:w="840" w:type="dxa"/>
            <w:tcBorders>
              <w:top w:val="nil"/>
              <w:left w:val="nil"/>
              <w:bottom w:val="nil"/>
              <w:right w:val="nil"/>
            </w:tcBorders>
            <w:noWrap/>
            <w:hideMark/>
          </w:tcPr>
          <w:p w14:paraId="51CEA40A"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244</w:t>
            </w:r>
          </w:p>
        </w:tc>
        <w:tc>
          <w:tcPr>
            <w:tcW w:w="840" w:type="dxa"/>
            <w:tcBorders>
              <w:top w:val="nil"/>
              <w:left w:val="nil"/>
              <w:bottom w:val="nil"/>
              <w:right w:val="nil"/>
            </w:tcBorders>
            <w:noWrap/>
            <w:hideMark/>
          </w:tcPr>
          <w:p w14:paraId="7F77E1EE"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286</w:t>
            </w:r>
          </w:p>
        </w:tc>
        <w:tc>
          <w:tcPr>
            <w:tcW w:w="840" w:type="dxa"/>
            <w:tcBorders>
              <w:top w:val="nil"/>
              <w:left w:val="nil"/>
              <w:bottom w:val="nil"/>
              <w:right w:val="nil"/>
            </w:tcBorders>
            <w:noWrap/>
            <w:hideMark/>
          </w:tcPr>
          <w:p w14:paraId="3523608C"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328</w:t>
            </w:r>
          </w:p>
        </w:tc>
        <w:tc>
          <w:tcPr>
            <w:tcW w:w="840" w:type="dxa"/>
            <w:tcBorders>
              <w:top w:val="nil"/>
              <w:left w:val="nil"/>
              <w:bottom w:val="nil"/>
              <w:right w:val="nil"/>
            </w:tcBorders>
            <w:noWrap/>
            <w:hideMark/>
          </w:tcPr>
          <w:p w14:paraId="293BA2B8"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174</w:t>
            </w:r>
          </w:p>
        </w:tc>
        <w:tc>
          <w:tcPr>
            <w:tcW w:w="840" w:type="dxa"/>
            <w:tcBorders>
              <w:top w:val="nil"/>
              <w:left w:val="nil"/>
              <w:bottom w:val="nil"/>
              <w:right w:val="nil"/>
            </w:tcBorders>
            <w:noWrap/>
            <w:hideMark/>
          </w:tcPr>
          <w:p w14:paraId="6FDE27BC"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258</w:t>
            </w:r>
          </w:p>
        </w:tc>
      </w:tr>
      <w:tr w:rsidR="00853AA2" w:rsidRPr="00DA42F5" w14:paraId="2754B3E1" w14:textId="77777777" w:rsidTr="00853AA2">
        <w:trPr>
          <w:trHeight w:val="300"/>
        </w:trPr>
        <w:tc>
          <w:tcPr>
            <w:tcW w:w="3560" w:type="dxa"/>
            <w:tcBorders>
              <w:top w:val="nil"/>
              <w:left w:val="nil"/>
              <w:bottom w:val="nil"/>
              <w:right w:val="nil"/>
            </w:tcBorders>
            <w:noWrap/>
            <w:hideMark/>
          </w:tcPr>
          <w:p w14:paraId="05816A83"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  # hypothetical proteins </w:t>
            </w:r>
          </w:p>
        </w:tc>
        <w:tc>
          <w:tcPr>
            <w:tcW w:w="840" w:type="dxa"/>
            <w:tcBorders>
              <w:top w:val="nil"/>
              <w:left w:val="nil"/>
              <w:bottom w:val="nil"/>
              <w:right w:val="nil"/>
            </w:tcBorders>
            <w:noWrap/>
            <w:hideMark/>
          </w:tcPr>
          <w:p w14:paraId="50DFD125"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363</w:t>
            </w:r>
          </w:p>
        </w:tc>
        <w:tc>
          <w:tcPr>
            <w:tcW w:w="840" w:type="dxa"/>
            <w:tcBorders>
              <w:top w:val="nil"/>
              <w:left w:val="nil"/>
              <w:bottom w:val="nil"/>
              <w:right w:val="nil"/>
            </w:tcBorders>
            <w:noWrap/>
            <w:hideMark/>
          </w:tcPr>
          <w:p w14:paraId="35676311"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54</w:t>
            </w:r>
          </w:p>
        </w:tc>
        <w:tc>
          <w:tcPr>
            <w:tcW w:w="840" w:type="dxa"/>
            <w:tcBorders>
              <w:top w:val="nil"/>
              <w:left w:val="nil"/>
              <w:bottom w:val="nil"/>
              <w:right w:val="nil"/>
            </w:tcBorders>
            <w:noWrap/>
            <w:hideMark/>
          </w:tcPr>
          <w:p w14:paraId="5A5048DC"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188</w:t>
            </w:r>
          </w:p>
        </w:tc>
        <w:tc>
          <w:tcPr>
            <w:tcW w:w="840" w:type="dxa"/>
            <w:tcBorders>
              <w:top w:val="nil"/>
              <w:left w:val="nil"/>
              <w:bottom w:val="nil"/>
              <w:right w:val="nil"/>
            </w:tcBorders>
            <w:noWrap/>
            <w:hideMark/>
          </w:tcPr>
          <w:p w14:paraId="5507F6EA"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257</w:t>
            </w:r>
          </w:p>
        </w:tc>
        <w:tc>
          <w:tcPr>
            <w:tcW w:w="840" w:type="dxa"/>
            <w:tcBorders>
              <w:top w:val="nil"/>
              <w:left w:val="nil"/>
              <w:bottom w:val="nil"/>
              <w:right w:val="nil"/>
            </w:tcBorders>
            <w:noWrap/>
            <w:hideMark/>
          </w:tcPr>
          <w:p w14:paraId="2D98446D"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231</w:t>
            </w:r>
          </w:p>
        </w:tc>
        <w:tc>
          <w:tcPr>
            <w:tcW w:w="840" w:type="dxa"/>
            <w:tcBorders>
              <w:top w:val="nil"/>
              <w:left w:val="nil"/>
              <w:bottom w:val="nil"/>
              <w:right w:val="nil"/>
            </w:tcBorders>
            <w:noWrap/>
            <w:hideMark/>
          </w:tcPr>
          <w:p w14:paraId="4585E622"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127</w:t>
            </w:r>
          </w:p>
        </w:tc>
        <w:tc>
          <w:tcPr>
            <w:tcW w:w="840" w:type="dxa"/>
            <w:tcBorders>
              <w:top w:val="nil"/>
              <w:left w:val="nil"/>
              <w:bottom w:val="nil"/>
              <w:right w:val="nil"/>
            </w:tcBorders>
            <w:noWrap/>
            <w:hideMark/>
          </w:tcPr>
          <w:p w14:paraId="3CDA8CB4"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186</w:t>
            </w:r>
          </w:p>
        </w:tc>
      </w:tr>
      <w:tr w:rsidR="00853AA2" w:rsidRPr="00DA42F5" w14:paraId="6EE88264" w14:textId="77777777" w:rsidTr="00853AA2">
        <w:trPr>
          <w:trHeight w:val="300"/>
        </w:trPr>
        <w:tc>
          <w:tcPr>
            <w:tcW w:w="3560" w:type="dxa"/>
            <w:tcBorders>
              <w:top w:val="nil"/>
              <w:left w:val="nil"/>
              <w:bottom w:val="nil"/>
              <w:right w:val="nil"/>
            </w:tcBorders>
            <w:noWrap/>
            <w:hideMark/>
          </w:tcPr>
          <w:p w14:paraId="77857416"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  # other genes </w:t>
            </w:r>
          </w:p>
        </w:tc>
        <w:tc>
          <w:tcPr>
            <w:tcW w:w="840" w:type="dxa"/>
            <w:tcBorders>
              <w:top w:val="nil"/>
              <w:left w:val="nil"/>
              <w:bottom w:val="nil"/>
              <w:right w:val="nil"/>
            </w:tcBorders>
            <w:noWrap/>
            <w:hideMark/>
          </w:tcPr>
          <w:p w14:paraId="55C3566B"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101</w:t>
            </w:r>
          </w:p>
        </w:tc>
        <w:tc>
          <w:tcPr>
            <w:tcW w:w="840" w:type="dxa"/>
            <w:tcBorders>
              <w:top w:val="nil"/>
              <w:left w:val="nil"/>
              <w:bottom w:val="nil"/>
              <w:right w:val="nil"/>
            </w:tcBorders>
            <w:noWrap/>
            <w:hideMark/>
          </w:tcPr>
          <w:p w14:paraId="41D72C66"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5</w:t>
            </w:r>
          </w:p>
        </w:tc>
        <w:tc>
          <w:tcPr>
            <w:tcW w:w="840" w:type="dxa"/>
            <w:tcBorders>
              <w:top w:val="nil"/>
              <w:left w:val="nil"/>
              <w:bottom w:val="nil"/>
              <w:right w:val="nil"/>
            </w:tcBorders>
            <w:noWrap/>
            <w:hideMark/>
          </w:tcPr>
          <w:p w14:paraId="76CF239C"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56</w:t>
            </w:r>
          </w:p>
        </w:tc>
        <w:tc>
          <w:tcPr>
            <w:tcW w:w="840" w:type="dxa"/>
            <w:tcBorders>
              <w:top w:val="nil"/>
              <w:left w:val="nil"/>
              <w:bottom w:val="nil"/>
              <w:right w:val="nil"/>
            </w:tcBorders>
            <w:noWrap/>
            <w:hideMark/>
          </w:tcPr>
          <w:p w14:paraId="039620B8"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29</w:t>
            </w:r>
          </w:p>
        </w:tc>
        <w:tc>
          <w:tcPr>
            <w:tcW w:w="840" w:type="dxa"/>
            <w:tcBorders>
              <w:top w:val="nil"/>
              <w:left w:val="nil"/>
              <w:bottom w:val="nil"/>
              <w:right w:val="nil"/>
            </w:tcBorders>
            <w:noWrap/>
            <w:hideMark/>
          </w:tcPr>
          <w:p w14:paraId="3171EEDD"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97</w:t>
            </w:r>
          </w:p>
        </w:tc>
        <w:tc>
          <w:tcPr>
            <w:tcW w:w="840" w:type="dxa"/>
            <w:tcBorders>
              <w:top w:val="nil"/>
              <w:left w:val="nil"/>
              <w:bottom w:val="nil"/>
              <w:right w:val="nil"/>
            </w:tcBorders>
            <w:noWrap/>
            <w:hideMark/>
          </w:tcPr>
          <w:p w14:paraId="7AE55AB7"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47</w:t>
            </w:r>
          </w:p>
        </w:tc>
        <w:tc>
          <w:tcPr>
            <w:tcW w:w="840" w:type="dxa"/>
            <w:tcBorders>
              <w:top w:val="nil"/>
              <w:left w:val="nil"/>
              <w:bottom w:val="nil"/>
              <w:right w:val="nil"/>
            </w:tcBorders>
            <w:noWrap/>
            <w:hideMark/>
          </w:tcPr>
          <w:p w14:paraId="4BD614CB"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72</w:t>
            </w:r>
          </w:p>
        </w:tc>
      </w:tr>
      <w:tr w:rsidR="00853AA2" w:rsidRPr="00DA42F5" w14:paraId="0AFF3F34" w14:textId="77777777" w:rsidTr="00853AA2">
        <w:trPr>
          <w:trHeight w:val="300"/>
        </w:trPr>
        <w:tc>
          <w:tcPr>
            <w:tcW w:w="3560" w:type="dxa"/>
            <w:tcBorders>
              <w:top w:val="nil"/>
              <w:left w:val="nil"/>
              <w:bottom w:val="nil"/>
              <w:right w:val="nil"/>
            </w:tcBorders>
            <w:hideMark/>
          </w:tcPr>
          <w:p w14:paraId="68DF1D94"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 genes detected in participant H </w:t>
            </w:r>
          </w:p>
        </w:tc>
        <w:tc>
          <w:tcPr>
            <w:tcW w:w="840" w:type="dxa"/>
            <w:tcBorders>
              <w:top w:val="nil"/>
              <w:left w:val="nil"/>
              <w:bottom w:val="nil"/>
              <w:right w:val="nil"/>
            </w:tcBorders>
            <w:noWrap/>
            <w:hideMark/>
          </w:tcPr>
          <w:p w14:paraId="527E9C4B"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380</w:t>
            </w:r>
          </w:p>
        </w:tc>
        <w:tc>
          <w:tcPr>
            <w:tcW w:w="840" w:type="dxa"/>
            <w:tcBorders>
              <w:top w:val="nil"/>
              <w:left w:val="nil"/>
              <w:bottom w:val="nil"/>
              <w:right w:val="nil"/>
            </w:tcBorders>
            <w:noWrap/>
            <w:hideMark/>
          </w:tcPr>
          <w:p w14:paraId="5E3EC7CE"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46</w:t>
            </w:r>
          </w:p>
        </w:tc>
        <w:tc>
          <w:tcPr>
            <w:tcW w:w="840" w:type="dxa"/>
            <w:tcBorders>
              <w:top w:val="nil"/>
              <w:left w:val="nil"/>
              <w:bottom w:val="nil"/>
              <w:right w:val="nil"/>
            </w:tcBorders>
            <w:noWrap/>
            <w:hideMark/>
          </w:tcPr>
          <w:p w14:paraId="29840C85"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48</w:t>
            </w:r>
          </w:p>
        </w:tc>
        <w:tc>
          <w:tcPr>
            <w:tcW w:w="840" w:type="dxa"/>
            <w:tcBorders>
              <w:top w:val="nil"/>
              <w:left w:val="nil"/>
              <w:bottom w:val="nil"/>
              <w:right w:val="nil"/>
            </w:tcBorders>
            <w:noWrap/>
            <w:hideMark/>
          </w:tcPr>
          <w:p w14:paraId="49E10642"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199</w:t>
            </w:r>
          </w:p>
        </w:tc>
        <w:tc>
          <w:tcPr>
            <w:tcW w:w="840" w:type="dxa"/>
            <w:tcBorders>
              <w:top w:val="nil"/>
              <w:left w:val="nil"/>
              <w:bottom w:val="nil"/>
              <w:right w:val="nil"/>
            </w:tcBorders>
            <w:noWrap/>
            <w:hideMark/>
          </w:tcPr>
          <w:p w14:paraId="58B9F7CE"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222</w:t>
            </w:r>
          </w:p>
        </w:tc>
        <w:tc>
          <w:tcPr>
            <w:tcW w:w="840" w:type="dxa"/>
            <w:tcBorders>
              <w:top w:val="nil"/>
              <w:left w:val="nil"/>
              <w:bottom w:val="nil"/>
              <w:right w:val="nil"/>
            </w:tcBorders>
            <w:noWrap/>
            <w:hideMark/>
          </w:tcPr>
          <w:p w14:paraId="71646DE7"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110</w:t>
            </w:r>
          </w:p>
        </w:tc>
        <w:tc>
          <w:tcPr>
            <w:tcW w:w="840" w:type="dxa"/>
            <w:tcBorders>
              <w:top w:val="nil"/>
              <w:left w:val="nil"/>
              <w:bottom w:val="nil"/>
              <w:right w:val="nil"/>
            </w:tcBorders>
            <w:noWrap/>
            <w:hideMark/>
          </w:tcPr>
          <w:p w14:paraId="34D92F7B"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195</w:t>
            </w:r>
          </w:p>
        </w:tc>
      </w:tr>
      <w:tr w:rsidR="00853AA2" w:rsidRPr="00DA42F5" w14:paraId="1CF069B5" w14:textId="77777777" w:rsidTr="00853AA2">
        <w:trPr>
          <w:trHeight w:val="300"/>
        </w:trPr>
        <w:tc>
          <w:tcPr>
            <w:tcW w:w="3560" w:type="dxa"/>
            <w:tcBorders>
              <w:top w:val="nil"/>
              <w:left w:val="nil"/>
              <w:bottom w:val="nil"/>
              <w:right w:val="nil"/>
            </w:tcBorders>
            <w:hideMark/>
          </w:tcPr>
          <w:p w14:paraId="7D28663C"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 genes detected in participant A </w:t>
            </w:r>
          </w:p>
        </w:tc>
        <w:tc>
          <w:tcPr>
            <w:tcW w:w="840" w:type="dxa"/>
            <w:tcBorders>
              <w:top w:val="nil"/>
              <w:left w:val="nil"/>
              <w:bottom w:val="nil"/>
              <w:right w:val="nil"/>
            </w:tcBorders>
            <w:noWrap/>
            <w:hideMark/>
          </w:tcPr>
          <w:p w14:paraId="11E6FC6B"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24</w:t>
            </w:r>
          </w:p>
        </w:tc>
        <w:tc>
          <w:tcPr>
            <w:tcW w:w="840" w:type="dxa"/>
            <w:tcBorders>
              <w:top w:val="nil"/>
              <w:left w:val="nil"/>
              <w:bottom w:val="nil"/>
              <w:right w:val="nil"/>
            </w:tcBorders>
            <w:noWrap/>
            <w:hideMark/>
          </w:tcPr>
          <w:p w14:paraId="656E48A5"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w:t>
            </w:r>
          </w:p>
        </w:tc>
        <w:tc>
          <w:tcPr>
            <w:tcW w:w="840" w:type="dxa"/>
            <w:tcBorders>
              <w:top w:val="nil"/>
              <w:left w:val="nil"/>
              <w:bottom w:val="nil"/>
              <w:right w:val="nil"/>
            </w:tcBorders>
            <w:noWrap/>
            <w:hideMark/>
          </w:tcPr>
          <w:p w14:paraId="52E5CF7C"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8</w:t>
            </w:r>
          </w:p>
        </w:tc>
        <w:tc>
          <w:tcPr>
            <w:tcW w:w="840" w:type="dxa"/>
            <w:tcBorders>
              <w:top w:val="nil"/>
              <w:left w:val="nil"/>
              <w:bottom w:val="nil"/>
              <w:right w:val="nil"/>
            </w:tcBorders>
            <w:noWrap/>
            <w:hideMark/>
          </w:tcPr>
          <w:p w14:paraId="5555B750"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16</w:t>
            </w:r>
          </w:p>
        </w:tc>
        <w:tc>
          <w:tcPr>
            <w:tcW w:w="840" w:type="dxa"/>
            <w:tcBorders>
              <w:top w:val="nil"/>
              <w:left w:val="nil"/>
              <w:bottom w:val="nil"/>
              <w:right w:val="nil"/>
            </w:tcBorders>
            <w:noWrap/>
            <w:hideMark/>
          </w:tcPr>
          <w:p w14:paraId="54666E26"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16</w:t>
            </w:r>
          </w:p>
        </w:tc>
        <w:tc>
          <w:tcPr>
            <w:tcW w:w="840" w:type="dxa"/>
            <w:tcBorders>
              <w:top w:val="nil"/>
              <w:left w:val="nil"/>
              <w:bottom w:val="nil"/>
              <w:right w:val="nil"/>
            </w:tcBorders>
            <w:noWrap/>
            <w:hideMark/>
          </w:tcPr>
          <w:p w14:paraId="789C8BD5"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15</w:t>
            </w:r>
          </w:p>
        </w:tc>
        <w:tc>
          <w:tcPr>
            <w:tcW w:w="840" w:type="dxa"/>
            <w:tcBorders>
              <w:top w:val="nil"/>
              <w:left w:val="nil"/>
              <w:bottom w:val="nil"/>
              <w:right w:val="nil"/>
            </w:tcBorders>
            <w:noWrap/>
            <w:hideMark/>
          </w:tcPr>
          <w:p w14:paraId="28AD5707"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5</w:t>
            </w:r>
          </w:p>
        </w:tc>
      </w:tr>
      <w:tr w:rsidR="00853AA2" w:rsidRPr="00DA42F5" w14:paraId="4A6622AB" w14:textId="77777777" w:rsidTr="00853AA2">
        <w:trPr>
          <w:trHeight w:val="300"/>
        </w:trPr>
        <w:tc>
          <w:tcPr>
            <w:tcW w:w="3560" w:type="dxa"/>
            <w:tcBorders>
              <w:top w:val="nil"/>
              <w:left w:val="nil"/>
              <w:bottom w:val="nil"/>
              <w:right w:val="nil"/>
            </w:tcBorders>
            <w:hideMark/>
          </w:tcPr>
          <w:p w14:paraId="4E140724"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genes detected in participant A and H</w:t>
            </w:r>
          </w:p>
        </w:tc>
        <w:tc>
          <w:tcPr>
            <w:tcW w:w="840" w:type="dxa"/>
            <w:tcBorders>
              <w:top w:val="nil"/>
              <w:left w:val="nil"/>
              <w:bottom w:val="nil"/>
              <w:right w:val="nil"/>
            </w:tcBorders>
            <w:noWrap/>
            <w:hideMark/>
          </w:tcPr>
          <w:p w14:paraId="7162C75E"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24</w:t>
            </w:r>
          </w:p>
        </w:tc>
        <w:tc>
          <w:tcPr>
            <w:tcW w:w="840" w:type="dxa"/>
            <w:tcBorders>
              <w:top w:val="nil"/>
              <w:left w:val="nil"/>
              <w:bottom w:val="nil"/>
              <w:right w:val="nil"/>
            </w:tcBorders>
            <w:noWrap/>
            <w:hideMark/>
          </w:tcPr>
          <w:p w14:paraId="75875270"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w:t>
            </w:r>
          </w:p>
        </w:tc>
        <w:tc>
          <w:tcPr>
            <w:tcW w:w="840" w:type="dxa"/>
            <w:tcBorders>
              <w:top w:val="nil"/>
              <w:left w:val="nil"/>
              <w:bottom w:val="nil"/>
              <w:right w:val="nil"/>
            </w:tcBorders>
            <w:noWrap/>
            <w:hideMark/>
          </w:tcPr>
          <w:p w14:paraId="6372851A"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8</w:t>
            </w:r>
          </w:p>
        </w:tc>
        <w:tc>
          <w:tcPr>
            <w:tcW w:w="840" w:type="dxa"/>
            <w:tcBorders>
              <w:top w:val="nil"/>
              <w:left w:val="nil"/>
              <w:bottom w:val="nil"/>
              <w:right w:val="nil"/>
            </w:tcBorders>
            <w:noWrap/>
            <w:hideMark/>
          </w:tcPr>
          <w:p w14:paraId="3B691E5F"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16</w:t>
            </w:r>
          </w:p>
        </w:tc>
        <w:tc>
          <w:tcPr>
            <w:tcW w:w="840" w:type="dxa"/>
            <w:tcBorders>
              <w:top w:val="nil"/>
              <w:left w:val="nil"/>
              <w:bottom w:val="nil"/>
              <w:right w:val="nil"/>
            </w:tcBorders>
            <w:noWrap/>
            <w:hideMark/>
          </w:tcPr>
          <w:p w14:paraId="4ABEF9E1"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16</w:t>
            </w:r>
          </w:p>
        </w:tc>
        <w:tc>
          <w:tcPr>
            <w:tcW w:w="840" w:type="dxa"/>
            <w:tcBorders>
              <w:top w:val="nil"/>
              <w:left w:val="nil"/>
              <w:bottom w:val="nil"/>
              <w:right w:val="nil"/>
            </w:tcBorders>
            <w:noWrap/>
            <w:hideMark/>
          </w:tcPr>
          <w:p w14:paraId="1B84FEA3"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15</w:t>
            </w:r>
          </w:p>
        </w:tc>
        <w:tc>
          <w:tcPr>
            <w:tcW w:w="840" w:type="dxa"/>
            <w:tcBorders>
              <w:top w:val="nil"/>
              <w:left w:val="nil"/>
              <w:bottom w:val="nil"/>
              <w:right w:val="nil"/>
            </w:tcBorders>
            <w:noWrap/>
            <w:hideMark/>
          </w:tcPr>
          <w:p w14:paraId="58297B25"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w:t>
            </w:r>
          </w:p>
        </w:tc>
      </w:tr>
      <w:tr w:rsidR="00853AA2" w:rsidRPr="00DA42F5" w14:paraId="1FF25730" w14:textId="77777777" w:rsidTr="00853AA2">
        <w:trPr>
          <w:trHeight w:val="300"/>
        </w:trPr>
        <w:tc>
          <w:tcPr>
            <w:tcW w:w="3560" w:type="dxa"/>
            <w:tcBorders>
              <w:top w:val="nil"/>
              <w:left w:val="nil"/>
              <w:bottom w:val="single" w:sz="4" w:space="0" w:color="auto"/>
              <w:right w:val="nil"/>
            </w:tcBorders>
            <w:hideMark/>
          </w:tcPr>
          <w:p w14:paraId="4B4CC6FF" w14:textId="77777777" w:rsidR="00853AA2" w:rsidRPr="00DA42F5" w:rsidRDefault="00853AA2" w:rsidP="00853AA2">
            <w:pPr>
              <w:spacing w:after="0" w:line="240" w:lineRule="auto"/>
              <w:jc w:val="left"/>
              <w:rPr>
                <w:rFonts w:eastAsia="Times New Roman" w:cs="Times New Roman"/>
                <w:b/>
                <w:bCs/>
                <w:color w:val="000000"/>
                <w:sz w:val="20"/>
                <w:szCs w:val="20"/>
                <w:lang w:eastAsia="sl-SI"/>
              </w:rPr>
            </w:pPr>
            <w:r w:rsidRPr="00DA42F5">
              <w:rPr>
                <w:rFonts w:eastAsia="Times New Roman" w:cs="Times New Roman"/>
                <w:b/>
                <w:bCs/>
                <w:color w:val="000000"/>
                <w:sz w:val="20"/>
                <w:szCs w:val="20"/>
                <w:lang w:eastAsia="sl-SI"/>
              </w:rPr>
              <w:t xml:space="preserve"># genes used in final analysis </w:t>
            </w:r>
          </w:p>
        </w:tc>
        <w:tc>
          <w:tcPr>
            <w:tcW w:w="840" w:type="dxa"/>
            <w:tcBorders>
              <w:top w:val="nil"/>
              <w:left w:val="nil"/>
              <w:bottom w:val="single" w:sz="4" w:space="0" w:color="auto"/>
              <w:right w:val="nil"/>
            </w:tcBorders>
            <w:noWrap/>
            <w:hideMark/>
          </w:tcPr>
          <w:p w14:paraId="5B7B0C69"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356</w:t>
            </w:r>
          </w:p>
        </w:tc>
        <w:tc>
          <w:tcPr>
            <w:tcW w:w="840" w:type="dxa"/>
            <w:tcBorders>
              <w:top w:val="nil"/>
              <w:left w:val="nil"/>
              <w:bottom w:val="single" w:sz="4" w:space="0" w:color="auto"/>
              <w:right w:val="nil"/>
            </w:tcBorders>
            <w:noWrap/>
            <w:hideMark/>
          </w:tcPr>
          <w:p w14:paraId="1A9807F1"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44</w:t>
            </w:r>
          </w:p>
        </w:tc>
        <w:tc>
          <w:tcPr>
            <w:tcW w:w="840" w:type="dxa"/>
            <w:tcBorders>
              <w:top w:val="nil"/>
              <w:left w:val="nil"/>
              <w:bottom w:val="single" w:sz="4" w:space="0" w:color="auto"/>
              <w:right w:val="nil"/>
            </w:tcBorders>
            <w:noWrap/>
            <w:hideMark/>
          </w:tcPr>
          <w:p w14:paraId="55755C53"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40</w:t>
            </w:r>
          </w:p>
        </w:tc>
        <w:tc>
          <w:tcPr>
            <w:tcW w:w="840" w:type="dxa"/>
            <w:tcBorders>
              <w:top w:val="nil"/>
              <w:left w:val="nil"/>
              <w:bottom w:val="single" w:sz="4" w:space="0" w:color="auto"/>
              <w:right w:val="nil"/>
            </w:tcBorders>
            <w:noWrap/>
            <w:hideMark/>
          </w:tcPr>
          <w:p w14:paraId="1263C9B3"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183</w:t>
            </w:r>
          </w:p>
        </w:tc>
        <w:tc>
          <w:tcPr>
            <w:tcW w:w="840" w:type="dxa"/>
            <w:tcBorders>
              <w:top w:val="nil"/>
              <w:left w:val="nil"/>
              <w:bottom w:val="single" w:sz="4" w:space="0" w:color="auto"/>
              <w:right w:val="nil"/>
            </w:tcBorders>
            <w:noWrap/>
            <w:hideMark/>
          </w:tcPr>
          <w:p w14:paraId="193DA0EF"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206</w:t>
            </w:r>
          </w:p>
        </w:tc>
        <w:tc>
          <w:tcPr>
            <w:tcW w:w="840" w:type="dxa"/>
            <w:tcBorders>
              <w:top w:val="nil"/>
              <w:left w:val="nil"/>
              <w:bottom w:val="single" w:sz="4" w:space="0" w:color="auto"/>
              <w:right w:val="nil"/>
            </w:tcBorders>
            <w:noWrap/>
            <w:hideMark/>
          </w:tcPr>
          <w:p w14:paraId="6C53C08C"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95</w:t>
            </w:r>
          </w:p>
        </w:tc>
        <w:tc>
          <w:tcPr>
            <w:tcW w:w="840" w:type="dxa"/>
            <w:tcBorders>
              <w:top w:val="nil"/>
              <w:left w:val="nil"/>
              <w:bottom w:val="single" w:sz="4" w:space="0" w:color="auto"/>
              <w:right w:val="nil"/>
            </w:tcBorders>
            <w:noWrap/>
            <w:hideMark/>
          </w:tcPr>
          <w:p w14:paraId="640E9EE3" w14:textId="77777777" w:rsidR="00853AA2" w:rsidRPr="00DA42F5" w:rsidRDefault="00853AA2" w:rsidP="00853AA2">
            <w:pPr>
              <w:spacing w:after="0" w:line="240" w:lineRule="auto"/>
              <w:jc w:val="left"/>
              <w:rPr>
                <w:rFonts w:eastAsia="Times New Roman" w:cs="Times New Roman"/>
                <w:color w:val="000000"/>
                <w:sz w:val="20"/>
                <w:szCs w:val="20"/>
                <w:lang w:eastAsia="sl-SI"/>
              </w:rPr>
            </w:pPr>
            <w:r w:rsidRPr="00DA42F5">
              <w:rPr>
                <w:rFonts w:eastAsia="Times New Roman" w:cs="Times New Roman"/>
                <w:color w:val="000000"/>
                <w:sz w:val="20"/>
                <w:szCs w:val="20"/>
                <w:lang w:eastAsia="sl-SI"/>
              </w:rPr>
              <w:t>190</w:t>
            </w:r>
          </w:p>
        </w:tc>
      </w:tr>
    </w:tbl>
    <w:p w14:paraId="3F4519AC" w14:textId="77777777" w:rsidR="00853AA2" w:rsidRPr="00DA42F5" w:rsidRDefault="00853AA2" w:rsidP="000209F9">
      <w:pPr>
        <w:pStyle w:val="FigureTable"/>
      </w:pPr>
    </w:p>
    <w:p w14:paraId="1322815E" w14:textId="50F77AD2" w:rsidR="00A47232" w:rsidRPr="00DA42F5" w:rsidRDefault="00A47232" w:rsidP="000209F9">
      <w:pPr>
        <w:spacing w:line="259" w:lineRule="auto"/>
        <w:jc w:val="left"/>
      </w:pPr>
      <w:r w:rsidRPr="00DA42F5">
        <w:t xml:space="preserve">Read counts were normalised by gene length and for each strain by the number of genes analysed. This strain-specific mapping showed that, in contrast to the culture-based data, all defined </w:t>
      </w:r>
      <w:r w:rsidRPr="00DA42F5">
        <w:rPr>
          <w:i/>
          <w:iCs/>
        </w:rPr>
        <w:t xml:space="preserve">C. saudiense </w:t>
      </w:r>
      <w:r w:rsidRPr="00DA42F5">
        <w:t>strains persisted throughout the sampling period in participant H (Figure 2</w:t>
      </w:r>
      <w:r w:rsidR="00E9210E" w:rsidRPr="00DA42F5">
        <w:t>0</w:t>
      </w:r>
      <w:r w:rsidRPr="00DA42F5">
        <w:t xml:space="preserve">). </w:t>
      </w:r>
      <w:r w:rsidR="00DE3B67" w:rsidRPr="00DA42F5">
        <w:t xml:space="preserve">The only </w:t>
      </w:r>
      <w:r w:rsidR="000209F9" w:rsidRPr="00DA42F5">
        <w:t>exception</w:t>
      </w:r>
      <w:r w:rsidRPr="00DA42F5">
        <w:t>s</w:t>
      </w:r>
      <w:r w:rsidR="000209F9" w:rsidRPr="00DA42F5">
        <w:t xml:space="preserve"> were samples collected between antibiotic </w:t>
      </w:r>
      <w:r w:rsidRPr="00DA42F5">
        <w:t>use</w:t>
      </w:r>
      <w:r w:rsidR="000209F9" w:rsidRPr="00DA42F5">
        <w:t xml:space="preserve">, </w:t>
      </w:r>
      <w:r w:rsidRPr="00DA42F5">
        <w:t>when</w:t>
      </w:r>
      <w:r w:rsidR="000209F9" w:rsidRPr="00DA42F5">
        <w:t xml:space="preserve"> </w:t>
      </w:r>
      <w:r w:rsidR="000209F9" w:rsidRPr="00DA42F5">
        <w:rPr>
          <w:i/>
          <w:iCs/>
        </w:rPr>
        <w:t>C. saudiense</w:t>
      </w:r>
      <w:r w:rsidR="000209F9" w:rsidRPr="00DA42F5">
        <w:t xml:space="preserve"> abundance dropped below the detection limit</w:t>
      </w:r>
      <w:r w:rsidR="00DE3B67" w:rsidRPr="00DA42F5">
        <w:t xml:space="preserve">. </w:t>
      </w:r>
      <w:r w:rsidRPr="00DA42F5">
        <w:t xml:space="preserve">This method enabled tracking of defined strains over time in shotgun metagenomic samples, but only for strains not represented in the isolate genomes. </w:t>
      </w:r>
    </w:p>
    <w:p w14:paraId="1F348866" w14:textId="7A1CCB89" w:rsidR="00E9210E" w:rsidRPr="00DA42F5" w:rsidRDefault="00E9210E" w:rsidP="00E9210E">
      <w:pPr>
        <w:keepNext/>
        <w:spacing w:line="259" w:lineRule="auto"/>
        <w:jc w:val="left"/>
      </w:pPr>
    </w:p>
    <w:p w14:paraId="56B10E6D" w14:textId="42338BAD" w:rsidR="00144661" w:rsidRPr="00DA42F5" w:rsidRDefault="00E9210E" w:rsidP="00E9210E">
      <w:pPr>
        <w:pStyle w:val="Caption"/>
        <w:jc w:val="left"/>
      </w:pPr>
      <w:bookmarkStart w:id="443" w:name="_Toc216101634"/>
      <w:r w:rsidRPr="00DA42F5">
        <w:t xml:space="preserve">Figure </w:t>
      </w:r>
      <w:r w:rsidRPr="00DA42F5">
        <w:fldChar w:fldCharType="begin"/>
      </w:r>
      <w:r w:rsidRPr="00DA42F5">
        <w:instrText xml:space="preserve"> SEQ Figure \* ARABIC </w:instrText>
      </w:r>
      <w:r w:rsidRPr="00DA42F5">
        <w:fldChar w:fldCharType="separate"/>
      </w:r>
      <w:r w:rsidR="00C11001">
        <w:rPr>
          <w:noProof/>
        </w:rPr>
        <w:t>20</w:t>
      </w:r>
      <w:r w:rsidRPr="00DA42F5">
        <w:fldChar w:fldCharType="end"/>
      </w:r>
      <w:r w:rsidRPr="00DA42F5">
        <w:t xml:space="preserve">. Persistence of </w:t>
      </w:r>
      <w:r w:rsidR="006C2B2A" w:rsidRPr="00DA42F5">
        <w:t xml:space="preserve">isolated </w:t>
      </w:r>
      <w:r w:rsidRPr="00DA42F5">
        <w:t>strains over time in participant H</w:t>
      </w:r>
      <w:r w:rsidR="006C2B2A" w:rsidRPr="00DA42F5">
        <w:t>, based on shotgun metagenomic read mapping to strain-specific genes</w:t>
      </w:r>
      <w:r w:rsidRPr="00DA42F5">
        <w:t xml:space="preserve">. </w:t>
      </w:r>
      <w:r w:rsidRPr="00DA42F5">
        <w:rPr>
          <w:b w:val="0"/>
          <w:bCs/>
        </w:rPr>
        <w:t xml:space="preserve">The </w:t>
      </w:r>
      <w:r w:rsidR="00F6197A" w:rsidRPr="00DA42F5">
        <w:rPr>
          <w:rStyle w:val="FigureTableZnak"/>
          <w:b w:val="0"/>
          <w:bCs/>
        </w:rPr>
        <w:t>number of reads mapped to each gene was normalised by gene length. Subsequently, all counts for each strain were summed and divided by the number of genes observed for each strain.</w:t>
      </w:r>
      <w:bookmarkEnd w:id="443"/>
      <w:r w:rsidR="006F3192">
        <w:rPr>
          <w:rStyle w:val="FigureTableZnak"/>
          <w:b w:val="0"/>
          <w:bCs/>
        </w:rPr>
        <w:t xml:space="preserve"> </w:t>
      </w:r>
      <w:ins w:id="444" w:author="Urša Miklavčič" w:date="2026-01-28T16:33:00Z" w16du:dateUtc="2026-01-28T15:33:00Z">
        <w:r w:rsidR="006F3192">
          <w:rPr>
            <w:rStyle w:val="FigureTableZnak"/>
            <w:b w:val="0"/>
            <w:bCs/>
          </w:rPr>
          <w:t xml:space="preserve">Ethanol treated samples were not sequenced as successfully as untreated samples, points on the plot indicate which timepoints are included in the analysis. </w:t>
        </w:r>
      </w:ins>
      <w:del w:id="445" w:author="Urša Miklavčič" w:date="2026-01-28T16:33:00Z" w16du:dateUtc="2026-01-28T15:33:00Z">
        <w:r w:rsidR="00F6197A" w:rsidRPr="00DA42F5" w:rsidDel="006F3192">
          <w:rPr>
            <w:rStyle w:val="FigureTableZnak"/>
            <w:b w:val="0"/>
            <w:bCs/>
          </w:rPr>
          <w:delText xml:space="preserve"> </w:delText>
        </w:r>
      </w:del>
      <w:r w:rsidR="00F6197A" w:rsidRPr="00DA42F5">
        <w:rPr>
          <w:rStyle w:val="FigureTableZnak"/>
          <w:b w:val="0"/>
          <w:bCs/>
        </w:rPr>
        <w:br w:type="page"/>
      </w:r>
    </w:p>
    <w:p w14:paraId="0350D3C5" w14:textId="6184D753" w:rsidR="00CD77AB" w:rsidRPr="00DA42F5" w:rsidRDefault="00386B8B" w:rsidP="00FE56A9">
      <w:pPr>
        <w:pStyle w:val="Heading2"/>
        <w:numPr>
          <w:ilvl w:val="1"/>
          <w:numId w:val="31"/>
        </w:numPr>
      </w:pPr>
      <w:bookmarkStart w:id="446" w:name="_Toc212712219"/>
      <w:bookmarkStart w:id="447" w:name="_Toc216099758"/>
      <w:bookmarkStart w:id="448" w:name="_Toc220591409"/>
      <w:r w:rsidRPr="00DA42F5">
        <w:lastRenderedPageBreak/>
        <w:t>LONGITUDINAL CHANGES IN THE RESISTOME DEPENDING ON CHANGES IN THE INTESTINAL MICROBIOTA</w:t>
      </w:r>
      <w:bookmarkEnd w:id="446"/>
      <w:bookmarkEnd w:id="447"/>
      <w:bookmarkEnd w:id="448"/>
      <w:r w:rsidRPr="00DA42F5">
        <w:t xml:space="preserve"> </w:t>
      </w:r>
    </w:p>
    <w:p w14:paraId="001522D6" w14:textId="6078A78C" w:rsidR="001E2B98" w:rsidRPr="00DA42F5" w:rsidRDefault="00362926" w:rsidP="00FE56A9">
      <w:pPr>
        <w:pStyle w:val="Heading3"/>
        <w:numPr>
          <w:ilvl w:val="2"/>
          <w:numId w:val="31"/>
        </w:numPr>
      </w:pPr>
      <w:bookmarkStart w:id="449" w:name="_Toc216099759"/>
      <w:bookmarkStart w:id="450" w:name="_Toc220591410"/>
      <w:r w:rsidRPr="00DA42F5">
        <w:t>Overall d</w:t>
      </w:r>
      <w:r w:rsidR="001E2B98" w:rsidRPr="00DA42F5">
        <w:t>iversity and abundance of antimicrobial resistance genes</w:t>
      </w:r>
      <w:bookmarkEnd w:id="450"/>
      <w:r w:rsidR="001E2B98" w:rsidRPr="00DA42F5">
        <w:t xml:space="preserve"> </w:t>
      </w:r>
      <w:bookmarkEnd w:id="449"/>
    </w:p>
    <w:p w14:paraId="26B524E3" w14:textId="5CA8B574" w:rsidR="00362926" w:rsidRPr="00DA42F5" w:rsidRDefault="00CD77AB" w:rsidP="00CD77AB">
      <w:pPr>
        <w:rPr>
          <w:rFonts w:cs="Times New Roman"/>
          <w:szCs w:val="24"/>
        </w:rPr>
      </w:pPr>
      <w:r w:rsidRPr="00DA42F5">
        <w:rPr>
          <w:rFonts w:cs="Times New Roman"/>
          <w:szCs w:val="24"/>
        </w:rPr>
        <w:t>Across the nine individuals in our cohort</w:t>
      </w:r>
      <w:r w:rsidR="00362926" w:rsidRPr="00DA42F5">
        <w:rPr>
          <w:rFonts w:cs="Times New Roman"/>
          <w:szCs w:val="24"/>
        </w:rPr>
        <w:t xml:space="preserve"> </w:t>
      </w:r>
      <w:del w:id="451" w:author="Urša Miklavčič" w:date="2026-01-21T10:50:00Z" w16du:dateUtc="2026-01-21T09:50:00Z">
        <w:r w:rsidR="00362926" w:rsidRPr="00DA42F5" w:rsidDel="00665D44">
          <w:rPr>
            <w:rFonts w:cs="Times New Roman"/>
            <w:szCs w:val="24"/>
          </w:rPr>
          <w:delText>an</w:delText>
        </w:r>
        <w:r w:rsidR="00665D44" w:rsidDel="00665D44">
          <w:rPr>
            <w:rFonts w:cs="Times New Roman"/>
            <w:szCs w:val="24"/>
          </w:rPr>
          <w:delText xml:space="preserve">d </w:delText>
        </w:r>
      </w:del>
      <w:r w:rsidR="00362926" w:rsidRPr="00DA42F5">
        <w:rPr>
          <w:rFonts w:cs="Times New Roman"/>
          <w:szCs w:val="24"/>
        </w:rPr>
        <w:t xml:space="preserve">during six </w:t>
      </w:r>
      <w:del w:id="452" w:author="Urša Miklavčič" w:date="2026-01-21T10:50:00Z" w16du:dateUtc="2026-01-21T09:50:00Z">
        <w:r w:rsidR="00362926" w:rsidRPr="00DA42F5" w:rsidDel="00665D44">
          <w:rPr>
            <w:rFonts w:cs="Times New Roman"/>
            <w:szCs w:val="24"/>
          </w:rPr>
          <w:delText>months time</w:delText>
        </w:r>
      </w:del>
      <w:ins w:id="453" w:author="Urša Miklavčič" w:date="2026-01-21T10:50:00Z" w16du:dateUtc="2026-01-21T09:50:00Z">
        <w:r w:rsidR="00665D44" w:rsidRPr="00DA42F5">
          <w:rPr>
            <w:rFonts w:cs="Times New Roman"/>
            <w:szCs w:val="24"/>
          </w:rPr>
          <w:t>months’ time</w:t>
        </w:r>
      </w:ins>
      <w:r w:rsidRPr="00DA42F5">
        <w:rPr>
          <w:rFonts w:cs="Times New Roman"/>
          <w:szCs w:val="24"/>
        </w:rPr>
        <w:t xml:space="preserve">, we detected 111 antimicrobial resistance genes (ARGs) spanning 16 classes and 5 resistance mechanisms, as annotated by </w:t>
      </w:r>
      <w:proofErr w:type="spellStart"/>
      <w:r w:rsidRPr="00DA42F5">
        <w:rPr>
          <w:rFonts w:cs="Times New Roman"/>
          <w:szCs w:val="24"/>
        </w:rPr>
        <w:t>AMRfinder</w:t>
      </w:r>
      <w:proofErr w:type="spellEnd"/>
      <w:r w:rsidRPr="00DA42F5">
        <w:rPr>
          <w:rFonts w:cs="Times New Roman"/>
          <w:szCs w:val="24"/>
        </w:rPr>
        <w:t xml:space="preserve"> and </w:t>
      </w:r>
      <w:r w:rsidR="00DE7854" w:rsidRPr="00DA42F5">
        <w:rPr>
          <w:rFonts w:cs="Times New Roman"/>
          <w:szCs w:val="24"/>
        </w:rPr>
        <w:t xml:space="preserve">the </w:t>
      </w:r>
      <w:r w:rsidRPr="00DA42F5">
        <w:rPr>
          <w:rFonts w:cs="Times New Roman"/>
          <w:szCs w:val="24"/>
        </w:rPr>
        <w:t xml:space="preserve">CARD database (Figure </w:t>
      </w:r>
      <w:r w:rsidR="008C2245" w:rsidRPr="00DA42F5">
        <w:rPr>
          <w:rFonts w:cs="Times New Roman"/>
          <w:szCs w:val="24"/>
        </w:rPr>
        <w:t>2</w:t>
      </w:r>
      <w:r w:rsidR="00E9210E" w:rsidRPr="00DA42F5">
        <w:rPr>
          <w:rFonts w:cs="Times New Roman"/>
          <w:szCs w:val="24"/>
        </w:rPr>
        <w:t>1</w:t>
      </w:r>
      <w:r w:rsidRPr="00DA42F5">
        <w:rPr>
          <w:rFonts w:cs="Times New Roman"/>
          <w:szCs w:val="24"/>
        </w:rPr>
        <w:t xml:space="preserve">). We also identified two stress response genes, </w:t>
      </w:r>
      <w:proofErr w:type="spellStart"/>
      <w:r w:rsidRPr="00DA42F5">
        <w:rPr>
          <w:rFonts w:cs="Times New Roman"/>
          <w:szCs w:val="24"/>
        </w:rPr>
        <w:t>gacL</w:t>
      </w:r>
      <w:proofErr w:type="spellEnd"/>
      <w:r w:rsidRPr="00DA42F5">
        <w:rPr>
          <w:rFonts w:cs="Times New Roman"/>
          <w:szCs w:val="24"/>
        </w:rPr>
        <w:t xml:space="preserve"> and </w:t>
      </w:r>
      <w:proofErr w:type="spellStart"/>
      <w:r w:rsidRPr="00DA42F5">
        <w:rPr>
          <w:rFonts w:cs="Times New Roman"/>
          <w:szCs w:val="24"/>
        </w:rPr>
        <w:t>qacEdelta1</w:t>
      </w:r>
      <w:proofErr w:type="spellEnd"/>
      <w:r w:rsidRPr="00DA42F5">
        <w:rPr>
          <w:rFonts w:cs="Times New Roman"/>
          <w:szCs w:val="24"/>
        </w:rPr>
        <w:t xml:space="preserve">. </w:t>
      </w:r>
      <w:r w:rsidR="00362926" w:rsidRPr="00DA42F5">
        <w:rPr>
          <w:rFonts w:cs="Times New Roman"/>
          <w:szCs w:val="24"/>
        </w:rPr>
        <w:t>Notably, clinically important carbapenem genes prevalent in Slovenia (</w:t>
      </w:r>
      <w:proofErr w:type="spellStart"/>
      <w:r w:rsidR="00362926" w:rsidRPr="00DA42F5">
        <w:rPr>
          <w:rFonts w:cs="Times New Roman"/>
          <w:szCs w:val="24"/>
        </w:rPr>
        <w:t>bla</w:t>
      </w:r>
      <w:r w:rsidR="00362926" w:rsidRPr="00DA42F5">
        <w:rPr>
          <w:rFonts w:cs="Times New Roman"/>
          <w:szCs w:val="24"/>
          <w:vertAlign w:val="subscript"/>
        </w:rPr>
        <w:t>KPC</w:t>
      </w:r>
      <w:proofErr w:type="spellEnd"/>
      <w:r w:rsidR="00362926" w:rsidRPr="00DA42F5">
        <w:rPr>
          <w:rFonts w:cs="Times New Roman"/>
          <w:szCs w:val="24"/>
        </w:rPr>
        <w:t xml:space="preserve">, </w:t>
      </w:r>
      <w:proofErr w:type="spellStart"/>
      <w:r w:rsidR="00362926" w:rsidRPr="00DA42F5">
        <w:rPr>
          <w:rFonts w:cs="Times New Roman"/>
          <w:szCs w:val="24"/>
        </w:rPr>
        <w:t>bla</w:t>
      </w:r>
      <w:r w:rsidR="00362926" w:rsidRPr="00DA42F5">
        <w:rPr>
          <w:rFonts w:cs="Times New Roman"/>
          <w:szCs w:val="24"/>
          <w:vertAlign w:val="subscript"/>
        </w:rPr>
        <w:t>NDM</w:t>
      </w:r>
      <w:proofErr w:type="spellEnd"/>
      <w:r w:rsidR="00362926" w:rsidRPr="00DA42F5">
        <w:rPr>
          <w:rFonts w:cs="Times New Roman"/>
          <w:szCs w:val="24"/>
        </w:rPr>
        <w:t xml:space="preserve">, </w:t>
      </w:r>
      <w:proofErr w:type="spellStart"/>
      <w:r w:rsidR="00362926" w:rsidRPr="00DA42F5">
        <w:rPr>
          <w:rFonts w:cs="Times New Roman"/>
          <w:szCs w:val="24"/>
        </w:rPr>
        <w:t>bla</w:t>
      </w:r>
      <w:r w:rsidR="00362926" w:rsidRPr="00DA42F5">
        <w:rPr>
          <w:rFonts w:cs="Times New Roman"/>
          <w:szCs w:val="24"/>
          <w:vertAlign w:val="subscript"/>
        </w:rPr>
        <w:t>OXA48</w:t>
      </w:r>
      <w:proofErr w:type="spellEnd"/>
      <w:r w:rsidR="00362926" w:rsidRPr="00DA42F5">
        <w:rPr>
          <w:rFonts w:cs="Times New Roman"/>
          <w:szCs w:val="24"/>
        </w:rPr>
        <w:t xml:space="preserve"> or </w:t>
      </w:r>
      <w:proofErr w:type="spellStart"/>
      <w:r w:rsidR="00362926" w:rsidRPr="00DA42F5">
        <w:rPr>
          <w:rFonts w:cs="Times New Roman"/>
          <w:szCs w:val="24"/>
        </w:rPr>
        <w:t>bla</w:t>
      </w:r>
      <w:r w:rsidR="00362926" w:rsidRPr="00DA42F5">
        <w:rPr>
          <w:rFonts w:cs="Times New Roman"/>
          <w:szCs w:val="24"/>
          <w:vertAlign w:val="subscript"/>
        </w:rPr>
        <w:t>VIM</w:t>
      </w:r>
      <w:proofErr w:type="spellEnd"/>
      <w:r w:rsidR="00362926" w:rsidRPr="00DA42F5">
        <w:rPr>
          <w:rFonts w:cs="Times New Roman"/>
          <w:szCs w:val="24"/>
        </w:rPr>
        <w:t xml:space="preserve">) and </w:t>
      </w:r>
      <w:r w:rsidR="00362926" w:rsidRPr="00DA42F5">
        <w:rPr>
          <w:rFonts w:cs="Times New Roman"/>
          <w:i/>
          <w:iCs/>
          <w:szCs w:val="24"/>
        </w:rPr>
        <w:t>Acinetobacter</w:t>
      </w:r>
      <w:r w:rsidR="00362926" w:rsidRPr="00DA42F5">
        <w:rPr>
          <w:rFonts w:cs="Times New Roman"/>
          <w:szCs w:val="24"/>
        </w:rPr>
        <w:t xml:space="preserve">-associated </w:t>
      </w:r>
      <w:proofErr w:type="spellStart"/>
      <w:r w:rsidR="00362926" w:rsidRPr="00DA42F5">
        <w:rPr>
          <w:rFonts w:cs="Times New Roman"/>
          <w:szCs w:val="24"/>
        </w:rPr>
        <w:t>bla</w:t>
      </w:r>
      <w:r w:rsidR="00362926" w:rsidRPr="00DA42F5">
        <w:rPr>
          <w:rFonts w:cs="Times New Roman"/>
          <w:szCs w:val="24"/>
          <w:vertAlign w:val="subscript"/>
        </w:rPr>
        <w:t>OXA23</w:t>
      </w:r>
      <w:proofErr w:type="spellEnd"/>
      <w:r w:rsidR="00362926" w:rsidRPr="00DA42F5">
        <w:rPr>
          <w:rFonts w:cs="Times New Roman"/>
          <w:szCs w:val="24"/>
        </w:rPr>
        <w:t xml:space="preserve"> and </w:t>
      </w:r>
      <w:proofErr w:type="spellStart"/>
      <w:r w:rsidR="00362926" w:rsidRPr="00DA42F5">
        <w:rPr>
          <w:rFonts w:cs="Times New Roman"/>
          <w:szCs w:val="24"/>
        </w:rPr>
        <w:t>bla</w:t>
      </w:r>
      <w:r w:rsidR="00362926" w:rsidRPr="00DA42F5">
        <w:rPr>
          <w:rFonts w:cs="Times New Roman"/>
          <w:szCs w:val="24"/>
          <w:vertAlign w:val="subscript"/>
        </w:rPr>
        <w:t>OXA24</w:t>
      </w:r>
      <w:proofErr w:type="spellEnd"/>
      <w:r w:rsidR="00362926" w:rsidRPr="00DA42F5">
        <w:rPr>
          <w:rFonts w:cs="Times New Roman"/>
          <w:szCs w:val="24"/>
        </w:rPr>
        <w:t xml:space="preserve"> were absent. The only clinically relevant ARG detected was </w:t>
      </w:r>
      <w:proofErr w:type="spellStart"/>
      <w:r w:rsidR="00362926" w:rsidRPr="00DA42F5">
        <w:rPr>
          <w:rFonts w:cs="Times New Roman"/>
          <w:szCs w:val="24"/>
        </w:rPr>
        <w:t>bla</w:t>
      </w:r>
      <w:r w:rsidR="00362926" w:rsidRPr="00DA42F5">
        <w:rPr>
          <w:rFonts w:cs="Times New Roman"/>
          <w:szCs w:val="24"/>
          <w:vertAlign w:val="subscript"/>
        </w:rPr>
        <w:t>CTX-M1</w:t>
      </w:r>
      <w:proofErr w:type="spellEnd"/>
      <w:r w:rsidR="00362926" w:rsidRPr="00DA42F5">
        <w:rPr>
          <w:rFonts w:cs="Times New Roman"/>
          <w:szCs w:val="24"/>
        </w:rPr>
        <w:t xml:space="preserve">, found at very low abundance in a single individual (I) on a contig classified within the </w:t>
      </w:r>
      <w:r w:rsidR="00362926" w:rsidRPr="00DA42F5">
        <w:rPr>
          <w:rFonts w:cs="Times New Roman"/>
          <w:i/>
          <w:iCs/>
          <w:szCs w:val="24"/>
        </w:rPr>
        <w:t>Enterobacteriaceae</w:t>
      </w:r>
      <w:r w:rsidR="00362926" w:rsidRPr="00DA42F5">
        <w:rPr>
          <w:rFonts w:cs="Times New Roman"/>
          <w:szCs w:val="24"/>
        </w:rPr>
        <w:t xml:space="preserve"> family (Supplement Figure 2</w:t>
      </w:r>
      <w:ins w:id="454" w:author="Urša Miklavčič" w:date="2026-01-29T14:53:00Z" w16du:dateUtc="2026-01-29T13:53:00Z">
        <w:r w:rsidR="00ED4887">
          <w:rPr>
            <w:rFonts w:cs="Times New Roman"/>
            <w:szCs w:val="24"/>
          </w:rPr>
          <w:t>1</w:t>
        </w:r>
      </w:ins>
      <w:del w:id="455" w:author="Urša Miklavčič" w:date="2026-01-29T14:53:00Z" w16du:dateUtc="2026-01-29T13:53:00Z">
        <w:r w:rsidR="00362926" w:rsidRPr="00DA42F5" w:rsidDel="00ED4887">
          <w:rPr>
            <w:rFonts w:cs="Times New Roman"/>
            <w:szCs w:val="24"/>
          </w:rPr>
          <w:delText>0</w:delText>
        </w:r>
      </w:del>
      <w:r w:rsidR="00362926" w:rsidRPr="00DA42F5">
        <w:rPr>
          <w:rFonts w:cs="Times New Roman"/>
          <w:szCs w:val="24"/>
        </w:rPr>
        <w:t xml:space="preserve">). </w:t>
      </w:r>
    </w:p>
    <w:p w14:paraId="21152D00" w14:textId="75F35491" w:rsidR="00362926" w:rsidRPr="00DA42F5" w:rsidRDefault="00CD77AB" w:rsidP="00CD77AB">
      <w:pPr>
        <w:rPr>
          <w:rFonts w:cs="Times New Roman"/>
          <w:szCs w:val="24"/>
        </w:rPr>
      </w:pPr>
      <w:r w:rsidRPr="00DA42F5">
        <w:rPr>
          <w:rFonts w:cs="Times New Roman"/>
          <w:szCs w:val="24"/>
        </w:rPr>
        <w:t>The highest richness of ARGs was observed in aminoglycoside resistance genes, followed by glycopeptide, tetracycline</w:t>
      </w:r>
      <w:r w:rsidR="00DE7854" w:rsidRPr="00DA42F5">
        <w:rPr>
          <w:rFonts w:cs="Times New Roman"/>
          <w:szCs w:val="24"/>
        </w:rPr>
        <w:t>,</w:t>
      </w:r>
      <w:r w:rsidRPr="00DA42F5">
        <w:rPr>
          <w:rFonts w:cs="Times New Roman"/>
          <w:szCs w:val="24"/>
        </w:rPr>
        <w:t xml:space="preserve"> and beta-lactam classes (Figure </w:t>
      </w:r>
      <w:proofErr w:type="spellStart"/>
      <w:r w:rsidR="008C2245" w:rsidRPr="00DA42F5">
        <w:rPr>
          <w:rFonts w:cs="Times New Roman"/>
          <w:szCs w:val="24"/>
        </w:rPr>
        <w:t>2</w:t>
      </w:r>
      <w:r w:rsidR="00617433" w:rsidRPr="00DA42F5">
        <w:rPr>
          <w:rFonts w:cs="Times New Roman"/>
          <w:szCs w:val="24"/>
        </w:rPr>
        <w:t>1</w:t>
      </w:r>
      <w:r w:rsidRPr="00DA42F5">
        <w:rPr>
          <w:rFonts w:cs="Times New Roman"/>
          <w:szCs w:val="24"/>
        </w:rPr>
        <w:t>A</w:t>
      </w:r>
      <w:proofErr w:type="spellEnd"/>
      <w:r w:rsidRPr="00DA42F5">
        <w:rPr>
          <w:rFonts w:cs="Times New Roman"/>
          <w:szCs w:val="24"/>
        </w:rPr>
        <w:t xml:space="preserve">). </w:t>
      </w:r>
      <w:r w:rsidR="00DE7854" w:rsidRPr="00DA42F5">
        <w:rPr>
          <w:rFonts w:cs="Times New Roman"/>
          <w:szCs w:val="24"/>
        </w:rPr>
        <w:t>The d</w:t>
      </w:r>
      <w:r w:rsidRPr="00DA42F5">
        <w:rPr>
          <w:rFonts w:cs="Times New Roman"/>
          <w:szCs w:val="24"/>
        </w:rPr>
        <w:t xml:space="preserve">iversity of ARGs per class did not correlate </w:t>
      </w:r>
      <w:r w:rsidR="00DE7854" w:rsidRPr="00DA42F5">
        <w:rPr>
          <w:rFonts w:cs="Times New Roman"/>
          <w:szCs w:val="24"/>
        </w:rPr>
        <w:t>with</w:t>
      </w:r>
      <w:r w:rsidRPr="00DA42F5">
        <w:rPr>
          <w:rFonts w:cs="Times New Roman"/>
          <w:szCs w:val="24"/>
        </w:rPr>
        <w:t xml:space="preserve"> the abundance of ARGs in </w:t>
      </w:r>
      <w:r w:rsidR="00362926" w:rsidRPr="00DA42F5">
        <w:rPr>
          <w:rFonts w:cs="Times New Roman"/>
          <w:szCs w:val="24"/>
        </w:rPr>
        <w:t xml:space="preserve">the </w:t>
      </w:r>
      <w:r w:rsidRPr="00DA42F5">
        <w:rPr>
          <w:rFonts w:cs="Times New Roman"/>
          <w:szCs w:val="24"/>
        </w:rPr>
        <w:t>class. The most abundant ARGs confer resistance to tetracyclines, protein synthesis inhibitors (</w:t>
      </w:r>
      <w:proofErr w:type="spellStart"/>
      <w:r w:rsidRPr="00DA42F5">
        <w:rPr>
          <w:rFonts w:cs="Times New Roman"/>
          <w:szCs w:val="24"/>
        </w:rPr>
        <w:t>lincosamide</w:t>
      </w:r>
      <w:proofErr w:type="spellEnd"/>
      <w:r w:rsidRPr="00DA42F5">
        <w:rPr>
          <w:rFonts w:cs="Times New Roman"/>
          <w:szCs w:val="24"/>
        </w:rPr>
        <w:t>, macrolide</w:t>
      </w:r>
      <w:r w:rsidR="00DE7854" w:rsidRPr="00DA42F5">
        <w:rPr>
          <w:rFonts w:cs="Times New Roman"/>
          <w:szCs w:val="24"/>
        </w:rPr>
        <w:t>,</w:t>
      </w:r>
      <w:r w:rsidRPr="00DA42F5">
        <w:rPr>
          <w:rFonts w:cs="Times New Roman"/>
          <w:szCs w:val="24"/>
        </w:rPr>
        <w:t xml:space="preserve"> and streptogramin), and beta-lact</w:t>
      </w:r>
      <w:r w:rsidR="000E622D" w:rsidRPr="00DA42F5">
        <w:rPr>
          <w:rFonts w:cs="Times New Roman"/>
          <w:szCs w:val="24"/>
        </w:rPr>
        <w:t>am</w:t>
      </w:r>
      <w:r w:rsidRPr="00DA42F5">
        <w:rPr>
          <w:rFonts w:cs="Times New Roman"/>
          <w:szCs w:val="24"/>
        </w:rPr>
        <w:t xml:space="preserve">ases that inactivate antibiotics (Figure </w:t>
      </w:r>
      <w:proofErr w:type="spellStart"/>
      <w:r w:rsidR="008C2245" w:rsidRPr="00DA42F5">
        <w:rPr>
          <w:rFonts w:cs="Times New Roman"/>
          <w:szCs w:val="24"/>
        </w:rPr>
        <w:t>2</w:t>
      </w:r>
      <w:r w:rsidR="00617433" w:rsidRPr="00DA42F5">
        <w:rPr>
          <w:rFonts w:cs="Times New Roman"/>
          <w:szCs w:val="24"/>
        </w:rPr>
        <w:t>1</w:t>
      </w:r>
      <w:r w:rsidRPr="00DA42F5">
        <w:rPr>
          <w:rFonts w:cs="Times New Roman"/>
          <w:szCs w:val="24"/>
        </w:rPr>
        <w:t>B</w:t>
      </w:r>
      <w:proofErr w:type="spellEnd"/>
      <w:r w:rsidRPr="00DA42F5">
        <w:rPr>
          <w:rFonts w:cs="Times New Roman"/>
          <w:szCs w:val="24"/>
        </w:rPr>
        <w:t xml:space="preserve">). </w:t>
      </w:r>
    </w:p>
    <w:p w14:paraId="7B91C75F" w14:textId="2FC3CC39" w:rsidR="0045642B" w:rsidRPr="00DA42F5" w:rsidRDefault="00CD77AB" w:rsidP="00CD77AB">
      <w:pPr>
        <w:rPr>
          <w:rFonts w:cs="Times New Roman"/>
          <w:szCs w:val="24"/>
        </w:rPr>
      </w:pPr>
      <w:r w:rsidRPr="00DA42F5">
        <w:rPr>
          <w:rFonts w:cs="Times New Roman"/>
          <w:szCs w:val="24"/>
        </w:rPr>
        <w:t xml:space="preserve">Taxonomically, ARG diversity was highest for phylum </w:t>
      </w:r>
      <w:r w:rsidRPr="00DA42F5">
        <w:rPr>
          <w:rFonts w:cs="Times New Roman"/>
          <w:i/>
          <w:iCs/>
          <w:szCs w:val="24"/>
        </w:rPr>
        <w:t>Bacillota</w:t>
      </w:r>
      <w:r w:rsidRPr="00DA42F5">
        <w:rPr>
          <w:rFonts w:cs="Times New Roman"/>
          <w:szCs w:val="24"/>
        </w:rPr>
        <w:t xml:space="preserve">, followed by </w:t>
      </w:r>
      <w:r w:rsidRPr="00DA42F5">
        <w:rPr>
          <w:rFonts w:cs="Times New Roman"/>
          <w:i/>
          <w:iCs/>
          <w:szCs w:val="24"/>
        </w:rPr>
        <w:t>Bacteroidota</w:t>
      </w:r>
      <w:r w:rsidRPr="00DA42F5">
        <w:rPr>
          <w:rFonts w:cs="Times New Roman"/>
          <w:szCs w:val="24"/>
        </w:rPr>
        <w:t xml:space="preserve">, however, ARG abundance was greater in </w:t>
      </w:r>
      <w:r w:rsidRPr="00DA42F5">
        <w:rPr>
          <w:rFonts w:cs="Times New Roman"/>
          <w:i/>
          <w:iCs/>
          <w:szCs w:val="24"/>
        </w:rPr>
        <w:t>Bacteroidota</w:t>
      </w:r>
      <w:r w:rsidRPr="00DA42F5">
        <w:rPr>
          <w:rFonts w:cs="Times New Roman"/>
          <w:szCs w:val="24"/>
        </w:rPr>
        <w:t xml:space="preserve">, followed by </w:t>
      </w:r>
      <w:r w:rsidRPr="00DA42F5">
        <w:rPr>
          <w:rFonts w:cs="Times New Roman"/>
          <w:i/>
          <w:iCs/>
          <w:szCs w:val="24"/>
        </w:rPr>
        <w:t xml:space="preserve">Bacillota </w:t>
      </w:r>
      <w:r w:rsidRPr="00DA42F5">
        <w:rPr>
          <w:rFonts w:cs="Times New Roman"/>
          <w:szCs w:val="24"/>
        </w:rPr>
        <w:t xml:space="preserve">(Supplement Figure </w:t>
      </w:r>
      <w:ins w:id="456" w:author="Urša Miklavčič" w:date="2026-01-29T14:53:00Z" w16du:dateUtc="2026-01-29T13:53:00Z">
        <w:r w:rsidR="00ED4887">
          <w:rPr>
            <w:rFonts w:cs="Times New Roman"/>
            <w:szCs w:val="24"/>
          </w:rPr>
          <w:t>22</w:t>
        </w:r>
      </w:ins>
      <w:del w:id="457" w:author="Urša Miklavčič" w:date="2026-01-29T14:53:00Z" w16du:dateUtc="2026-01-29T13:53:00Z">
        <w:r w:rsidR="00DE7854" w:rsidRPr="00DA42F5" w:rsidDel="00ED4887">
          <w:rPr>
            <w:rFonts w:cs="Times New Roman"/>
            <w:szCs w:val="24"/>
          </w:rPr>
          <w:delText>1</w:delText>
        </w:r>
        <w:r w:rsidR="007F1806" w:rsidRPr="00DA42F5" w:rsidDel="00ED4887">
          <w:rPr>
            <w:rFonts w:cs="Times New Roman"/>
            <w:szCs w:val="24"/>
          </w:rPr>
          <w:delText>9</w:delText>
        </w:r>
      </w:del>
      <w:r w:rsidRPr="00DA42F5">
        <w:rPr>
          <w:rFonts w:cs="Times New Roman"/>
          <w:szCs w:val="24"/>
        </w:rPr>
        <w:t xml:space="preserve">). </w:t>
      </w:r>
    </w:p>
    <w:p w14:paraId="6AB9B9E9" w14:textId="77777777" w:rsidR="0045642B" w:rsidRPr="00DA42F5" w:rsidRDefault="0045642B" w:rsidP="0045642B">
      <w:pPr>
        <w:keepNext/>
      </w:pPr>
      <w:r w:rsidRPr="00DA42F5">
        <w:rPr>
          <w:rFonts w:cs="Times New Roman"/>
          <w:noProof/>
          <w:szCs w:val="24"/>
        </w:rPr>
        <w:lastRenderedPageBreak/>
        <w:drawing>
          <wp:inline distT="0" distB="0" distL="0" distR="0" wp14:anchorId="1CE8ED63" wp14:editId="77E1A6E9">
            <wp:extent cx="5943600" cy="5467350"/>
            <wp:effectExtent l="0" t="0" r="0" b="0"/>
            <wp:docPr id="1922931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5467350"/>
                    </a:xfrm>
                    <a:prstGeom prst="rect">
                      <a:avLst/>
                    </a:prstGeom>
                    <a:noFill/>
                    <a:ln>
                      <a:noFill/>
                    </a:ln>
                  </pic:spPr>
                </pic:pic>
              </a:graphicData>
            </a:graphic>
          </wp:inline>
        </w:drawing>
      </w:r>
    </w:p>
    <w:p w14:paraId="4E7CF925" w14:textId="08681C89" w:rsidR="00CD77AB" w:rsidRPr="00DA42F5" w:rsidRDefault="0045642B" w:rsidP="0045642B">
      <w:pPr>
        <w:pStyle w:val="Caption"/>
      </w:pPr>
      <w:bookmarkStart w:id="458" w:name="_Toc216101635"/>
      <w:r w:rsidRPr="00DA42F5">
        <w:t xml:space="preserve">Figure </w:t>
      </w:r>
      <w:r w:rsidRPr="00DA42F5">
        <w:fldChar w:fldCharType="begin"/>
      </w:r>
      <w:r w:rsidRPr="00DA42F5">
        <w:instrText xml:space="preserve"> SEQ Figure \* ARABIC </w:instrText>
      </w:r>
      <w:r w:rsidRPr="00DA42F5">
        <w:fldChar w:fldCharType="separate"/>
      </w:r>
      <w:r w:rsidR="00C11001">
        <w:rPr>
          <w:noProof/>
        </w:rPr>
        <w:t>21</w:t>
      </w:r>
      <w:r w:rsidRPr="00DA42F5">
        <w:fldChar w:fldCharType="end"/>
      </w:r>
      <w:r w:rsidRPr="00DA42F5">
        <w:t xml:space="preserve">. Diversity and abundance of antimicrobial resistance genes (ARGs) across all </w:t>
      </w:r>
      <w:r w:rsidR="007F1806" w:rsidRPr="00DA42F5">
        <w:t xml:space="preserve">individuals </w:t>
      </w:r>
      <w:del w:id="459" w:author="Urša Miklavčič" w:date="2026-01-29T15:02:00Z" w16du:dateUtc="2026-01-29T14:02:00Z">
        <w:r w:rsidR="007F1806" w:rsidRPr="00DA42F5" w:rsidDel="00B41263">
          <w:delText>bulk microbiota</w:delText>
        </w:r>
      </w:del>
      <w:ins w:id="460" w:author="Urša Miklavčič" w:date="2026-01-29T15:02:00Z" w16du:dateUtc="2026-01-29T14:02:00Z">
        <w:r w:rsidR="00B41263">
          <w:t>untreated</w:t>
        </w:r>
      </w:ins>
      <w:r w:rsidR="007F1806" w:rsidRPr="00DA42F5">
        <w:t xml:space="preserve"> samples</w:t>
      </w:r>
      <w:r w:rsidRPr="00DA42F5">
        <w:t xml:space="preserve">. </w:t>
      </w:r>
      <w:r w:rsidRPr="00DA42F5">
        <w:rPr>
          <w:b w:val="0"/>
          <w:bCs/>
        </w:rPr>
        <w:t xml:space="preserve">A) </w:t>
      </w:r>
      <w:r w:rsidR="00CD77AB" w:rsidRPr="00DA42F5">
        <w:rPr>
          <w:b w:val="0"/>
          <w:bCs/>
        </w:rPr>
        <w:t xml:space="preserve">Number of unique </w:t>
      </w:r>
      <w:r w:rsidR="007F1806" w:rsidRPr="00DA42F5">
        <w:rPr>
          <w:b w:val="0"/>
          <w:bCs/>
        </w:rPr>
        <w:t>ARGs</w:t>
      </w:r>
      <w:r w:rsidR="00CD77AB" w:rsidRPr="00DA42F5">
        <w:rPr>
          <w:b w:val="0"/>
          <w:bCs/>
        </w:rPr>
        <w:t xml:space="preserve"> and B) number of mapped reads</w:t>
      </w:r>
      <w:r w:rsidR="007F1806" w:rsidRPr="00DA42F5">
        <w:rPr>
          <w:b w:val="0"/>
          <w:bCs/>
        </w:rPr>
        <w:t xml:space="preserve"> per million</w:t>
      </w:r>
      <w:r w:rsidR="00CD77AB" w:rsidRPr="00DA42F5">
        <w:rPr>
          <w:b w:val="0"/>
          <w:bCs/>
        </w:rPr>
        <w:t xml:space="preserve"> (</w:t>
      </w:r>
      <w:proofErr w:type="spellStart"/>
      <w:r w:rsidR="00CD77AB" w:rsidRPr="00DA42F5">
        <w:rPr>
          <w:b w:val="0"/>
          <w:bCs/>
        </w:rPr>
        <w:t>TPM</w:t>
      </w:r>
      <w:proofErr w:type="spellEnd"/>
      <w:r w:rsidR="00CD77AB" w:rsidRPr="00DA42F5">
        <w:rPr>
          <w:b w:val="0"/>
          <w:bCs/>
        </w:rPr>
        <w:t>) to ARGs, coloured by mechanism of resistance based on CARD.</w:t>
      </w:r>
      <w:bookmarkEnd w:id="458"/>
      <w:r w:rsidR="00CD77AB" w:rsidRPr="00DA42F5">
        <w:t xml:space="preserve"> </w:t>
      </w:r>
    </w:p>
    <w:p w14:paraId="7413538C" w14:textId="77777777" w:rsidR="0045642B" w:rsidRPr="00DA42F5" w:rsidRDefault="0045642B" w:rsidP="0045642B"/>
    <w:p w14:paraId="5265D6C7" w14:textId="34489B1C" w:rsidR="001E2B98" w:rsidRPr="00DA42F5" w:rsidRDefault="00D97668" w:rsidP="00FE56A9">
      <w:pPr>
        <w:pStyle w:val="Heading3"/>
        <w:numPr>
          <w:ilvl w:val="2"/>
          <w:numId w:val="31"/>
        </w:numPr>
      </w:pPr>
      <w:bookmarkStart w:id="461" w:name="_Toc216099760"/>
      <w:bookmarkStart w:id="462" w:name="_Toc220591411"/>
      <w:r>
        <w:t>Per</w:t>
      </w:r>
      <w:commentRangeStart w:id="463"/>
      <w:r w:rsidR="001E2B98" w:rsidRPr="00DA42F5">
        <w:t>sistence of antimicrobial resistance genes in the human gut</w:t>
      </w:r>
      <w:bookmarkEnd w:id="461"/>
      <w:commentRangeEnd w:id="463"/>
      <w:r w:rsidR="00362926" w:rsidRPr="00DA42F5">
        <w:rPr>
          <w:rStyle w:val="CommentReference"/>
          <w:rFonts w:eastAsiaTheme="minorHAnsi" w:cstheme="minorBidi"/>
          <w:b w:val="0"/>
          <w:bCs w:val="0"/>
          <w:color w:val="auto"/>
        </w:rPr>
        <w:commentReference w:id="463"/>
      </w:r>
      <w:bookmarkEnd w:id="462"/>
    </w:p>
    <w:p w14:paraId="57F21FBB" w14:textId="759DE8BC" w:rsidR="00CD77AB" w:rsidRPr="00DA42F5" w:rsidRDefault="00DE7854" w:rsidP="00CD77AB">
      <w:pPr>
        <w:rPr>
          <w:rFonts w:cs="Times New Roman"/>
          <w:szCs w:val="24"/>
        </w:rPr>
      </w:pPr>
      <w:r w:rsidRPr="00DA42F5">
        <w:rPr>
          <w:rFonts w:cs="Times New Roman"/>
          <w:szCs w:val="24"/>
        </w:rPr>
        <w:t xml:space="preserve">We detected between 81 and 101 unique ARGs per individual, </w:t>
      </w:r>
      <w:commentRangeStart w:id="464"/>
      <w:r w:rsidRPr="00DA42F5">
        <w:rPr>
          <w:rFonts w:cs="Times New Roman"/>
          <w:szCs w:val="24"/>
        </w:rPr>
        <w:t xml:space="preserve">with 32% to 63% </w:t>
      </w:r>
      <w:commentRangeEnd w:id="464"/>
      <w:r w:rsidR="00362926" w:rsidRPr="00DA42F5">
        <w:rPr>
          <w:rStyle w:val="CommentReference"/>
        </w:rPr>
        <w:commentReference w:id="464"/>
      </w:r>
      <w:r w:rsidRPr="00DA42F5">
        <w:rPr>
          <w:rFonts w:cs="Times New Roman"/>
          <w:szCs w:val="24"/>
        </w:rPr>
        <w:t xml:space="preserve">(average 36%) </w:t>
      </w:r>
      <w:r w:rsidR="00D97668">
        <w:rPr>
          <w:rFonts w:cs="Times New Roman"/>
          <w:szCs w:val="24"/>
        </w:rPr>
        <w:t xml:space="preserve">ARGs out of all ARGs per individual being </w:t>
      </w:r>
      <w:r w:rsidRPr="00DA42F5">
        <w:rPr>
          <w:rFonts w:cs="Times New Roman"/>
          <w:szCs w:val="24"/>
        </w:rPr>
        <w:t>consistently present over six months in each participant (Supplement Figure 2</w:t>
      </w:r>
      <w:ins w:id="465" w:author="Urša Miklavčič" w:date="2026-01-29T14:53:00Z" w16du:dateUtc="2026-01-29T13:53:00Z">
        <w:r w:rsidR="00ED4887">
          <w:rPr>
            <w:rFonts w:cs="Times New Roman"/>
            <w:szCs w:val="24"/>
          </w:rPr>
          <w:t>3</w:t>
        </w:r>
      </w:ins>
      <w:del w:id="466" w:author="Urša Miklavčič" w:date="2026-01-29T14:53:00Z" w16du:dateUtc="2026-01-29T13:53:00Z">
        <w:r w:rsidR="007F1806" w:rsidRPr="00DA42F5" w:rsidDel="00ED4887">
          <w:rPr>
            <w:rFonts w:cs="Times New Roman"/>
            <w:szCs w:val="24"/>
          </w:rPr>
          <w:delText>1</w:delText>
        </w:r>
      </w:del>
      <w:r w:rsidRPr="00DA42F5">
        <w:rPr>
          <w:rFonts w:cs="Times New Roman"/>
          <w:szCs w:val="24"/>
        </w:rPr>
        <w:t xml:space="preserve">). Individuals who reported </w:t>
      </w:r>
      <w:r w:rsidR="007F1806" w:rsidRPr="00DA42F5">
        <w:rPr>
          <w:rFonts w:cs="Times New Roman"/>
          <w:szCs w:val="24"/>
        </w:rPr>
        <w:t>pre-defined</w:t>
      </w:r>
      <w:r w:rsidRPr="00DA42F5">
        <w:rPr>
          <w:rFonts w:cs="Times New Roman"/>
          <w:szCs w:val="24"/>
        </w:rPr>
        <w:t xml:space="preserve"> events did not have higher abundance or diversity of ARGs, nor did they have more persistent ARGs. In the six months</w:t>
      </w:r>
      <w:r w:rsidR="00362926" w:rsidRPr="00DA42F5">
        <w:rPr>
          <w:rFonts w:cs="Times New Roman"/>
          <w:szCs w:val="24"/>
        </w:rPr>
        <w:t xml:space="preserve"> study interval</w:t>
      </w:r>
      <w:r w:rsidRPr="00DA42F5">
        <w:rPr>
          <w:rFonts w:cs="Times New Roman"/>
          <w:szCs w:val="24"/>
        </w:rPr>
        <w:t>, we did not detect any true loss or gain of a new ARG within individuals (Supplement Figure 2</w:t>
      </w:r>
      <w:ins w:id="467" w:author="Urša Miklavčič" w:date="2026-01-29T14:54:00Z" w16du:dateUtc="2026-01-29T13:54:00Z">
        <w:r w:rsidR="00ED4887">
          <w:rPr>
            <w:rFonts w:cs="Times New Roman"/>
            <w:szCs w:val="24"/>
          </w:rPr>
          <w:t>4</w:t>
        </w:r>
      </w:ins>
      <w:del w:id="468" w:author="Urša Miklavčič" w:date="2026-01-29T14:54:00Z" w16du:dateUtc="2026-01-29T13:54:00Z">
        <w:r w:rsidR="007F1806" w:rsidRPr="00DA42F5" w:rsidDel="00ED4887">
          <w:rPr>
            <w:rFonts w:cs="Times New Roman"/>
            <w:szCs w:val="24"/>
          </w:rPr>
          <w:delText>2</w:delText>
        </w:r>
      </w:del>
      <w:r w:rsidRPr="00DA42F5">
        <w:rPr>
          <w:rFonts w:cs="Times New Roman"/>
          <w:szCs w:val="24"/>
        </w:rPr>
        <w:t>).</w:t>
      </w:r>
    </w:p>
    <w:p w14:paraId="7EB82D7C" w14:textId="0DD6D627" w:rsidR="00CD77AB" w:rsidRPr="00DA42F5" w:rsidRDefault="00DE7854" w:rsidP="00CD77AB">
      <w:pPr>
        <w:rPr>
          <w:rFonts w:cs="Times New Roman"/>
          <w:szCs w:val="24"/>
        </w:rPr>
      </w:pPr>
      <w:r w:rsidRPr="00DA42F5">
        <w:rPr>
          <w:rFonts w:cs="Times New Roman"/>
          <w:szCs w:val="24"/>
        </w:rPr>
        <w:lastRenderedPageBreak/>
        <w:t>We observed no significant correlation between reported events and changes in the abundance or diversity of ARGs beyond normal fluctuations within individuals over six months (Figure 2</w:t>
      </w:r>
      <w:r w:rsidR="0045642B" w:rsidRPr="00DA42F5">
        <w:rPr>
          <w:rFonts w:cs="Times New Roman"/>
          <w:szCs w:val="24"/>
        </w:rPr>
        <w:t>2</w:t>
      </w:r>
      <w:r w:rsidRPr="00DA42F5">
        <w:rPr>
          <w:rFonts w:cs="Times New Roman"/>
          <w:szCs w:val="24"/>
        </w:rPr>
        <w:t>). The only decrease in bacterial diversity that could be correlated with a lifestyle change occurred in individual H during antibiotic consumption (amoxicillin, days 7</w:t>
      </w:r>
      <w:r w:rsidR="007F1806" w:rsidRPr="00DA42F5">
        <w:rPr>
          <w:rFonts w:cs="Times New Roman"/>
          <w:szCs w:val="24"/>
        </w:rPr>
        <w:t>0</w:t>
      </w:r>
      <w:r w:rsidRPr="00DA42F5">
        <w:rPr>
          <w:rFonts w:cs="Times New Roman"/>
          <w:szCs w:val="24"/>
        </w:rPr>
        <w:t xml:space="preserve"> to 84, Figure 10). Although other individuals also consumed antibiotics (E, day 10, doxycycline), travelled (A, B, C, D, G, H, I), or experienced periods of stress (D, I, G), none of these events influenced bacterial diversity or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correlated positively with bacterial diversity, whereas </w:t>
      </w:r>
      <w:proofErr w:type="spellStart"/>
      <w:r w:rsidRPr="00DA42F5">
        <w:rPr>
          <w:rFonts w:cs="Times New Roman"/>
          <w:szCs w:val="24"/>
        </w:rPr>
        <w:t>lincosamide</w:t>
      </w:r>
      <w:proofErr w:type="spellEnd"/>
      <w:r w:rsidRPr="00DA42F5">
        <w:rPr>
          <w:rFonts w:cs="Times New Roman"/>
          <w:szCs w:val="24"/>
        </w:rPr>
        <w:t>, sulphonamide, trimethoprim, and some macrolide resistance genes correlated negatively (Supplement Figure 2</w:t>
      </w:r>
      <w:ins w:id="469" w:author="Urša Miklavčič" w:date="2026-01-29T14:54:00Z" w16du:dateUtc="2026-01-29T13:54:00Z">
        <w:r w:rsidR="00ED4887">
          <w:rPr>
            <w:rFonts w:cs="Times New Roman"/>
            <w:szCs w:val="24"/>
          </w:rPr>
          <w:t>5</w:t>
        </w:r>
      </w:ins>
      <w:del w:id="470" w:author="Urša Miklavčič" w:date="2026-01-29T14:54:00Z" w16du:dateUtc="2026-01-29T13:54:00Z">
        <w:r w:rsidRPr="00DA42F5" w:rsidDel="00ED4887">
          <w:rPr>
            <w:rFonts w:cs="Times New Roman"/>
            <w:szCs w:val="24"/>
          </w:rPr>
          <w:delText>2</w:delText>
        </w:r>
      </w:del>
      <w:r w:rsidRPr="00DA42F5">
        <w:rPr>
          <w:rFonts w:cs="Times New Roman"/>
          <w:szCs w:val="24"/>
        </w:rPr>
        <w:t>).</w:t>
      </w:r>
    </w:p>
    <w:p w14:paraId="2CF50665" w14:textId="77777777" w:rsidR="0045642B" w:rsidRPr="00DA42F5" w:rsidRDefault="00CD77AB" w:rsidP="0045642B">
      <w:pPr>
        <w:keepNext/>
      </w:pPr>
      <w:r w:rsidRPr="00DA42F5">
        <w:rPr>
          <w:rFonts w:cs="Times New Roman"/>
          <w:noProof/>
          <w:szCs w:val="24"/>
        </w:rPr>
        <w:lastRenderedPageBreak/>
        <w:drawing>
          <wp:inline distT="0" distB="0" distL="0" distR="0" wp14:anchorId="3FF5E1FF" wp14:editId="2969F7DE">
            <wp:extent cx="6141720" cy="6676497"/>
            <wp:effectExtent l="0" t="0" r="0" b="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6142774" cy="6677643"/>
                    </a:xfrm>
                    <a:prstGeom prst="rect">
                      <a:avLst/>
                    </a:prstGeom>
                  </pic:spPr>
                </pic:pic>
              </a:graphicData>
            </a:graphic>
          </wp:inline>
        </w:drawing>
      </w:r>
    </w:p>
    <w:p w14:paraId="6A40AFC7" w14:textId="3E5507EA" w:rsidR="00D97668" w:rsidRDefault="0045642B" w:rsidP="00D97668">
      <w:pPr>
        <w:pStyle w:val="Caption"/>
        <w:rPr>
          <w:b w:val="0"/>
          <w:bCs/>
        </w:rPr>
      </w:pPr>
      <w:bookmarkStart w:id="471" w:name="_Toc216101636"/>
      <w:r w:rsidRPr="00DA42F5">
        <w:t xml:space="preserve">Figure </w:t>
      </w:r>
      <w:r w:rsidRPr="00DA42F5">
        <w:fldChar w:fldCharType="begin"/>
      </w:r>
      <w:r w:rsidRPr="00DA42F5">
        <w:instrText xml:space="preserve"> SEQ Figure \* ARABIC </w:instrText>
      </w:r>
      <w:r w:rsidRPr="00DA42F5">
        <w:fldChar w:fldCharType="separate"/>
      </w:r>
      <w:r w:rsidR="00C11001">
        <w:rPr>
          <w:noProof/>
        </w:rPr>
        <w:t>22</w:t>
      </w:r>
      <w:r w:rsidRPr="00DA42F5">
        <w:fldChar w:fldCharType="end"/>
      </w:r>
      <w:r w:rsidRPr="00DA42F5">
        <w:t xml:space="preserve">. Abundance and diversity of ARG classes over time within each participant. </w:t>
      </w:r>
      <w:r w:rsidR="00DE7854" w:rsidRPr="00DA42F5">
        <w:rPr>
          <w:b w:val="0"/>
          <w:bCs/>
        </w:rPr>
        <w:t xml:space="preserve">Shown are the classes with more than five unique ARGs, reducing the number of ARGs to 86 and leaving </w:t>
      </w:r>
      <w:r w:rsidR="00164DF8" w:rsidRPr="00DA42F5">
        <w:rPr>
          <w:b w:val="0"/>
          <w:bCs/>
        </w:rPr>
        <w:t>7</w:t>
      </w:r>
      <w:r w:rsidR="00DE7854" w:rsidRPr="00DA42F5">
        <w:rPr>
          <w:b w:val="0"/>
          <w:bCs/>
        </w:rPr>
        <w:t xml:space="preserve"> ARG classes.</w:t>
      </w:r>
      <w:bookmarkEnd w:id="471"/>
      <w:r w:rsidR="00632C63" w:rsidRPr="00DA42F5">
        <w:rPr>
          <w:b w:val="0"/>
          <w:bCs/>
        </w:rPr>
        <w:t xml:space="preserve"> </w:t>
      </w:r>
      <w:ins w:id="472" w:author="Urša Miklavčič" w:date="2026-01-21T10:53:00Z" w16du:dateUtc="2026-01-21T09:53:00Z">
        <w:r w:rsidR="00D97668">
          <w:rPr>
            <w:b w:val="0"/>
            <w:bCs/>
          </w:rPr>
          <w:t xml:space="preserve">In </w:t>
        </w:r>
      </w:ins>
      <w:ins w:id="473" w:author="Urša Miklavčič" w:date="2026-01-21T10:55:00Z" w16du:dateUtc="2026-01-21T09:55:00Z">
        <w:r w:rsidR="00D97668">
          <w:rPr>
            <w:b w:val="0"/>
            <w:bCs/>
          </w:rPr>
          <w:t xml:space="preserve">figure </w:t>
        </w:r>
        <w:proofErr w:type="spellStart"/>
        <w:r w:rsidR="00D97668">
          <w:rPr>
            <w:b w:val="0"/>
            <w:bCs/>
          </w:rPr>
          <w:t>22</w:t>
        </w:r>
      </w:ins>
      <w:ins w:id="474" w:author="Urša Miklavčič" w:date="2026-01-21T10:53:00Z" w16du:dateUtc="2026-01-21T09:53:00Z">
        <w:r w:rsidR="00D97668">
          <w:rPr>
            <w:b w:val="0"/>
            <w:bCs/>
          </w:rPr>
          <w:t>A</w:t>
        </w:r>
        <w:proofErr w:type="spellEnd"/>
        <w:r w:rsidR="00D97668">
          <w:rPr>
            <w:b w:val="0"/>
            <w:bCs/>
          </w:rPr>
          <w:t xml:space="preserve"> the </w:t>
        </w:r>
      </w:ins>
      <w:ins w:id="475" w:author="Urša Miklavčič" w:date="2026-01-21T10:54:00Z" w16du:dateUtc="2026-01-21T09:54:00Z">
        <w:r w:rsidR="00D97668">
          <w:rPr>
            <w:b w:val="0"/>
            <w:bCs/>
          </w:rPr>
          <w:t xml:space="preserve">y-axis represents </w:t>
        </w:r>
        <w:proofErr w:type="spellStart"/>
        <w:r w:rsidR="00D97668">
          <w:rPr>
            <w:b w:val="0"/>
            <w:bCs/>
          </w:rPr>
          <w:t>log</w:t>
        </w:r>
      </w:ins>
      <w:r w:rsidR="00AC77B7">
        <w:rPr>
          <w:b w:val="0"/>
          <w:bCs/>
        </w:rPr>
        <w:t>10</w:t>
      </w:r>
      <w:proofErr w:type="spellEnd"/>
      <w:ins w:id="476" w:author="Urša Miklavčič" w:date="2026-01-21T10:54:00Z" w16du:dateUtc="2026-01-21T09:54:00Z">
        <w:r w:rsidR="00D97668">
          <w:rPr>
            <w:b w:val="0"/>
            <w:bCs/>
          </w:rPr>
          <w:t>-transformed reads per million (</w:t>
        </w:r>
        <w:proofErr w:type="spellStart"/>
        <w:r w:rsidR="00D97668">
          <w:rPr>
            <w:b w:val="0"/>
            <w:bCs/>
          </w:rPr>
          <w:t>TPM</w:t>
        </w:r>
        <w:proofErr w:type="spellEnd"/>
        <w:r w:rsidR="00D97668">
          <w:rPr>
            <w:b w:val="0"/>
            <w:bCs/>
          </w:rPr>
          <w:t xml:space="preserve">), while in the </w:t>
        </w:r>
      </w:ins>
      <w:ins w:id="477" w:author="Urša Miklavčič" w:date="2026-01-21T10:55:00Z" w16du:dateUtc="2026-01-21T09:55:00Z">
        <w:r w:rsidR="00D97668">
          <w:rPr>
            <w:b w:val="0"/>
            <w:bCs/>
          </w:rPr>
          <w:t xml:space="preserve">figure </w:t>
        </w:r>
        <w:proofErr w:type="spellStart"/>
        <w:r w:rsidR="00D97668">
          <w:rPr>
            <w:b w:val="0"/>
            <w:bCs/>
          </w:rPr>
          <w:t>22</w:t>
        </w:r>
      </w:ins>
      <w:ins w:id="478" w:author="Urša Miklavčič" w:date="2026-01-21T10:54:00Z" w16du:dateUtc="2026-01-21T09:54:00Z">
        <w:r w:rsidR="00D97668">
          <w:rPr>
            <w:b w:val="0"/>
            <w:bCs/>
          </w:rPr>
          <w:t>B</w:t>
        </w:r>
        <w:proofErr w:type="spellEnd"/>
        <w:r w:rsidR="00D97668">
          <w:rPr>
            <w:b w:val="0"/>
            <w:bCs/>
          </w:rPr>
          <w:t xml:space="preserve"> the y-axis represents the number of unique ARGs detected. </w:t>
        </w:r>
      </w:ins>
      <w:ins w:id="479" w:author="Urša Miklavčič" w:date="2026-01-21T10:55:00Z" w16du:dateUtc="2026-01-21T09:55:00Z">
        <w:r w:rsidR="00D97668" w:rsidRPr="00DA42F5">
          <w:rPr>
            <w:b w:val="0"/>
            <w:bCs/>
          </w:rPr>
          <w:t xml:space="preserve">Each plot depicts one participant (labelled with capital letters A to I), with days on the x-axis indicating when stool samples were collected. Vertical coloured lines indicate out-of-the-ordinary events reported by participants in their questionnaires.  </w:t>
        </w:r>
      </w:ins>
    </w:p>
    <w:p w14:paraId="15256E4B" w14:textId="77777777" w:rsidR="00D97668" w:rsidRDefault="00D97668">
      <w:pPr>
        <w:spacing w:line="259" w:lineRule="auto"/>
        <w:jc w:val="left"/>
        <w:rPr>
          <w:bCs/>
          <w:iCs/>
          <w:sz w:val="20"/>
          <w:szCs w:val="18"/>
        </w:rPr>
      </w:pPr>
      <w:r>
        <w:rPr>
          <w:b/>
          <w:bCs/>
        </w:rPr>
        <w:br w:type="page"/>
      </w:r>
    </w:p>
    <w:p w14:paraId="5EF00126" w14:textId="77777777" w:rsidR="00221812" w:rsidRDefault="00221812" w:rsidP="00FE56A9">
      <w:pPr>
        <w:pStyle w:val="Heading1"/>
        <w:numPr>
          <w:ilvl w:val="0"/>
          <w:numId w:val="31"/>
        </w:numPr>
      </w:pPr>
      <w:bookmarkStart w:id="480" w:name="_Toc216099761"/>
      <w:bookmarkStart w:id="481" w:name="_Toc220591412"/>
      <w:r w:rsidRPr="00DA42F5">
        <w:lastRenderedPageBreak/>
        <w:t>DISCUSSION</w:t>
      </w:r>
      <w:bookmarkStart w:id="482" w:name="_Toc212712220"/>
      <w:bookmarkEnd w:id="480"/>
      <w:bookmarkEnd w:id="481"/>
    </w:p>
    <w:p w14:paraId="251D30DC" w14:textId="77777777" w:rsidR="009972F0" w:rsidRDefault="009972F0" w:rsidP="009972F0">
      <w:pPr>
        <w:pStyle w:val="Heading2"/>
        <w:numPr>
          <w:ilvl w:val="1"/>
          <w:numId w:val="31"/>
        </w:numPr>
      </w:pPr>
      <w:bookmarkStart w:id="483" w:name="_Toc220591413"/>
      <w:r w:rsidRPr="00CC2A08">
        <w:t>COMPARISON OF TEMPORAL STABILITY OF THE GUT MICROBIOTA AND SPOROBIOTA IN HEALTHY INDIVIDUALS</w:t>
      </w:r>
      <w:bookmarkEnd w:id="483"/>
    </w:p>
    <w:p w14:paraId="6BE82B81" w14:textId="77777777" w:rsidR="009972F0" w:rsidRPr="00D228E7" w:rsidRDefault="009972F0" w:rsidP="009972F0">
      <w:pPr>
        <w:rPr>
          <w:rFonts w:cs="Times New Roman"/>
        </w:rPr>
      </w:pPr>
      <w:r w:rsidRPr="00D228E7">
        <w:rPr>
          <w:rFonts w:cs="Times New Roman"/>
        </w:rPr>
        <w:t>In a longitudinally sampled cohort of nine healthy participants, we analysed gut microbiota and sporobiota communities using amplicon and shotgun metagenomic sequencing. Although the human gut microbiota is well researched, our study is the first to combine longitudinal investigation of gut microbiota with ethanol-treated stool samples and sporobiota in more than one individual, and the first to sequence the sporobiota community of the gut microbiota using shotgun metagenomic sequencing.</w:t>
      </w:r>
    </w:p>
    <w:p w14:paraId="44D9EDEC" w14:textId="77777777" w:rsidR="009972F0" w:rsidRPr="00D228E7" w:rsidRDefault="009972F0" w:rsidP="009972F0"/>
    <w:p w14:paraId="77894C86" w14:textId="77777777" w:rsidR="009972F0" w:rsidRPr="00D228E7" w:rsidRDefault="009972F0" w:rsidP="009972F0">
      <w:pPr>
        <w:pStyle w:val="Heading3"/>
        <w:numPr>
          <w:ilvl w:val="2"/>
          <w:numId w:val="42"/>
        </w:numPr>
        <w:tabs>
          <w:tab w:val="num" w:pos="360"/>
        </w:tabs>
      </w:pPr>
      <w:bookmarkStart w:id="484" w:name="_Toc220591414"/>
      <w:r>
        <w:t>Human gut microbiota</w:t>
      </w:r>
      <w:bookmarkEnd w:id="484"/>
      <w:r>
        <w:t xml:space="preserve"> </w:t>
      </w:r>
    </w:p>
    <w:p w14:paraId="6949B00E" w14:textId="77777777" w:rsidR="009972F0" w:rsidRDefault="009972F0" w:rsidP="009972F0">
      <w:pPr>
        <w:rPr>
          <w:rFonts w:cs="Times New Roman"/>
        </w:rPr>
      </w:pPr>
      <w:r w:rsidRPr="00B22FDD">
        <w:rPr>
          <w:rFonts w:cs="Times New Roman"/>
        </w:rPr>
        <w:t xml:space="preserve">Gut microbiota </w:t>
      </w:r>
      <w:r>
        <w:rPr>
          <w:rFonts w:cs="Times New Roman"/>
        </w:rPr>
        <w:t xml:space="preserve">is dominated </w:t>
      </w:r>
      <w:r w:rsidRPr="00B22FDD">
        <w:rPr>
          <w:rFonts w:cs="Times New Roman"/>
        </w:rPr>
        <w:t xml:space="preserve">by bacterial representatives, </w:t>
      </w:r>
      <w:r>
        <w:rPr>
          <w:rFonts w:cs="Times New Roman"/>
        </w:rPr>
        <w:t>primarily</w:t>
      </w:r>
      <w:r w:rsidRPr="00B22FDD">
        <w:rPr>
          <w:rFonts w:cs="Times New Roman"/>
        </w:rPr>
        <w:t xml:space="preserve"> from </w:t>
      </w:r>
      <w:r>
        <w:rPr>
          <w:rFonts w:cs="Times New Roman"/>
        </w:rPr>
        <w:t>the phyla</w:t>
      </w:r>
      <w:r w:rsidRPr="00B22FDD">
        <w:rPr>
          <w:rFonts w:cs="Times New Roman"/>
        </w:rPr>
        <w:t xml:space="preserve"> </w:t>
      </w:r>
      <w:r w:rsidRPr="00B22FDD">
        <w:rPr>
          <w:rFonts w:cs="Times New Roman"/>
          <w:i/>
          <w:iCs/>
        </w:rPr>
        <w:t>Bacillota</w:t>
      </w:r>
      <w:r w:rsidRPr="00B22FDD">
        <w:rPr>
          <w:rFonts w:cs="Times New Roman"/>
        </w:rPr>
        <w:t xml:space="preserve"> and </w:t>
      </w:r>
      <w:r w:rsidRPr="00B22FDD">
        <w:rPr>
          <w:rFonts w:cs="Times New Roman"/>
          <w:i/>
          <w:iCs/>
        </w:rPr>
        <w:t>Bacteroidota</w:t>
      </w:r>
      <w:r w:rsidRPr="00B22FDD">
        <w:rPr>
          <w:rFonts w:cs="Times New Roman"/>
        </w:rPr>
        <w:t xml:space="preserve">, while other phyla such as </w:t>
      </w:r>
      <w:proofErr w:type="spellStart"/>
      <w:r w:rsidRPr="00B22FDD">
        <w:rPr>
          <w:rFonts w:cs="Times New Roman"/>
          <w:i/>
          <w:iCs/>
        </w:rPr>
        <w:t>Pseudomonadota</w:t>
      </w:r>
      <w:proofErr w:type="spellEnd"/>
      <w:r w:rsidRPr="00B22FDD">
        <w:rPr>
          <w:rFonts w:cs="Times New Roman"/>
        </w:rPr>
        <w:t xml:space="preserve">, </w:t>
      </w:r>
      <w:r w:rsidRPr="00B22FDD">
        <w:rPr>
          <w:rFonts w:cs="Times New Roman"/>
          <w:i/>
          <w:iCs/>
        </w:rPr>
        <w:t>Actinomycetota</w:t>
      </w:r>
      <w:r w:rsidRPr="00B22FDD">
        <w:rPr>
          <w:rFonts w:cs="Times New Roman"/>
        </w:rPr>
        <w:t xml:space="preserve"> and </w:t>
      </w:r>
      <w:r w:rsidRPr="00B22FDD">
        <w:rPr>
          <w:rFonts w:cs="Times New Roman"/>
          <w:i/>
          <w:iCs/>
        </w:rPr>
        <w:t>Verrucomicrobiota</w:t>
      </w:r>
      <w:r w:rsidRPr="00B22FDD">
        <w:rPr>
          <w:rFonts w:cs="Times New Roman"/>
        </w:rPr>
        <w:t xml:space="preserve"> are present </w:t>
      </w:r>
      <w:r>
        <w:rPr>
          <w:rFonts w:cs="Times New Roman"/>
        </w:rPr>
        <w:t>at</w:t>
      </w:r>
      <w:r w:rsidRPr="00B22FDD">
        <w:rPr>
          <w:rFonts w:cs="Times New Roman"/>
        </w:rPr>
        <w:t xml:space="preserve"> lower relative abundance </w:t>
      </w:r>
      <w:r>
        <w:rPr>
          <w:rFonts w:cs="Times New Roman"/>
        </w:rPr>
        <w:t>as determined by amplicon and shotgun metagenomic sequencing, was consistent with previous research on Slovenian and European populations (</w:t>
      </w:r>
      <w:proofErr w:type="spellStart"/>
      <w:r>
        <w:rPr>
          <w:rFonts w:cs="Times New Roman"/>
        </w:rPr>
        <w:t>Falony</w:t>
      </w:r>
      <w:proofErr w:type="spellEnd"/>
      <w:r>
        <w:rPr>
          <w:rFonts w:cs="Times New Roman"/>
        </w:rPr>
        <w:t xml:space="preserve"> et al., 2016; </w:t>
      </w:r>
      <w:proofErr w:type="spellStart"/>
      <w:r>
        <w:rPr>
          <w:rFonts w:cs="Times New Roman"/>
        </w:rPr>
        <w:t>Mahnic</w:t>
      </w:r>
      <w:proofErr w:type="spellEnd"/>
      <w:r>
        <w:rPr>
          <w:rFonts w:cs="Times New Roman"/>
        </w:rPr>
        <w:t xml:space="preserve"> &amp; Rupnik, 2018).</w:t>
      </w:r>
      <w:r w:rsidRPr="00B22FDD">
        <w:rPr>
          <w:rFonts w:cs="Times New Roman"/>
        </w:rPr>
        <w:t xml:space="preserve"> </w:t>
      </w:r>
      <w:r>
        <w:rPr>
          <w:rFonts w:cs="Times New Roman"/>
        </w:rPr>
        <w:t xml:space="preserve">Comparison of genera indicates that the gut microbiota was not sequenced deeply enough with shotgun metagenomic sequencing, however, alpha and beta diversity are comparable between the two analysis types for both the microbiota and ethanol-treated samples, where shotgun metagenomic sequencing was sufficiently deep. Temporal composition was influenced by previously reported life events such as antibiotic consumption and travel, but other predefined events reported by participants had no effect on the gut microbiota (Vandeputte et al., 2021). One possible explanation for this is the time scale of our sampling, as bacterial generation time ranges from hours to a day, while our sampling occurred every 14 days; thus, we were unable to observe large ecological shifts due to only approximately 180 generations. Although we collected a large amount of metadata at each sampling time point, our study is too small (in terms of the number of identical changes across the whole study), and changes were too sporadic within and between individuals to be, with the exception of antibiotic consumption, statistically significantly linked to changes in the alpha or beta diversity of individuals over time. </w:t>
      </w:r>
    </w:p>
    <w:p w14:paraId="4AF40132" w14:textId="77777777" w:rsidR="009972F0" w:rsidRPr="00AA1D28" w:rsidRDefault="009972F0" w:rsidP="009972F0">
      <w:pPr>
        <w:rPr>
          <w:rFonts w:cs="Times New Roman"/>
        </w:rPr>
      </w:pPr>
      <w:proofErr w:type="spellStart"/>
      <w:r>
        <w:rPr>
          <w:rFonts w:cs="Times New Roman"/>
          <w:i/>
          <w:iCs/>
        </w:rPr>
        <w:t>Methanobrevibacter</w:t>
      </w:r>
      <w:proofErr w:type="spellEnd"/>
      <w:r>
        <w:rPr>
          <w:rFonts w:cs="Times New Roman"/>
          <w:i/>
          <w:iCs/>
        </w:rPr>
        <w:t xml:space="preserve"> smithii </w:t>
      </w:r>
      <w:r w:rsidRPr="00AA1D28">
        <w:rPr>
          <w:rFonts w:cs="Times New Roman"/>
        </w:rPr>
        <w:t xml:space="preserve">was detected in more than half of participants at low relative abundances, while </w:t>
      </w:r>
      <w:proofErr w:type="spellStart"/>
      <w:r w:rsidRPr="00AA1D28">
        <w:rPr>
          <w:rFonts w:cs="Times New Roman"/>
          <w:i/>
          <w:iCs/>
        </w:rPr>
        <w:t>Methanosphaera</w:t>
      </w:r>
      <w:proofErr w:type="spellEnd"/>
      <w:r w:rsidRPr="00AA1D28">
        <w:rPr>
          <w:rFonts w:cs="Times New Roman"/>
          <w:i/>
          <w:iCs/>
        </w:rPr>
        <w:t xml:space="preserve"> </w:t>
      </w:r>
      <w:proofErr w:type="spellStart"/>
      <w:r w:rsidRPr="00AA1D28">
        <w:rPr>
          <w:rFonts w:cs="Times New Roman"/>
          <w:i/>
          <w:iCs/>
        </w:rPr>
        <w:t>stadtmanae</w:t>
      </w:r>
      <w:proofErr w:type="spellEnd"/>
      <w:r w:rsidRPr="00AA1D28">
        <w:rPr>
          <w:rFonts w:cs="Times New Roman"/>
        </w:rPr>
        <w:t xml:space="preserve"> was detected in only two participants. Although </w:t>
      </w:r>
      <w:proofErr w:type="spellStart"/>
      <w:r w:rsidRPr="00AA1D28">
        <w:rPr>
          <w:rFonts w:cs="Times New Roman"/>
          <w:i/>
          <w:iCs/>
        </w:rPr>
        <w:t>Mbb</w:t>
      </w:r>
      <w:proofErr w:type="spellEnd"/>
      <w:r w:rsidRPr="00AA1D28">
        <w:rPr>
          <w:rFonts w:cs="Times New Roman"/>
          <w:i/>
          <w:iCs/>
        </w:rPr>
        <w:t>. smithii</w:t>
      </w:r>
      <w:r w:rsidRPr="00AA1D28">
        <w:rPr>
          <w:rFonts w:cs="Times New Roman"/>
        </w:rPr>
        <w:t xml:space="preserve"> has been reported at higher prevalence in the general population, its relative abundance here is consistent with previous research (</w:t>
      </w:r>
      <w:proofErr w:type="spellStart"/>
      <w:r w:rsidRPr="00AA1D28">
        <w:rPr>
          <w:rFonts w:cs="Times New Roman"/>
        </w:rPr>
        <w:t>Hoegenauer</w:t>
      </w:r>
      <w:proofErr w:type="spellEnd"/>
      <w:r w:rsidRPr="00AA1D28">
        <w:rPr>
          <w:rFonts w:cs="Times New Roman"/>
        </w:rPr>
        <w:t xml:space="preserve"> et al., 2022; </w:t>
      </w:r>
      <w:proofErr w:type="spellStart"/>
      <w:r w:rsidRPr="00AA1D28">
        <w:rPr>
          <w:rFonts w:cs="Times New Roman"/>
        </w:rPr>
        <w:t>Moissl</w:t>
      </w:r>
      <w:proofErr w:type="spellEnd"/>
      <w:r w:rsidRPr="00AA1D28">
        <w:rPr>
          <w:rFonts w:cs="Times New Roman"/>
        </w:rPr>
        <w:t>-Eichinger et al., 2018).</w:t>
      </w:r>
    </w:p>
    <w:p w14:paraId="0DDEBB86" w14:textId="77777777" w:rsidR="009972F0" w:rsidRDefault="009972F0" w:rsidP="009972F0">
      <w:pPr>
        <w:rPr>
          <w:ins w:id="485" w:author="Urša Miklavčič" w:date="2026-01-28T12:36:00Z" w16du:dateUtc="2026-01-28T11:36:00Z"/>
          <w:rFonts w:cs="Times New Roman"/>
        </w:rPr>
      </w:pPr>
      <w:r>
        <w:rPr>
          <w:rFonts w:cs="Times New Roman"/>
        </w:rPr>
        <w:t xml:space="preserve">Despite the previously reported high prevalence of </w:t>
      </w:r>
      <w:r w:rsidRPr="00AA1D28">
        <w:rPr>
          <w:rFonts w:cs="Times New Roman"/>
          <w:i/>
          <w:iCs/>
        </w:rPr>
        <w:t>Saccharomyces cerevisiae</w:t>
      </w:r>
      <w:r>
        <w:rPr>
          <w:rFonts w:cs="Times New Roman"/>
        </w:rPr>
        <w:t xml:space="preserve">, we did not detect this species in all participants, and when detected, it was not persistent over time (REF). </w:t>
      </w:r>
      <w:r w:rsidRPr="00AA1D28">
        <w:rPr>
          <w:rFonts w:cs="Times New Roman"/>
          <w:i/>
          <w:iCs/>
        </w:rPr>
        <w:t>Blastocystis</w:t>
      </w:r>
      <w:r>
        <w:rPr>
          <w:rFonts w:cs="Times New Roman"/>
        </w:rPr>
        <w:t xml:space="preserve"> sp. showed higher prevalence in the population and persisted for longer periods within individuals (REF). Despite deep sequencing of the microbiota, comparison at the genus level with </w:t>
      </w:r>
      <w:r>
        <w:rPr>
          <w:rFonts w:cs="Times New Roman"/>
        </w:rPr>
        <w:lastRenderedPageBreak/>
        <w:t>amplicon data shows that we did not detect all microorganisms present in the sample, so we cannot truly discuss the absence of a species, but rather that they may be below the detection limit (REF).</w:t>
      </w:r>
    </w:p>
    <w:p w14:paraId="3D824389" w14:textId="6E84618C" w:rsidR="00D9297E" w:rsidRDefault="00D9297E" w:rsidP="009972F0">
      <w:pPr>
        <w:rPr>
          <w:rFonts w:cs="Times New Roman"/>
        </w:rPr>
      </w:pPr>
      <w:r>
        <w:rPr>
          <w:rFonts w:cs="Times New Roman"/>
        </w:rPr>
        <w:fldChar w:fldCharType="begin"/>
      </w:r>
      <w:r>
        <w:rPr>
          <w:rFonts w:cs="Times New Roman"/>
        </w:rPr>
        <w:instrText xml:space="preserve"> ADDIN ZOTERO_ITEM CSL_CITATION {"citationID":"OB2ojWo6","properties":{"formattedCitation":"(Nash et al., 2017)","plainCitation":"(Nash et al., 2017)","noteIndex":0},"citationItems":[{"id":3590,"uris":["http://zotero.org/users/8873894/items/WQCEAFTR"],"itemData":{"id":3590,"type":"article-journal","abstract":"Most studies describing the human gut microbiome in healthy and diseased states have emphasized the bacterial component, but the fungal microbiome (i.e., the mycobiome) is beginning to gain recognition as a fundamental part of our microbiome. To date, human gut mycobiome studies have primarily been disease centric or in small cohorts of healthy individuals. To contribute to existing knowledge of the human mycobiome, we investigated the gut mycobiome of the Human Microbiome Project (HMP) cohort by sequencing the Internal Transcribed Spacer 2 (ITS2) region as well as the 18S rRNA gene.","container-title":"Microbiome","DOI":"10.1186/s40168-017-0373-4","ISSN":"2049-2618","issue":"1","journalAbbreviation":"Microbiome","language":"en","page":"153","source":"Springer Link","title":"The gut mycobiome of the Human Microbiome Project healthy cohort","volume":"5","author":[{"family":"Nash","given":"Andrea K."},{"family":"Auchtung","given":"Thomas A."},{"family":"Wong","given":"Matthew C."},{"family":"Smith","given":"Daniel P."},{"family":"Gesell","given":"Jonathan R."},{"family":"Ross","given":"Matthew C."},{"family":"Stewart","given":"Christopher J."},{"family":"Metcalf","given":"Ginger A."},{"family":"Muzny","given":"Donna M."},{"family":"Gibbs","given":"Richard A."},{"family":"Ajami","given":"Nadim J."},{"family":"Petrosino","given":"Joseph F."}],"issued":{"date-parts":[["2017",11,25]]}}}],"schema":"https://github.com/citation-style-language/schema/raw/master/csl-citation.json"} </w:instrText>
      </w:r>
      <w:r>
        <w:rPr>
          <w:rFonts w:cs="Times New Roman"/>
        </w:rPr>
        <w:fldChar w:fldCharType="separate"/>
      </w:r>
      <w:r w:rsidRPr="00D9297E">
        <w:rPr>
          <w:rFonts w:cs="Times New Roman"/>
        </w:rPr>
        <w:t>(Nash et al., 2017)</w:t>
      </w:r>
      <w:r>
        <w:rPr>
          <w:rFonts w:cs="Times New Roman"/>
        </w:rPr>
        <w:fldChar w:fldCharType="end"/>
      </w:r>
      <w:ins w:id="486" w:author="Urša Miklavčič" w:date="2026-01-28T12:37:00Z" w16du:dateUtc="2026-01-28T11:37:00Z">
        <w:r>
          <w:rPr>
            <w:rFonts w:cs="Times New Roman"/>
          </w:rPr>
          <w:t xml:space="preserve"> </w:t>
        </w:r>
      </w:ins>
      <w:r>
        <w:rPr>
          <w:rFonts w:cs="Times New Roman"/>
        </w:rPr>
        <w:t xml:space="preserve">ITS detects more species than shotgun metagenomic sequencing! </w:t>
      </w:r>
      <w:r w:rsidR="00FE0502">
        <w:rPr>
          <w:rFonts w:cs="Times New Roman"/>
        </w:rPr>
        <w:t xml:space="preserve">Also, </w:t>
      </w:r>
    </w:p>
    <w:p w14:paraId="735873C8" w14:textId="59C6EA49" w:rsidR="00FE0502" w:rsidRDefault="00FE0502" w:rsidP="009972F0">
      <w:pPr>
        <w:rPr>
          <w:rFonts w:cs="Times New Roman"/>
        </w:rPr>
      </w:pPr>
      <w:r>
        <w:rPr>
          <w:noProof/>
        </w:rPr>
        <w:drawing>
          <wp:inline distT="0" distB="0" distL="0" distR="0" wp14:anchorId="3F16D20E" wp14:editId="729E0811">
            <wp:extent cx="2797791" cy="5530476"/>
            <wp:effectExtent l="0" t="0" r="3175" b="0"/>
            <wp:docPr id="1355852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52762" name="Picture 1" descr="A screenshot of a computer&#10;&#10;AI-generated content may be incorrect."/>
                    <pic:cNvPicPr/>
                  </pic:nvPicPr>
                  <pic:blipFill rotWithShape="1">
                    <a:blip r:embed="rId36"/>
                    <a:srcRect l="65442" t="24897" r="24681" b="5695"/>
                    <a:stretch>
                      <a:fillRect/>
                    </a:stretch>
                  </pic:blipFill>
                  <pic:spPr bwMode="auto">
                    <a:xfrm>
                      <a:off x="0" y="0"/>
                      <a:ext cx="2807718" cy="5550099"/>
                    </a:xfrm>
                    <a:prstGeom prst="rect">
                      <a:avLst/>
                    </a:prstGeom>
                    <a:ln>
                      <a:noFill/>
                    </a:ln>
                    <a:extLst>
                      <a:ext uri="{53640926-AAD7-44D8-BBD7-CCE9431645EC}">
                        <a14:shadowObscured xmlns:a14="http://schemas.microsoft.com/office/drawing/2010/main"/>
                      </a:ext>
                    </a:extLst>
                  </pic:spPr>
                </pic:pic>
              </a:graphicData>
            </a:graphic>
          </wp:inline>
        </w:drawing>
      </w:r>
    </w:p>
    <w:p w14:paraId="09B5D34F" w14:textId="77777777" w:rsidR="00D9297E" w:rsidRDefault="00D9297E" w:rsidP="009972F0">
      <w:pPr>
        <w:rPr>
          <w:rFonts w:cs="Times New Roman"/>
        </w:rPr>
      </w:pPr>
    </w:p>
    <w:p w14:paraId="7ABB9F1F" w14:textId="452D4153" w:rsidR="009972F0" w:rsidRPr="009972F0" w:rsidRDefault="009972F0" w:rsidP="009972F0">
      <w:pPr>
        <w:rPr>
          <w:rFonts w:cs="Times New Roman"/>
          <w:szCs w:val="24"/>
        </w:rPr>
      </w:pPr>
      <w:del w:id="487" w:author="Urša Miklavčič" w:date="2026-01-21T09:52:00Z" w16du:dateUtc="2026-01-21T08:52:00Z">
        <w:r w:rsidRPr="00DA42F5" w:rsidDel="00494014">
          <w:rPr>
            <w:rFonts w:cs="Times New Roman"/>
            <w:szCs w:val="24"/>
          </w:rPr>
          <w:delText xml:space="preserve">Despite an omnivorous diet including bread, </w:delText>
        </w:r>
        <w:r w:rsidRPr="00DA42F5" w:rsidDel="00494014">
          <w:rPr>
            <w:rFonts w:cs="Times New Roman"/>
            <w:i/>
            <w:iCs/>
            <w:szCs w:val="24"/>
          </w:rPr>
          <w:delText>Saccharomyces cerevisiae</w:delText>
        </w:r>
        <w:r w:rsidRPr="00DA42F5" w:rsidDel="00494014">
          <w:rPr>
            <w:rFonts w:cs="Times New Roman"/>
            <w:szCs w:val="24"/>
          </w:rPr>
          <w:delText xml:space="preserve"> was not consistently present, </w:delText>
        </w:r>
        <w:commentRangeStart w:id="488"/>
        <w:commentRangeStart w:id="489"/>
        <w:r w:rsidRPr="00DA42F5" w:rsidDel="00494014">
          <w:rPr>
            <w:rFonts w:cs="Times New Roman"/>
            <w:szCs w:val="24"/>
          </w:rPr>
          <w:delText xml:space="preserve">further confirming the transience of this species in the human gut </w:delText>
        </w:r>
        <w:r w:rsidRPr="00DA42F5" w:rsidDel="00494014">
          <w:rPr>
            <w:rFonts w:cs="Times New Roman"/>
            <w:szCs w:val="24"/>
          </w:rPr>
          <w:fldChar w:fldCharType="begin"/>
        </w:r>
        <w:r w:rsidDel="00494014">
          <w:rPr>
            <w:rFonts w:cs="Times New Roman"/>
            <w:szCs w:val="24"/>
          </w:rPr>
          <w:delInstrText xml:space="preserve"> ADDIN ZOTERO_ITEM CSL_CITATION {"citationID":"7vfehTEW","properties":{"formattedCitation":"(Hallen-Adams &amp; Suhr, 2016)","plainCitation":"(Hallen-Adams &amp; Suhr, 2016)","noteIndex":0},"citationItems":[{"id":3436,"uris":["http://zotero.org/users/8873894/items/6EYUXRN6"],"itemData":{"id":3436,"type":"article-journal","abstract":"Many species of fungi have been detected in the healthy human gut; however, nearly half of all taxa reported have only been found in one sample or one study. Fungi capable of growing in and colonizing the gut are limited to a small number of species, mostly Candida yeasts and yeasts in the family Dipodascaceae (Galactomyces, Geotrichum, Saprochaete). Malassezia and the filamentous fungus Cladosporium are potential colonizers; more work is needed to clarify their role. Other commonly-detected fungi come from the diet or environment but either cannot or do not colonize (Penicillium and Debaryomyces species, which are common on fermented foods but cannot grow at human body temperature), while still others have dietary or environmental sources (Saccharomyces cerevisiae, a fermentation agent and sometime probiotic; Aspergillus species, ubiquitous molds) yet are likely to impact gut ecology. The gut mycobiome appears less stable than the bacterial microbiome, and is likely subject to environmental factors.","container-title":"Virulence","DOI":"10.1080/21505594.2016.1247140","ISSN":"2150-5594","issue":"3","journalAbbreviation":"Virulence","page":"352-358","PMID":"27736307","PMCID":"PMC5411236","source":"PubMed Central","title":"Fungi in the healthy human gastrointestinal tract","volume":"8","author":[{"family":"Hallen-Adams","given":"Heather E."},{"family":"Suhr","given":"Mallory J."}],"issued":{"date-parts":[["2016",10,13]]}}}],"schema":"https://github.com/citation-style-language/schema/raw/master/csl-citation.json"} </w:delInstrText>
        </w:r>
        <w:r w:rsidRPr="00DA42F5" w:rsidDel="00494014">
          <w:rPr>
            <w:rFonts w:cs="Times New Roman"/>
            <w:szCs w:val="24"/>
          </w:rPr>
          <w:fldChar w:fldCharType="separate"/>
        </w:r>
        <w:r w:rsidRPr="00DA42F5" w:rsidDel="00494014">
          <w:rPr>
            <w:rFonts w:cs="Times New Roman"/>
          </w:rPr>
          <w:delText>(Hallen-Adams &amp; Suhr, 2016)</w:delText>
        </w:r>
        <w:r w:rsidRPr="00DA42F5" w:rsidDel="00494014">
          <w:rPr>
            <w:rFonts w:cs="Times New Roman"/>
            <w:szCs w:val="24"/>
          </w:rPr>
          <w:fldChar w:fldCharType="end"/>
        </w:r>
        <w:r w:rsidRPr="00DA42F5" w:rsidDel="00494014">
          <w:rPr>
            <w:rFonts w:cs="Times New Roman"/>
            <w:szCs w:val="24"/>
          </w:rPr>
          <w:delText xml:space="preserve">. </w:delText>
        </w:r>
        <w:commentRangeEnd w:id="488"/>
        <w:r w:rsidRPr="00DA42F5" w:rsidDel="00494014">
          <w:rPr>
            <w:rStyle w:val="CommentReference"/>
          </w:rPr>
          <w:commentReference w:id="488"/>
        </w:r>
        <w:commentRangeEnd w:id="489"/>
        <w:r w:rsidRPr="00DA42F5" w:rsidDel="00494014">
          <w:rPr>
            <w:rStyle w:val="CommentReference"/>
          </w:rPr>
          <w:commentReference w:id="489"/>
        </w:r>
        <w:r w:rsidRPr="00DA42F5" w:rsidDel="00494014">
          <w:rPr>
            <w:rFonts w:cs="Times New Roman"/>
            <w:szCs w:val="24"/>
          </w:rPr>
          <w:delText xml:space="preserve">In 4 out of 9 individuals (C, D, E, H), we detected the genus </w:delText>
        </w:r>
        <w:r w:rsidRPr="00DA42F5" w:rsidDel="00494014">
          <w:rPr>
            <w:rFonts w:cs="Times New Roman"/>
            <w:i/>
            <w:iCs/>
            <w:szCs w:val="24"/>
          </w:rPr>
          <w:delText xml:space="preserve">Blastocystis </w:delText>
        </w:r>
        <w:r w:rsidRPr="00DA42F5" w:rsidDel="00494014">
          <w:rPr>
            <w:rFonts w:cs="Times New Roman"/>
            <w:szCs w:val="24"/>
          </w:rPr>
          <w:delText xml:space="preserve">at low abundances (0.01 to 0.6% of total relative abundance), which is a human single-cell parasite with a prevalence ranging from 23% in the USA to 100% in some parts of Africa </w:delText>
        </w:r>
        <w:r w:rsidRPr="00DA42F5" w:rsidDel="00494014">
          <w:rPr>
            <w:rFonts w:cs="Times New Roman"/>
            <w:szCs w:val="24"/>
          </w:rPr>
          <w:fldChar w:fldCharType="begin"/>
        </w:r>
        <w:r w:rsidDel="00494014">
          <w:rPr>
            <w:rFonts w:cs="Times New Roman"/>
            <w:szCs w:val="24"/>
          </w:rPr>
          <w:delInstrText xml:space="preserve"> ADDIN ZOTERO_ITEM CSL_CITATION {"citationID":"4RNTxBEF","properties":{"formattedCitation":"(Roberts et al., 2014)","plainCitation":"(Roberts et al., 2014)","noteIndex":0},"citationItems":[{"id":3433,"uris":["http://zotero.org/users/8873894/items/N7QB22V8"],"itemData":{"id":3433,"type":"article-journal","abstract":"Although Blastocystis is one of the most common enteric parasites, there is still much controversy surrounding the pathogenicity and potential treatment options for this parasite. In this review we look at the evidence supporting Blastocystis as an intestinal pathogen as shown by numerous case studies and several in vivo studies and the evidence against. We describe the chronic nature of some infections and show the role of Blastocystis in immunocompromised patients and the relationship between irritable bowel syndrome and Blastocystis infection. There have been several studies that have suggested that pathogenicity may be subtype related. Metronidazole is the most widely accepted treatment for Blastocystis but several cases of treatment failure and resistance have been described. Other treatment options which have been suggested include paromomycin and trimethroprim- sulfamethoxazole.","container-title":"Gut Pathogens","DOI":"10.1186/1757-4749-6-17","ISSN":"1757-4749","journalAbbreviation":"Gut Pathog","page":"17","PMID":"24883113","PMCID":"PMC4039988","source":"PubMed Central","title":"Update on the pathogenic potential and treatment options for Blastocystis sp","volume":"6","author":[{"family":"Roberts","given":"Tamalee"},{"family":"Stark","given":"Damien"},{"family":"Harkness","given":"John"},{"family":"Ellis","given":"John"}],"issued":{"date-parts":[["2014",5,28]]}}}],"schema":"https://github.com/citation-style-language/schema/raw/master/csl-citation.json"} </w:delInstrText>
        </w:r>
        <w:r w:rsidRPr="00DA42F5" w:rsidDel="00494014">
          <w:rPr>
            <w:rFonts w:cs="Times New Roman"/>
            <w:szCs w:val="24"/>
          </w:rPr>
          <w:fldChar w:fldCharType="separate"/>
        </w:r>
        <w:r w:rsidRPr="00DA42F5" w:rsidDel="00494014">
          <w:rPr>
            <w:rFonts w:cs="Times New Roman"/>
          </w:rPr>
          <w:delText>(Roberts et al., 2014)</w:delText>
        </w:r>
        <w:r w:rsidRPr="00DA42F5" w:rsidDel="00494014">
          <w:rPr>
            <w:rFonts w:cs="Times New Roman"/>
            <w:szCs w:val="24"/>
          </w:rPr>
          <w:fldChar w:fldCharType="end"/>
        </w:r>
        <w:r w:rsidRPr="00DA42F5" w:rsidDel="00494014">
          <w:rPr>
            <w:rFonts w:cs="Times New Roman"/>
            <w:szCs w:val="24"/>
          </w:rPr>
          <w:delText xml:space="preserve">. </w:delText>
        </w:r>
      </w:del>
    </w:p>
    <w:p w14:paraId="34CCCDC9" w14:textId="77777777" w:rsidR="009972F0" w:rsidRDefault="009972F0" w:rsidP="009972F0">
      <w:pPr>
        <w:rPr>
          <w:rFonts w:cs="Times New Roman"/>
        </w:rPr>
      </w:pPr>
      <w:r>
        <w:rPr>
          <w:rFonts w:cs="Times New Roman"/>
        </w:rPr>
        <w:lastRenderedPageBreak/>
        <w:t xml:space="preserve">The most abundant viruses in all individuals were bacteriophages from the class </w:t>
      </w:r>
      <w:proofErr w:type="spellStart"/>
      <w:r w:rsidRPr="00AA1D28">
        <w:rPr>
          <w:rFonts w:cs="Times New Roman"/>
          <w:i/>
          <w:iCs/>
        </w:rPr>
        <w:t>Caudoviricetes</w:t>
      </w:r>
      <w:proofErr w:type="spellEnd"/>
      <w:r>
        <w:rPr>
          <w:rFonts w:cs="Times New Roman"/>
        </w:rPr>
        <w:t xml:space="preserve">, present at 100 times higher relative abundance than any other virus, whether phage or eukaryotic (REF). Although this is consistent with the literature, an important caveat is the over-representation of </w:t>
      </w:r>
      <w:proofErr w:type="spellStart"/>
      <w:r w:rsidRPr="00AA1D28">
        <w:rPr>
          <w:rFonts w:cs="Times New Roman"/>
          <w:i/>
          <w:iCs/>
        </w:rPr>
        <w:t>Caudovirales</w:t>
      </w:r>
      <w:proofErr w:type="spellEnd"/>
      <w:r>
        <w:rPr>
          <w:rFonts w:cs="Times New Roman"/>
        </w:rPr>
        <w:t xml:space="preserve"> sequences in the databases, which has been reported to introduce significant bias in the determination of viruses not only in human gut samples, but also in other complex environments (REF). </w:t>
      </w:r>
    </w:p>
    <w:p w14:paraId="2FFF6426" w14:textId="77777777" w:rsidR="009972F0" w:rsidRPr="00B22FDD" w:rsidRDefault="009972F0" w:rsidP="009972F0">
      <w:pPr>
        <w:pStyle w:val="Heading3"/>
        <w:numPr>
          <w:ilvl w:val="0"/>
          <w:numId w:val="0"/>
        </w:numPr>
        <w:ind w:left="720" w:hanging="720"/>
      </w:pPr>
      <w:bookmarkStart w:id="490" w:name="_Toc220591415"/>
      <w:r>
        <w:t>5.1.2 Human gut sporobiota</w:t>
      </w:r>
      <w:bookmarkEnd w:id="490"/>
      <w:r>
        <w:t xml:space="preserve"> </w:t>
      </w:r>
    </w:p>
    <w:p w14:paraId="6D17FC11" w14:textId="32358462" w:rsidR="006A4086" w:rsidRDefault="009972F0" w:rsidP="009972F0">
      <w:pPr>
        <w:rPr>
          <w:ins w:id="491" w:author="Urša Miklavčič" w:date="2026-01-21T10:10:00Z" w16du:dateUtc="2026-01-21T09:10:00Z"/>
          <w:rFonts w:cs="Times New Roman"/>
        </w:rPr>
      </w:pPr>
      <w:r w:rsidRPr="00B22FDD">
        <w:rPr>
          <w:rFonts w:cs="Times New Roman"/>
        </w:rPr>
        <w:t>The ethanol-resistant community was dominated by bacteria from</w:t>
      </w:r>
      <w:r>
        <w:rPr>
          <w:rFonts w:cs="Times New Roman"/>
        </w:rPr>
        <w:t xml:space="preserve"> the</w:t>
      </w:r>
      <w:r w:rsidRPr="00B22FDD">
        <w:rPr>
          <w:rFonts w:cs="Times New Roman"/>
        </w:rPr>
        <w:t xml:space="preserve"> phylum </w:t>
      </w:r>
      <w:r w:rsidRPr="00B22FDD">
        <w:rPr>
          <w:rFonts w:cs="Times New Roman"/>
          <w:i/>
          <w:iCs/>
        </w:rPr>
        <w:t>Bacillota</w:t>
      </w:r>
      <w:r w:rsidRPr="00B22FDD">
        <w:rPr>
          <w:rFonts w:cs="Times New Roman"/>
        </w:rPr>
        <w:t xml:space="preserve">, </w:t>
      </w:r>
      <w:r>
        <w:rPr>
          <w:rFonts w:cs="Times New Roman"/>
        </w:rPr>
        <w:t>mainly the</w:t>
      </w:r>
      <w:r w:rsidRPr="00B22FDD">
        <w:rPr>
          <w:rFonts w:cs="Times New Roman"/>
        </w:rPr>
        <w:t xml:space="preserve"> genera </w:t>
      </w:r>
      <w:r w:rsidRPr="00B22FDD">
        <w:rPr>
          <w:rFonts w:cs="Times New Roman"/>
          <w:i/>
          <w:iCs/>
        </w:rPr>
        <w:t>Clostridium</w:t>
      </w:r>
      <w:r w:rsidRPr="00B22FDD">
        <w:rPr>
          <w:rFonts w:cs="Times New Roman"/>
        </w:rPr>
        <w:t xml:space="preserve">, unclassified </w:t>
      </w:r>
      <w:proofErr w:type="spellStart"/>
      <w:r w:rsidRPr="00B22FDD">
        <w:rPr>
          <w:rFonts w:cs="Times New Roman"/>
          <w:i/>
          <w:iCs/>
        </w:rPr>
        <w:t>Lachnospiraceae</w:t>
      </w:r>
      <w:proofErr w:type="spellEnd"/>
      <w:r w:rsidRPr="00B22FDD">
        <w:rPr>
          <w:rFonts w:cs="Times New Roman"/>
        </w:rPr>
        <w:t xml:space="preserve">, unclassified </w:t>
      </w:r>
      <w:proofErr w:type="spellStart"/>
      <w:r w:rsidRPr="00B22FDD">
        <w:rPr>
          <w:rFonts w:cs="Times New Roman"/>
          <w:i/>
          <w:iCs/>
        </w:rPr>
        <w:t>Ruminococcaceae</w:t>
      </w:r>
      <w:proofErr w:type="spellEnd"/>
      <w:r w:rsidRPr="00B22FDD">
        <w:rPr>
          <w:rFonts w:cs="Times New Roman"/>
        </w:rPr>
        <w:t xml:space="preserve">, unclassified </w:t>
      </w:r>
      <w:proofErr w:type="spellStart"/>
      <w:r w:rsidRPr="00B22FDD">
        <w:rPr>
          <w:rFonts w:cs="Times New Roman"/>
          <w:i/>
          <w:iCs/>
        </w:rPr>
        <w:t>Peptostreptococcaceae</w:t>
      </w:r>
      <w:proofErr w:type="spellEnd"/>
      <w:r w:rsidRPr="00B22FDD">
        <w:rPr>
          <w:rFonts w:cs="Times New Roman"/>
        </w:rPr>
        <w:t xml:space="preserve">, and </w:t>
      </w:r>
      <w:proofErr w:type="spellStart"/>
      <w:r w:rsidRPr="00B22FDD">
        <w:rPr>
          <w:rFonts w:cs="Times New Roman"/>
          <w:i/>
          <w:iCs/>
        </w:rPr>
        <w:t>Blautia</w:t>
      </w:r>
      <w:proofErr w:type="spellEnd"/>
      <w:r w:rsidRPr="00B22FDD">
        <w:rPr>
          <w:rFonts w:cs="Times New Roman"/>
        </w:rPr>
        <w:t xml:space="preserve">. </w:t>
      </w:r>
      <w:r>
        <w:rPr>
          <w:rFonts w:cs="Times New Roman"/>
        </w:rPr>
        <w:t>T</w:t>
      </w:r>
      <w:r w:rsidRPr="00B22FDD">
        <w:rPr>
          <w:rFonts w:cs="Times New Roman"/>
        </w:rPr>
        <w:t xml:space="preserve">here were also representatives from </w:t>
      </w:r>
      <w:r>
        <w:rPr>
          <w:rFonts w:cs="Times New Roman"/>
        </w:rPr>
        <w:t>the phyla</w:t>
      </w:r>
      <w:r w:rsidRPr="00B22FDD">
        <w:rPr>
          <w:rFonts w:cs="Times New Roman"/>
        </w:rPr>
        <w:t xml:space="preserve"> </w:t>
      </w:r>
      <w:r w:rsidRPr="00B22FDD">
        <w:rPr>
          <w:rFonts w:cs="Times New Roman"/>
          <w:i/>
          <w:iCs/>
        </w:rPr>
        <w:t>Actinomycetota</w:t>
      </w:r>
      <w:r w:rsidRPr="00B22FDD">
        <w:rPr>
          <w:rFonts w:cs="Times New Roman"/>
        </w:rPr>
        <w:t xml:space="preserve">, </w:t>
      </w:r>
      <w:proofErr w:type="spellStart"/>
      <w:r w:rsidRPr="00B22FDD">
        <w:rPr>
          <w:rFonts w:cs="Times New Roman"/>
          <w:i/>
          <w:iCs/>
        </w:rPr>
        <w:t>Pseudomonadota</w:t>
      </w:r>
      <w:proofErr w:type="spellEnd"/>
      <w:r>
        <w:rPr>
          <w:rFonts w:cs="Times New Roman"/>
        </w:rPr>
        <w:t>,</w:t>
      </w:r>
      <w:r w:rsidRPr="00B22FDD">
        <w:rPr>
          <w:rFonts w:cs="Times New Roman"/>
          <w:i/>
          <w:iCs/>
        </w:rPr>
        <w:t xml:space="preserve"> </w:t>
      </w:r>
      <w:r w:rsidRPr="00B22FDD">
        <w:rPr>
          <w:rFonts w:cs="Times New Roman"/>
        </w:rPr>
        <w:t>and unclassified</w:t>
      </w:r>
      <w:r w:rsidRPr="00B22FDD">
        <w:rPr>
          <w:rFonts w:cs="Times New Roman"/>
          <w:i/>
          <w:iCs/>
        </w:rPr>
        <w:t xml:space="preserve"> Bacteria</w:t>
      </w:r>
      <w:r w:rsidRPr="00B22FDD">
        <w:rPr>
          <w:rFonts w:cs="Times New Roman"/>
        </w:rPr>
        <w:t xml:space="preserve">. The high abundance of ethanol-resistant representatives within </w:t>
      </w:r>
      <w:r w:rsidRPr="00B22FDD">
        <w:rPr>
          <w:rFonts w:cs="Times New Roman"/>
          <w:i/>
          <w:iCs/>
        </w:rPr>
        <w:t>Bacillota</w:t>
      </w:r>
      <w:r w:rsidRPr="00B22FDD">
        <w:rPr>
          <w:rFonts w:cs="Times New Roman"/>
        </w:rPr>
        <w:t xml:space="preserve"> was expected due to the widespread ability to sporulate </w:t>
      </w:r>
      <w:r>
        <w:rPr>
          <w:rFonts w:cs="Times New Roman"/>
        </w:rPr>
        <w:t>in</w:t>
      </w:r>
      <w:r w:rsidRPr="00B22FDD">
        <w:rPr>
          <w:rFonts w:cs="Times New Roman"/>
        </w:rPr>
        <w:t xml:space="preserve"> this phylum </w:t>
      </w:r>
      <w:r w:rsidRPr="00B22FDD">
        <w:rPr>
          <w:rFonts w:cs="Times New Roman"/>
        </w:rPr>
        <w:fldChar w:fldCharType="begin"/>
      </w:r>
      <w:r w:rsidRPr="00B22FDD">
        <w:rPr>
          <w:rFonts w:cs="Times New Roman"/>
        </w:rPr>
        <w:instrText xml:space="preserve"> ADDIN ZOTERO_ITEM CSL_CITATION {"citationID":"A68SKsND","properties":{"formattedCitation":"(Egan et al., 2021)","plainCitation":"(Egan et al., 2021)","noteIndex":0},"citationItems":[{"id":1088,"uris":["http://zotero.org/users/8873894/items/SJCCTPEG"],"itemData":{"id":1088,"type":"article-journal","abstract":"The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B22FDD">
        <w:rPr>
          <w:rFonts w:cs="Times New Roman"/>
        </w:rPr>
        <w:fldChar w:fldCharType="separate"/>
      </w:r>
      <w:r w:rsidRPr="00B22FDD">
        <w:rPr>
          <w:rFonts w:cs="Times New Roman"/>
        </w:rPr>
        <w:t>(Egan et al., 2021)</w:t>
      </w:r>
      <w:r w:rsidRPr="00B22FDD">
        <w:rPr>
          <w:rFonts w:cs="Times New Roman"/>
        </w:rPr>
        <w:fldChar w:fldCharType="end"/>
      </w:r>
      <w:r w:rsidRPr="00B22FDD">
        <w:rPr>
          <w:rFonts w:cs="Times New Roman"/>
        </w:rPr>
        <w:t xml:space="preserve">. Most </w:t>
      </w:r>
      <w:r w:rsidRPr="00B22FDD">
        <w:rPr>
          <w:rFonts w:cs="Times New Roman"/>
          <w:i/>
          <w:iCs/>
        </w:rPr>
        <w:t>Bacillota</w:t>
      </w:r>
      <w:r w:rsidRPr="00B22FDD">
        <w:rPr>
          <w:rFonts w:cs="Times New Roman"/>
        </w:rPr>
        <w:t xml:space="preserve"> representatives identified as ethanol-resistant in this study belong to genera in which sporulation has previously been confirmed through the detection of sporulation-associated gene clusters or </w:t>
      </w:r>
      <w:r w:rsidRPr="00B22FDD">
        <w:rPr>
          <w:rFonts w:cs="Times New Roman"/>
          <w:i/>
          <w:iCs/>
        </w:rPr>
        <w:t>in vitro</w:t>
      </w:r>
      <w:r w:rsidRPr="00B22FDD">
        <w:rPr>
          <w:rFonts w:cs="Times New Roman"/>
        </w:rPr>
        <w:t xml:space="preserve"> sporulation induction </w:t>
      </w:r>
      <w:r w:rsidRPr="00B22FDD">
        <w:rPr>
          <w:rFonts w:cs="Times New Roman"/>
        </w:rPr>
        <w:fldChar w:fldCharType="begin"/>
      </w:r>
      <w:r>
        <w:rPr>
          <w:rFonts w:cs="Times New Roman"/>
        </w:rPr>
        <w:instrText xml:space="preserve"> ADDIN ZOTERO_ITEM CSL_CITATION {"citationID":"Z38QStpG","properties":{"formattedCitation":"(Browne et al., 2021; Galperin et al., 2022; Koopman et al., 2022)","plainCitation":"(Browne et al., 2021; Galperin et al., 2022; Koopman et al., 2022)","noteIndex":0},"citationItems":[{"id":2011,"uris":["http://zotero.org/users/8873894/items/92UZ9WSV"],"itemData":{"id":2011,"type":"article-journal","abstract":"Many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.\n            \n          , \n            ABSTRACT\n            \n              The current classification of the phylum\n              Firmicutes\n              (new name,\n              Bacillota\n              ) features eight distinct classes, six of which include known spore-forming bacteria. In\n              Bacillus subtilis\n              , sporulation involves up to 500 genes, many of which do not have orthologs in other bacilli and/or clostridia. Previous studies identified about 60 sporulation genes of\n              B. subtilis\n              that were shared by all spore-forming members of the\n              Firmicutes\n              . These genes are referred to as the sporulation core or signature, although many of these are also found in genomes of nonsporeformers. Using an expanded set of 180 firmicute genomes from 160 genera, including 76 spore-forming species, we investigated the conservation of the sporulation genes, in particular seeking to identify lineages that lack some of the genes from the conserved sporulation core. The results of this analysis confirmed that many small acid-soluble spore proteins (SASPs), spore coat proteins, and germination proteins, which were previously characterized in bacilli, are missing in spore-forming members of\n              Clostridia\n              and other classes of\n              Firmicutes\n              . A particularly dramatic loss of sporulation genes was observed in the spore-forming members of the families\n              Planococcaceae\n              and\n              Erysipelotrichaceae\n              . Fifteen species from diverse lineages were found to carry\n              skin\n              (\n              sigK\n              -interrupting) elements of different sizes that all encoded SpoIVCA-like recombinases but did not share any other genes. Phylogenetic trees built from concatenated alignments of sporulation proteins and ribosomal proteins showed similar topology, indicating an early origin and subsequent vertical inheritance of the sporulation genes.\n            \n            \n              IMPORTANCE\n              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 We also detected widespread loss of sporulation genes in many organisms, particularly within the families\n              Planococcaceae\n              and\n              Erysipelotrichaceae.\n              Members of these families, such as\n              Lysinibacillus sphaericus\n              and\n              Clostridium innocuum\n              , could be excellent model organisms for studying sporulation mechanisms, such as engulfment, formation of the spore coat, and spore germination.","container-title":"Journal of Bacteriology","DOI":"10.1128/jb.00079-22","ISSN":"0021-9193, 1098-5530","issue":"6","journalAbbreviation":"J Bacteriol","language":"en","page":"e00079-22","source":"DOI.org (Crossref)","title":"Conservation and Evolution of the Sporulation Gene Set in Diverse Members of the &lt;i&gt;Firmicutes&lt;/i&gt;","volume":"204","author":[{"family":"Galperin","given":"Michael Y."},{"family":"Yutin","given":"Natalya"},{"family":"Wolf","given":"Yuri I."},{"family":"Vera Alvarez","given":"Roberto"},{"family":"Koonin","given":"Eugene V."}],"editor":[{"family":"Shank","given":"Elizabeth Anne"}],"issued":{"date-parts":[["2022",6,21]]}}},{"id":380,"uris":["http://zotero.org/users/8873894/items/N88GZHKF"],"itemData":{"id":380,"type":"article-journal","abstract":"Background: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B22FDD">
        <w:rPr>
          <w:rFonts w:cs="Times New Roman"/>
        </w:rPr>
        <w:fldChar w:fldCharType="separate"/>
      </w:r>
      <w:r w:rsidRPr="00B22FDD">
        <w:rPr>
          <w:rFonts w:cs="Times New Roman"/>
        </w:rPr>
        <w:t>(Browne et al., 2021; Galperin et al., 2022; Koopman et al., 2022)</w:t>
      </w:r>
      <w:r w:rsidRPr="00B22FDD">
        <w:rPr>
          <w:rFonts w:cs="Times New Roman"/>
        </w:rPr>
        <w:fldChar w:fldCharType="end"/>
      </w:r>
      <w:r w:rsidRPr="00B22FDD">
        <w:rPr>
          <w:rFonts w:cs="Times New Roman"/>
        </w:rPr>
        <w:t>. In contrast, ethanol-resistant representatives</w:t>
      </w:r>
      <w:r>
        <w:rPr>
          <w:rFonts w:cs="Times New Roman"/>
        </w:rPr>
        <w:t xml:space="preserve"> and</w:t>
      </w:r>
      <w:r w:rsidRPr="00B22FDD">
        <w:rPr>
          <w:rFonts w:cs="Times New Roman"/>
        </w:rPr>
        <w:t xml:space="preserve"> the mechanisms underlying their resistance are poorly described in other phyla. Previous studies have reported the detection of </w:t>
      </w:r>
      <w:r w:rsidRPr="00B22FDD">
        <w:rPr>
          <w:rFonts w:cs="Times New Roman"/>
          <w:i/>
          <w:iCs/>
        </w:rPr>
        <w:t>Actinomycetota</w:t>
      </w:r>
      <w:r w:rsidRPr="00B22FDD">
        <w:rPr>
          <w:rFonts w:cs="Times New Roman"/>
        </w:rPr>
        <w:t xml:space="preserve"> representatives in ethanol</w:t>
      </w:r>
      <w:r>
        <w:rPr>
          <w:rFonts w:cs="Times New Roman"/>
        </w:rPr>
        <w:t>-</w:t>
      </w:r>
      <w:r w:rsidRPr="00B22FDD">
        <w:rPr>
          <w:rFonts w:cs="Times New Roman"/>
        </w:rPr>
        <w:t xml:space="preserve"> or lysozyme</w:t>
      </w:r>
      <w:r>
        <w:rPr>
          <w:rFonts w:cs="Times New Roman"/>
        </w:rPr>
        <w:t>-</w:t>
      </w:r>
      <w:r w:rsidRPr="00B22FDD">
        <w:rPr>
          <w:rFonts w:cs="Times New Roman"/>
        </w:rPr>
        <w:t xml:space="preserve">treated samples </w:t>
      </w:r>
      <w:r w:rsidRPr="00B22FDD">
        <w:rPr>
          <w:rFonts w:cs="Times New Roman"/>
          <w:i/>
          <w:iCs/>
        </w:rPr>
        <w:fldChar w:fldCharType="begin"/>
      </w:r>
      <w:r>
        <w:rPr>
          <w:rFonts w:cs="Times New Roman"/>
          <w:i/>
          <w:iCs/>
        </w:rPr>
        <w:instrText xml:space="preserve"> ADDIN ZOTERO_ITEM CSL_CITATION {"citationID":"HQv08wON","properties":{"formattedCitation":"(Avershina et al., 2020; Browne et al., 2016b; Kearney et al., 2018)","plainCitation":"(Avershina et al., 2020; Browne et al., 2016b; Kearney et al., 2018)","noteIndex":0},"citationItems":[{"id":376,"uris":["http://zotero.org/users/8873894/items/YDIPWJ3L"],"itemData":{"id":376,"type":"article-journal","abstract":"A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B22FDD">
        <w:rPr>
          <w:rFonts w:cs="Times New Roman"/>
          <w:i/>
          <w:iCs/>
        </w:rPr>
        <w:fldChar w:fldCharType="separate"/>
      </w:r>
      <w:r w:rsidRPr="00A900B1">
        <w:rPr>
          <w:rFonts w:cs="Times New Roman"/>
        </w:rPr>
        <w:t>(Avershina et al., 2020; Browne et al., 2016b; Kearney et al., 2018)</w:t>
      </w:r>
      <w:r w:rsidRPr="00B22FDD">
        <w:rPr>
          <w:rFonts w:cs="Times New Roman"/>
          <w:i/>
          <w:iCs/>
        </w:rPr>
        <w:fldChar w:fldCharType="end"/>
      </w:r>
      <w:r w:rsidRPr="00B22FDD">
        <w:rPr>
          <w:rFonts w:cs="Times New Roman"/>
        </w:rPr>
        <w:t xml:space="preserve">. While exospore formation </w:t>
      </w:r>
      <w:r>
        <w:rPr>
          <w:rFonts w:cs="Times New Roman"/>
        </w:rPr>
        <w:t>has been</w:t>
      </w:r>
      <w:r w:rsidRPr="00B22FDD">
        <w:rPr>
          <w:rFonts w:cs="Times New Roman"/>
        </w:rPr>
        <w:t xml:space="preserve"> described in the families</w:t>
      </w:r>
      <w:r w:rsidRPr="00B22FDD">
        <w:rPr>
          <w:rFonts w:cs="Times New Roman"/>
          <w:i/>
          <w:iCs/>
        </w:rPr>
        <w:t xml:space="preserve"> </w:t>
      </w:r>
      <w:proofErr w:type="spellStart"/>
      <w:r w:rsidRPr="00B22FDD">
        <w:rPr>
          <w:rFonts w:cs="Times New Roman"/>
          <w:i/>
          <w:iCs/>
        </w:rPr>
        <w:t>Actinomycetaceae</w:t>
      </w:r>
      <w:proofErr w:type="spellEnd"/>
      <w:r w:rsidRPr="00B22FDD">
        <w:rPr>
          <w:rFonts w:cs="Times New Roman"/>
        </w:rPr>
        <w:t xml:space="preserve"> and </w:t>
      </w:r>
      <w:proofErr w:type="spellStart"/>
      <w:r w:rsidRPr="00B22FDD">
        <w:rPr>
          <w:rFonts w:cs="Times New Roman"/>
          <w:i/>
          <w:iCs/>
        </w:rPr>
        <w:t>Streptomycetaceae</w:t>
      </w:r>
      <w:proofErr w:type="spellEnd"/>
      <w:r w:rsidRPr="00B22FDD">
        <w:rPr>
          <w:rFonts w:cs="Times New Roman"/>
        </w:rPr>
        <w:t xml:space="preserve">, the mechanisms underlying ethanol resistance in other </w:t>
      </w:r>
      <w:r w:rsidRPr="00B22FDD">
        <w:rPr>
          <w:rFonts w:cs="Times New Roman"/>
          <w:i/>
          <w:iCs/>
        </w:rPr>
        <w:t>Actinomycetota</w:t>
      </w:r>
      <w:r w:rsidRPr="00B22FDD">
        <w:rPr>
          <w:rFonts w:cs="Times New Roman"/>
        </w:rPr>
        <w:t xml:space="preserve"> families remain unclear. In our data, </w:t>
      </w:r>
      <w:proofErr w:type="spellStart"/>
      <w:r w:rsidRPr="00B22FDD">
        <w:rPr>
          <w:rFonts w:cs="Times New Roman"/>
          <w:i/>
          <w:iCs/>
        </w:rPr>
        <w:t>Actinomycetaceae</w:t>
      </w:r>
      <w:proofErr w:type="spellEnd"/>
      <w:r w:rsidRPr="00B22FDD">
        <w:rPr>
          <w:rFonts w:cs="Times New Roman"/>
        </w:rPr>
        <w:t xml:space="preserve"> accounted for only 0.4% of the relative abundance within the ethanol-resistant community, while </w:t>
      </w:r>
      <w:proofErr w:type="spellStart"/>
      <w:r w:rsidRPr="00B22FDD">
        <w:rPr>
          <w:rFonts w:cs="Times New Roman"/>
          <w:i/>
          <w:iCs/>
        </w:rPr>
        <w:t>Streptomycetaceae</w:t>
      </w:r>
      <w:proofErr w:type="spellEnd"/>
      <w:r w:rsidRPr="00B22FDD">
        <w:rPr>
          <w:rFonts w:cs="Times New Roman"/>
        </w:rPr>
        <w:t xml:space="preserve"> were not detected. Members of the phylum </w:t>
      </w:r>
      <w:proofErr w:type="spellStart"/>
      <w:r w:rsidRPr="00B22FDD">
        <w:rPr>
          <w:rFonts w:cs="Times New Roman"/>
          <w:i/>
          <w:iCs/>
        </w:rPr>
        <w:t>Pseudomonadota</w:t>
      </w:r>
      <w:proofErr w:type="spellEnd"/>
      <w:r w:rsidRPr="00B22FDD">
        <w:rPr>
          <w:rFonts w:cs="Times New Roman"/>
        </w:rPr>
        <w:t xml:space="preserve">, also commonly detected in the ethanol-resistant community, have previously been reported to adopt various dormant life strategies, such as persistence and the viable but non-culturable state </w:t>
      </w:r>
      <w:r w:rsidRPr="00B22FDD">
        <w:rPr>
          <w:rFonts w:cs="Times New Roman"/>
        </w:rPr>
        <w:fldChar w:fldCharType="begin"/>
      </w:r>
      <w:r w:rsidR="00D9297E">
        <w:rPr>
          <w:rFonts w:cs="Times New Roman"/>
        </w:rPr>
        <w:instrText xml:space="preserve"> ADDIN ZOTERO_ITEM CSL_CITATION {"citationID":"QrUQ4rcZ","properties":{"formattedCitation":"(Li et al., 2014)","plainCitation":"(Li et al., 2014)","noteIndex":0},"citationItems":[{"id":3140,"uris":["http://zotero.org/users/8873894/items/XZXFBB2A"],"itemData":{"id":3140,"type":"article-journal","abstract":"&lt;p&gt;Many bacterial species have been found to exist in a viable but non-culturable (VBNC) state since its discovery in 1982. VBNC cells are characterized by a loss of culturability on routine agar, which impairs their detection by conventional plate count techniques. This leads to an underestimation of total viable cells in environmental or clinical samples, and thus poses a risk to public health. In this review, we present recent findings on the VBNC state of human bacterial pathogens. The characteristics of VBNC cells, including the similarities and differences to viable, culturable cells and dead cells, and different detection methods are discussed. Exposure to various stresses can induce the VBNC state, and VBNC cells may be resuscitated back to culturable cells under suitable stimuli. The conditions that trigger the induction of the VBNC state and resuscitation from it are summarized and the mechanisms underlying these two processes are discussed. Last but not least, the significance of VBNC cells and their potential influence on human health are also reviewed.&lt;/p&gt;","container-title":"Frontiers in Microbiology","DOI":"10.3389/fmicb.2014.00258","ISSN":"1664-302X","journalAbbreviation":"Front. Microbiol.","language":"English","publisher":"Frontiers","source":"Frontiers","title":"The importance of the viable but non-culturable state in human bacterial pathogens","URL":"https://www.frontiersin.org/journals/microbiology/articles/10.3389/fmicb.2014.00258/full","volume":"5","author":[{"family":"Li","given":"Laam"},{"family":"Mendis","given":"Nilmini"},{"family":"Trigui","given":"Hana"},{"family":"Oliver","given":"James D."},{"family":"Faucher","given":"Sebastien P."}],"accessed":{"date-parts":[["2025",3,28]]},"issued":{"date-parts":[["2014",6,2]]}}}],"schema":"https://github.com/citation-style-language/schema/raw/master/csl-citation.json"} </w:instrText>
      </w:r>
      <w:r w:rsidRPr="00B22FDD">
        <w:rPr>
          <w:rFonts w:cs="Times New Roman"/>
        </w:rPr>
        <w:fldChar w:fldCharType="separate"/>
      </w:r>
      <w:r w:rsidR="00D9297E" w:rsidRPr="00D9297E">
        <w:rPr>
          <w:rFonts w:cs="Times New Roman"/>
          <w:sz w:val="22"/>
        </w:rPr>
        <w:t>(Li et al., 2014)</w:t>
      </w:r>
      <w:r w:rsidRPr="00B22FDD">
        <w:rPr>
          <w:rFonts w:cs="Times New Roman"/>
        </w:rPr>
        <w:fldChar w:fldCharType="end"/>
      </w:r>
      <w:r w:rsidRPr="00B22FDD">
        <w:rPr>
          <w:rFonts w:cs="Times New Roman"/>
        </w:rPr>
        <w:t xml:space="preserve">. </w:t>
      </w:r>
    </w:p>
    <w:p w14:paraId="73B1CE42" w14:textId="29C7B282" w:rsidR="009972F0" w:rsidRPr="00B22FDD" w:rsidRDefault="009972F0" w:rsidP="009972F0">
      <w:pPr>
        <w:rPr>
          <w:rFonts w:cs="Times New Roman"/>
        </w:rPr>
      </w:pPr>
      <w:r w:rsidRPr="00B22FDD">
        <w:rPr>
          <w:rFonts w:cs="Times New Roman"/>
        </w:rPr>
        <w:t xml:space="preserve">A limitation of </w:t>
      </w:r>
      <w:proofErr w:type="spellStart"/>
      <w:r w:rsidRPr="00B22FDD">
        <w:rPr>
          <w:rFonts w:cs="Times New Roman"/>
        </w:rPr>
        <w:t>16S</w:t>
      </w:r>
      <w:proofErr w:type="spellEnd"/>
      <w:r w:rsidRPr="00B22FDD">
        <w:rPr>
          <w:rFonts w:cs="Times New Roman"/>
        </w:rPr>
        <w:t xml:space="preserve"> rRNA amplicon sequencing was </w:t>
      </w:r>
      <w:r>
        <w:rPr>
          <w:rFonts w:cs="Times New Roman"/>
        </w:rPr>
        <w:t>addressed</w:t>
      </w:r>
      <w:r w:rsidRPr="00B22FDD">
        <w:rPr>
          <w:rFonts w:cs="Times New Roman"/>
        </w:rPr>
        <w:t xml:space="preserve"> by simultaneous shotgun metagenomic sequencing</w:t>
      </w:r>
      <w:r>
        <w:rPr>
          <w:rFonts w:cs="Times New Roman"/>
        </w:rPr>
        <w:t>, which provided</w:t>
      </w:r>
      <w:r w:rsidRPr="00B22FDD">
        <w:rPr>
          <w:rFonts w:cs="Times New Roman"/>
        </w:rPr>
        <w:t xml:space="preserve"> information beyond taxonomic classification</w:t>
      </w:r>
      <w:r>
        <w:rPr>
          <w:rFonts w:cs="Times New Roman"/>
        </w:rPr>
        <w:t xml:space="preserve"> and allowed</w:t>
      </w:r>
      <w:r w:rsidRPr="00B22FDD">
        <w:rPr>
          <w:rFonts w:cs="Times New Roman"/>
        </w:rPr>
        <w:t xml:space="preserve"> </w:t>
      </w:r>
      <w:r>
        <w:rPr>
          <w:rFonts w:cs="Times New Roman"/>
        </w:rPr>
        <w:t>us to d</w:t>
      </w:r>
      <w:r w:rsidRPr="00B22FDD">
        <w:rPr>
          <w:rFonts w:cs="Times New Roman"/>
        </w:rPr>
        <w:t xml:space="preserve">etermine sporulation capability based on </w:t>
      </w:r>
      <w:r>
        <w:rPr>
          <w:rFonts w:cs="Times New Roman"/>
        </w:rPr>
        <w:t xml:space="preserve">the </w:t>
      </w:r>
      <w:r w:rsidRPr="00B22FDD">
        <w:rPr>
          <w:rFonts w:cs="Times New Roman"/>
        </w:rPr>
        <w:t xml:space="preserve">presence of </w:t>
      </w:r>
      <w:r>
        <w:rPr>
          <w:rFonts w:cs="Times New Roman"/>
        </w:rPr>
        <w:t xml:space="preserve">the </w:t>
      </w:r>
      <w:r w:rsidRPr="00B22FDD">
        <w:rPr>
          <w:rFonts w:cs="Times New Roman"/>
        </w:rPr>
        <w:t>minimal necessary genes required for sporulation. Here</w:t>
      </w:r>
      <w:r>
        <w:rPr>
          <w:rFonts w:cs="Times New Roman"/>
        </w:rPr>
        <w:t>,</w:t>
      </w:r>
      <w:r w:rsidRPr="00B22FDD">
        <w:rPr>
          <w:rFonts w:cs="Times New Roman"/>
        </w:rPr>
        <w:t xml:space="preserve"> we observed that true spore</w:t>
      </w:r>
      <w:r>
        <w:rPr>
          <w:rFonts w:cs="Times New Roman"/>
        </w:rPr>
        <w:t>-</w:t>
      </w:r>
      <w:r w:rsidRPr="00B22FDD">
        <w:rPr>
          <w:rFonts w:cs="Times New Roman"/>
        </w:rPr>
        <w:t xml:space="preserve">formers are present only in </w:t>
      </w:r>
      <w:r>
        <w:rPr>
          <w:rFonts w:cs="Times New Roman"/>
        </w:rPr>
        <w:t xml:space="preserve">the </w:t>
      </w:r>
      <w:r w:rsidRPr="00B22FDD">
        <w:rPr>
          <w:rFonts w:cs="Times New Roman"/>
        </w:rPr>
        <w:t xml:space="preserve">phylum </w:t>
      </w:r>
      <w:r w:rsidRPr="00B22FDD">
        <w:rPr>
          <w:rFonts w:cs="Times New Roman"/>
          <w:i/>
          <w:iCs/>
        </w:rPr>
        <w:t>Bacillota</w:t>
      </w:r>
      <w:r w:rsidRPr="00B22FDD">
        <w:rPr>
          <w:rFonts w:cs="Times New Roman"/>
        </w:rPr>
        <w:t xml:space="preserve"> or </w:t>
      </w:r>
      <w:r>
        <w:rPr>
          <w:rFonts w:cs="Times New Roman"/>
        </w:rPr>
        <w:t xml:space="preserve">as </w:t>
      </w:r>
      <w:r w:rsidRPr="00B22FDD">
        <w:rPr>
          <w:rFonts w:cs="Times New Roman"/>
        </w:rPr>
        <w:t xml:space="preserve">some unclassified </w:t>
      </w:r>
      <w:r w:rsidRPr="00B22FDD">
        <w:rPr>
          <w:rFonts w:cs="Times New Roman"/>
          <w:i/>
          <w:iCs/>
        </w:rPr>
        <w:t>Bacteria</w:t>
      </w:r>
      <w:r w:rsidRPr="00B22FDD">
        <w:rPr>
          <w:rFonts w:cs="Times New Roman"/>
        </w:rPr>
        <w:t xml:space="preserve"> </w:t>
      </w:r>
      <w:r w:rsidRPr="00B22FDD">
        <w:rPr>
          <w:rFonts w:cs="Times New Roman"/>
        </w:rPr>
        <w:fldChar w:fldCharType="begin"/>
      </w:r>
      <w:r w:rsidRPr="00B22FDD">
        <w:rPr>
          <w:rFonts w:cs="Times New Roman"/>
        </w:rPr>
        <w:instrText xml:space="preserve"> ADDIN ZOTERO_ITEM CSL_CITATION {"citationID":"pWpSRK1T","properties":{"formattedCitation":"(Browne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B22FDD">
        <w:rPr>
          <w:rFonts w:cs="Times New Roman"/>
        </w:rPr>
        <w:fldChar w:fldCharType="separate"/>
      </w:r>
      <w:r w:rsidRPr="00B22FDD">
        <w:rPr>
          <w:rFonts w:cs="Times New Roman"/>
        </w:rPr>
        <w:t>(Browne et al., 2021)</w:t>
      </w:r>
      <w:r w:rsidRPr="00B22FDD">
        <w:rPr>
          <w:rFonts w:cs="Times New Roman"/>
        </w:rPr>
        <w:fldChar w:fldCharType="end"/>
      </w:r>
      <w:r w:rsidRPr="00B22FDD">
        <w:rPr>
          <w:rFonts w:cs="Times New Roman"/>
        </w:rPr>
        <w:t xml:space="preserve">. </w:t>
      </w:r>
    </w:p>
    <w:p w14:paraId="0742AC9F" w14:textId="77777777" w:rsidR="009972F0" w:rsidRDefault="009972F0" w:rsidP="009972F0">
      <w:pPr>
        <w:rPr>
          <w:rFonts w:cs="Times New Roman"/>
        </w:rPr>
      </w:pPr>
      <w:r w:rsidRPr="00B22FDD">
        <w:rPr>
          <w:rFonts w:cs="Times New Roman"/>
        </w:rPr>
        <w:t xml:space="preserve">In general, we observed two notable characteristics distinguishing the ethanol-resistant community from the non-resistant community. Both were primarily driven by </w:t>
      </w:r>
      <w:r w:rsidRPr="00B22FDD">
        <w:rPr>
          <w:rFonts w:cs="Times New Roman"/>
          <w:i/>
          <w:iCs/>
        </w:rPr>
        <w:t>Bacillota</w:t>
      </w:r>
      <w:r w:rsidRPr="00B22FDD">
        <w:rPr>
          <w:rFonts w:cs="Times New Roman"/>
        </w:rPr>
        <w:t xml:space="preserve"> OTUs due to their high abundance, </w:t>
      </w:r>
      <w:r>
        <w:rPr>
          <w:rFonts w:cs="Times New Roman"/>
        </w:rPr>
        <w:t>al</w:t>
      </w:r>
      <w:r w:rsidRPr="00B22FDD">
        <w:rPr>
          <w:rFonts w:cs="Times New Roman"/>
        </w:rPr>
        <w:t xml:space="preserve">though similar trends were also observed across other phyla. First, OTUs determined as ethanol-resistant </w:t>
      </w:r>
      <w:r>
        <w:rPr>
          <w:rFonts w:cs="Times New Roman"/>
        </w:rPr>
        <w:t>showed</w:t>
      </w:r>
      <w:r w:rsidRPr="00B22FDD">
        <w:rPr>
          <w:rFonts w:cs="Times New Roman"/>
        </w:rPr>
        <w:t xml:space="preserve"> significantly higher relative abundance within the gut microbiota compared to non-resistant OTUs and were significantly more likely to be detected at more time points within an individual, particularly in more than 80% of samples collected over a six-month period, relative to non-resistant OTUs. These findings support the use of ethanol resistance as a proxy for identifying bacterial taxa </w:t>
      </w:r>
      <w:r>
        <w:rPr>
          <w:rFonts w:cs="Times New Roman"/>
        </w:rPr>
        <w:t>that employ</w:t>
      </w:r>
      <w:r w:rsidRPr="00B22FDD">
        <w:rPr>
          <w:rFonts w:cs="Times New Roman"/>
        </w:rPr>
        <w:t xml:space="preserve"> dormancy mechanisms contribut</w:t>
      </w:r>
      <w:r>
        <w:rPr>
          <w:rFonts w:cs="Times New Roman"/>
        </w:rPr>
        <w:t>ing</w:t>
      </w:r>
      <w:r w:rsidRPr="00B22FDD">
        <w:rPr>
          <w:rFonts w:cs="Times New Roman"/>
        </w:rPr>
        <w:t xml:space="preserve"> </w:t>
      </w:r>
      <w:r w:rsidRPr="00B22FDD">
        <w:rPr>
          <w:rFonts w:cs="Times New Roman"/>
        </w:rPr>
        <w:lastRenderedPageBreak/>
        <w:t xml:space="preserve">to long-term persistence in the human gut. Further confirmation of their higher relative abundance and persistence also </w:t>
      </w:r>
      <w:r>
        <w:rPr>
          <w:rFonts w:cs="Times New Roman"/>
        </w:rPr>
        <w:t>comes</w:t>
      </w:r>
      <w:r w:rsidRPr="00B22FDD">
        <w:rPr>
          <w:rFonts w:cs="Times New Roman"/>
        </w:rPr>
        <w:t xml:space="preserve"> from species determined spore-forming based on </w:t>
      </w:r>
      <w:r>
        <w:rPr>
          <w:rFonts w:cs="Times New Roman"/>
        </w:rPr>
        <w:t xml:space="preserve">the </w:t>
      </w:r>
      <w:r w:rsidRPr="00B22FDD">
        <w:rPr>
          <w:rFonts w:cs="Times New Roman"/>
        </w:rPr>
        <w:t xml:space="preserve">presence of genes necessary for sporulation </w:t>
      </w:r>
      <w:r>
        <w:rPr>
          <w:rFonts w:cs="Times New Roman"/>
        </w:rPr>
        <w:t>in</w:t>
      </w:r>
      <w:r w:rsidRPr="00B22FDD">
        <w:rPr>
          <w:rFonts w:cs="Times New Roman"/>
        </w:rPr>
        <w:t xml:space="preserve"> shotgun metagenomic data. </w:t>
      </w:r>
    </w:p>
    <w:p w14:paraId="23E4FFF1" w14:textId="77777777" w:rsidR="009972F0" w:rsidRPr="00B22FDD" w:rsidRDefault="009972F0" w:rsidP="009972F0">
      <w:pPr>
        <w:rPr>
          <w:rFonts w:cs="Times New Roman"/>
        </w:rPr>
      </w:pPr>
    </w:p>
    <w:p w14:paraId="233B9286" w14:textId="77777777" w:rsidR="009972F0" w:rsidRPr="00D228E7" w:rsidRDefault="009972F0" w:rsidP="009972F0">
      <w:pPr>
        <w:pStyle w:val="Heading3"/>
        <w:numPr>
          <w:ilvl w:val="2"/>
          <w:numId w:val="43"/>
        </w:numPr>
        <w:tabs>
          <w:tab w:val="num" w:pos="360"/>
        </w:tabs>
      </w:pPr>
      <w:bookmarkStart w:id="492" w:name="_Toc220591416"/>
      <w:r w:rsidRPr="00B22FDD">
        <w:t>Between and within individual dynamics of spore-forming bacteria</w:t>
      </w:r>
      <w:bookmarkEnd w:id="492"/>
    </w:p>
    <w:p w14:paraId="3F70ED94" w14:textId="77777777" w:rsidR="009972F0" w:rsidRPr="00B22FDD" w:rsidRDefault="009972F0" w:rsidP="009972F0">
      <w:pPr>
        <w:rPr>
          <w:rFonts w:cs="Times New Roman"/>
        </w:rPr>
      </w:pPr>
      <w:r w:rsidRPr="00B22FDD">
        <w:rPr>
          <w:rFonts w:cs="Times New Roman"/>
        </w:rPr>
        <w:t xml:space="preserve">Both in amplicon data where we looked at inter- and intra-individual dynamics of ethanol-resistant </w:t>
      </w:r>
      <w:r w:rsidRPr="00B22FDD">
        <w:rPr>
          <w:rFonts w:cs="Times New Roman"/>
          <w:i/>
          <w:iCs/>
        </w:rPr>
        <w:t>Bacillota</w:t>
      </w:r>
      <w:r w:rsidRPr="00B22FDD">
        <w:rPr>
          <w:rFonts w:cs="Times New Roman"/>
        </w:rPr>
        <w:t xml:space="preserve"> and in shotgun metagenomic data, looking at gene-based determined spore-forming bacteria, we observed a significantly lower variability within individual than between individuals. Our observation aligns with prior findings showing that lysozyme resistant taxa tend to have higher population-level prevalence and lower within-individual variability than non-resistant communities </w:t>
      </w:r>
      <w:r w:rsidRPr="00B22FDD">
        <w:rPr>
          <w:rFonts w:cs="Times New Roman"/>
        </w:rPr>
        <w:fldChar w:fldCharType="begin"/>
      </w:r>
      <w:r w:rsidRPr="00B22FDD">
        <w:rPr>
          <w:rFonts w:cs="Times New Roman"/>
        </w:rPr>
        <w:instrText xml:space="preserve"> ADDIN ZOTERO_ITEM CSL_CITATION {"citationID":"D0cGtBfI","properties":{"formattedCitation":"(Kearney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B22FDD">
        <w:rPr>
          <w:rFonts w:cs="Times New Roman"/>
        </w:rPr>
        <w:fldChar w:fldCharType="separate"/>
      </w:r>
      <w:r w:rsidRPr="00B22FDD">
        <w:rPr>
          <w:rFonts w:cs="Times New Roman"/>
        </w:rPr>
        <w:t>(Kearney et al., 2018)</w:t>
      </w:r>
      <w:r w:rsidRPr="00B22FDD">
        <w:rPr>
          <w:rFonts w:cs="Times New Roman"/>
        </w:rPr>
        <w:fldChar w:fldCharType="end"/>
      </w:r>
      <w:r w:rsidRPr="00B22FDD">
        <w:rPr>
          <w:rFonts w:cs="Times New Roman"/>
        </w:rPr>
        <w:t xml:space="preserve">. Moreover, a comparative genomic analysis has shown that bacterial species with more sporulation genes are significantly more prevalent in human populations, at least partially explaining the lower between-individual variability observed in this study </w:t>
      </w:r>
      <w:r w:rsidRPr="00B22FDD">
        <w:rPr>
          <w:rFonts w:cs="Times New Roman"/>
        </w:rPr>
        <w:fldChar w:fldCharType="begin"/>
      </w:r>
      <w:r w:rsidRPr="00B22FDD">
        <w:rPr>
          <w:rFonts w:cs="Times New Roman"/>
        </w:rPr>
        <w:instrText xml:space="preserve"> ADDIN ZOTERO_ITEM CSL_CITATION {"citationID":"2c347SpW","properties":{"formattedCitation":"(Browne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B22FDD">
        <w:rPr>
          <w:rFonts w:cs="Times New Roman"/>
        </w:rPr>
        <w:fldChar w:fldCharType="separate"/>
      </w:r>
      <w:r w:rsidRPr="00B22FDD">
        <w:rPr>
          <w:rFonts w:cs="Times New Roman"/>
        </w:rPr>
        <w:t>(Browne et al., 2021)</w:t>
      </w:r>
      <w:r w:rsidRPr="00B22FDD">
        <w:rPr>
          <w:rFonts w:cs="Times New Roman"/>
        </w:rPr>
        <w:fldChar w:fldCharType="end"/>
      </w:r>
      <w:r w:rsidRPr="00B22FDD">
        <w:rPr>
          <w:rFonts w:cs="Times New Roman"/>
        </w:rPr>
        <w:t xml:space="preserve">. </w:t>
      </w:r>
    </w:p>
    <w:p w14:paraId="6A572ADE" w14:textId="77777777" w:rsidR="009972F0" w:rsidRDefault="009972F0" w:rsidP="009972F0">
      <w:pPr>
        <w:rPr>
          <w:rFonts w:cs="Times New Roman"/>
        </w:rPr>
      </w:pPr>
      <w:r w:rsidRPr="00B22FDD">
        <w:rPr>
          <w:rFonts w:cs="Times New Roman"/>
        </w:rPr>
        <w:t xml:space="preserve">Spore persistence within the human gut was previously assessed using </w:t>
      </w:r>
      <w:r w:rsidRPr="00B22FDD">
        <w:rPr>
          <w:rFonts w:cs="Times New Roman"/>
          <w:i/>
          <w:iCs/>
        </w:rPr>
        <w:t xml:space="preserve">in vitro </w:t>
      </w:r>
      <w:r w:rsidRPr="00B22FDD">
        <w:rPr>
          <w:rFonts w:cs="Times New Roman"/>
        </w:rPr>
        <w:t xml:space="preserve">and murine gut models that have shown </w:t>
      </w:r>
      <w:r w:rsidRPr="00B22FDD">
        <w:rPr>
          <w:rFonts w:cs="Times New Roman"/>
          <w:i/>
          <w:iCs/>
        </w:rPr>
        <w:t>C. difficile</w:t>
      </w:r>
      <w:r w:rsidRPr="00B22FDD">
        <w:rPr>
          <w:rFonts w:cs="Times New Roman"/>
        </w:rPr>
        <w:t xml:space="preserve"> spores bind to biofilms and consequently evade washout </w:t>
      </w:r>
      <w:r w:rsidRPr="00B22FDD">
        <w:rPr>
          <w:rFonts w:cs="Times New Roman"/>
        </w:rPr>
        <w:fldChar w:fldCharType="begin"/>
      </w:r>
      <w:r>
        <w:rPr>
          <w:rFonts w:cs="Times New Roman"/>
        </w:rPr>
        <w:instrText xml:space="preserve"> ADDIN ZOTERO_ITEM CSL_CITATION {"citationID":"rK4GeW78","properties":{"formattedCitation":"(Normington et al., 2021; Soavelomandroso et al., 2017)","plainCitation":"(Normington et al., 2021; Soavelomandroso et al., 2017)","noteIndex":0},"citationItems":[{"id":2984,"uris":["http://zotero.org/users/8873894/items/4EW43G8R"],"itemData":{"id":2984,"type":"article-journal","abstract":"Clostridium difficile infection (CDI) is a major healthcare-associated disease with high recurrence rates. Host colonization is critical for the infectious process, both in first episodes and in recurrent disease, with biofilm formation playing a ...","container-title":"Frontiers in Microbiology","DOI":"10.3389/fmicb.2017.02086","language":"en","page":"2086","PMID":"29118745","source":"pmc.ncbi.nlm.nih.gov","title":"Biofilm Structures in a Mono-Associated Mouse Model of Clostridium difficile Infection","volume":"8","author":[{"family":"Soavelomandroso","given":"Anna P."},{"family":"Gaudin","given":"Françoise"},{"family":"Hoys","given":"Sandra"},{"family":"Nicolas","given":"Valérie"},{"family":"Vedantam","given":"Gayatri"},{"family":"Janoir","given":"Claire"},{"family":"Bouttier","given":"Sylvie"}],"issued":{"date-parts":[["2017",10,25]]}}},{"id":3151,"uris":["http://zotero.org/users/8873894/items/Y5Y33ERV"],"itemData":{"id":3151,"type":"article-journal","abstract":"C. difficile infection (CDI) is a worldwide healthcare problem with ~30% of cases failing primary therapy, placing a burden on healthcare systems and increasing patient morbidity. We have little understanding of why these therapies fail. Here, we use a clinically validated in vitro gut model to assess the contribution of biofilms towards recurrent disease and to investigate biofilm microbiota-C. difficile interactions. Initial experiments show that C. difficile cells became associated with the colonic biofilm microbiota and are not depleted by vancomycin or faecal microbiota transplant therapies. We observe that transferring biofilm encased C. difficile cells into a C. difficile naïve but CDI susceptible model induces CDI. Members of the biofilm community can impact C. difficile biofilm formation by acting either antagonistically or synergistically. We highlight the importance of biofilms as a reservoir for C. difficile, which can be a cause for recurrent infections.","container-title":"npj Biofilms and Microbiomes","DOI":"10.1038/s41522-021-00184-w","ISSN":"2055-5008","issue":"1","journalAbbreviation":"npj Biofilms Microbiomes","language":"en","license":"2021 The Author(s)","page":"1-10","publisher":"Nature Publishing Group","source":"www.nature.com","title":"Biofilms harbour Clostridioides difficile, serving as a reservoir for recurrent infection","volume":"7","author":[{"family":"Normington","given":"Charmaine"},{"family":"Moura","given":"Ines B."},{"family":"Bryant","given":"Jessica A."},{"family":"Ewin","given":"Duncan J."},{"family":"Clark","given":"Emma V."},{"family":"Kettle","given":"Morgan J."},{"family":"Harris","given":"Hannah C."},{"family":"Spittal","given":"William"},{"family":"Davis","given":"Georgina"},{"family":"Henn","given":"Matthew R."},{"family":"Ford","given":"Christopher B."},{"family":"Wilcox","given":"Mark H."},{"family":"Buckley","given":"Anthony M."}],"issued":{"date-parts":[["2021",2,5]]}}}],"schema":"https://github.com/citation-style-language/schema/raw/master/csl-citation.json"} </w:instrText>
      </w:r>
      <w:r w:rsidRPr="00B22FDD">
        <w:rPr>
          <w:rFonts w:cs="Times New Roman"/>
        </w:rPr>
        <w:fldChar w:fldCharType="separate"/>
      </w:r>
      <w:r w:rsidRPr="00B22FDD">
        <w:rPr>
          <w:rFonts w:cs="Times New Roman"/>
        </w:rPr>
        <w:t>(Normington et al., 2021; Soavelomandroso et al., 2017)</w:t>
      </w:r>
      <w:r w:rsidRPr="00B22FDD">
        <w:rPr>
          <w:rFonts w:cs="Times New Roman"/>
        </w:rPr>
        <w:fldChar w:fldCharType="end"/>
      </w:r>
      <w:r w:rsidRPr="00B22FDD">
        <w:rPr>
          <w:rFonts w:cs="Times New Roman"/>
        </w:rPr>
        <w:t xml:space="preserve">. Their ability to persist is further supported by recurring infections with the same strain </w:t>
      </w:r>
      <w:r w:rsidRPr="00B22FDD">
        <w:rPr>
          <w:rFonts w:cs="Times New Roman"/>
        </w:rPr>
        <w:fldChar w:fldCharType="begin"/>
      </w:r>
      <w:r>
        <w:rPr>
          <w:rFonts w:cs="Times New Roman"/>
        </w:rPr>
        <w:instrText xml:space="preserve"> ADDIN ZOTERO_ITEM CSL_CITATION {"citationID":"u5IEYBkK","properties":{"formattedCitation":"(Figueroa et al., 2012)","plainCitation":"(Figueroa et al., 2012)","noteIndex":0},"citationItems":[{"id":3153,"uris":["http://zotero.org/users/8873894/items/GWLWC4SF"],"itemData":{"id":3153,"type":"article-journal","abstract":"Our study sought to compare the strain types of Clostridium difficile causing initial and recurrent episodes of C. difficile infection (CDI) in adult patients with a first episode of CDI or 1 prior episode of CDI within the previous 90 days. Strains originated from patients who had been entered into two phase 3 randomized clinical trials of fidaxomicin versus vancomycin. Isolates of C. difficile from the initial and recurrent episodes within 28 (± 2) days of cure of CDI were compared using restriction endonuclease analysis (REA) typing. Paired isolates were available from 90 of 194 (46%) patients with recurrent CDI. Patients with isolates available were significantly younger (P = .008) and more likely to be from Canadian sites (P = .0001), compared with patients without isolates. In 75 of 90 subjects (83.3%), the identical REA type strain was identified at recurrence and the initial episode (putative relapse). Early recurrences (0-14 days after treatment completion) were relapses in 86.7% and a new strain (reinfection) in 13.3%. Later recurrences (15-31 days after treatment) were relapses in 76.7% and reinfections in 23.3%. Mean time (± standard deviation) to recurrence was 12.2 (± 6.4) days for relapses and 14.7 (± 6.8) days for reinfections (P = .177). The most common BI/NAP1/027 group and the previous US epidemic REA group J/NAP2/001 had a significantly higher combined rate of recurrence with the same strain (relapse), compared with the other REA groups (39 of 42 [93%] vs 36 of 48 [75%], respectively; P = .023). We found a higher than historic rate of recurrent CDI caused by the same isolate as the original episode, a finding that may be related to the relatively short observation period in this study and the high frequency of isolation of epidemic strains, such as groups BI and J, for which relapse rates may be higher than for other REA groups. Caution in generalizing these observations is required, because the patients studied were younger and more likely to be from Canadian sites than were patients with recurrence who did not provide isolates.","container-title":"Clinical Infectious Diseases: An Official Publication of the Infectious Diseases Society of America","DOI":"10.1093/cid/cis357","ISSN":"1537-6591","issue":"Suppl 2","journalAbbreviation":"Clin Infect Dis","language":"eng","page":"S104-109","PMID":"22752857","PMCID":"PMC3388025","source":"PubMed","title":"Relapse versus reinfection: recurrent Clostridium difficile infection following treatment with fidaxomicin or vancomycin","title-short":"Relapse versus reinfection","volume":"55 Suppl 2","author":[{"family":"Figueroa","given":"Iris"},{"family":"Johnson","given":"Stuart"},{"family":"Sambol","given":"Susan P."},{"family":"Goldstein","given":"Ellie J. C."},{"family":"Citron","given":"Diane M."},{"family":"Gerding","given":"Dale N."}],"issued":{"date-parts":[["2012",8]]}}}],"schema":"https://github.com/citation-style-language/schema/raw/master/csl-citation.json"} </w:instrText>
      </w:r>
      <w:r w:rsidRPr="00B22FDD">
        <w:rPr>
          <w:rFonts w:cs="Times New Roman"/>
        </w:rPr>
        <w:fldChar w:fldCharType="separate"/>
      </w:r>
      <w:r w:rsidRPr="00B22FDD">
        <w:rPr>
          <w:rFonts w:cs="Times New Roman"/>
        </w:rPr>
        <w:t>(Figueroa et al., 2012)</w:t>
      </w:r>
      <w:r w:rsidRPr="00B22FDD">
        <w:rPr>
          <w:rFonts w:cs="Times New Roman"/>
        </w:rPr>
        <w:fldChar w:fldCharType="end"/>
      </w:r>
      <w:r w:rsidRPr="00B22FDD">
        <w:rPr>
          <w:rFonts w:cs="Times New Roman"/>
        </w:rPr>
        <w:t xml:space="preserve">. However, similar mechanisms of spore persistence have not been demonstrated for other species beyond </w:t>
      </w:r>
      <w:r w:rsidRPr="00B22FDD">
        <w:rPr>
          <w:rFonts w:cs="Times New Roman"/>
          <w:i/>
          <w:iCs/>
        </w:rPr>
        <w:t>in vitro</w:t>
      </w:r>
      <w:r w:rsidRPr="00B22FDD">
        <w:rPr>
          <w:rFonts w:cs="Times New Roman"/>
        </w:rPr>
        <w:t xml:space="preserve"> biofilm formations </w:t>
      </w:r>
      <w:r w:rsidRPr="00B22FDD">
        <w:rPr>
          <w:rFonts w:cs="Times New Roman"/>
        </w:rPr>
        <w:fldChar w:fldCharType="begin"/>
      </w:r>
      <w:r>
        <w:rPr>
          <w:rFonts w:cs="Times New Roman"/>
        </w:rPr>
        <w:instrText xml:space="preserve"> ADDIN ZOTERO_ITEM CSL_CITATION {"citationID":"qYcVtaqE","properties":{"formattedCitation":"(Donelli et al., 2012)","plainCitation":"(Donelli et al., 2012)","noteIndex":0},"citationItems":[{"id":2980,"uris":["http://zotero.org/users/8873894/items/2R2PHLWE"],"itemData":{"id":2980,"type":"article-journal","abstract":"Sessile growth of anaerobic bacteria from the human intestinal tract has been poorly investigated, so far. We recently reported data on the close association existing between biliary stent clogging and polymicrobial biofilm development in its lumen. By exploiting the explanted stents as a rich source of anaerobic bacterial strains belonging to the genera Bacteroides, Clostridium, Fusobacterium, Finegoldia, Prevotella, and Veillonella, the present study focused on their ability to adhere, to grow in sessile mode and to form in vitro mono- or dual-species biofilms. Experiments on dual-species biofilm formation were planned on the basis of the anaerobic strains isolated from each clogged biliary stent, by selecting those in which a couple of anaerobic strains belonging to different species contributed to the polymicrobial biofilm development. Then, strains were investigated by field emission scanning electron microscopy and confocal laser scanning microscopy to reveal if they are able to grow as mono- and/or dual-species biofilms. As far as we know, this is the first report on the ability to adhere and form mono/dual-species biofilms exhibited by strains belonging to the species Bacteroides oralis, Clostridium difficile, Clostridium baratii, Clostridium fallax, Clostridium bifermentans, Finegoldia magna, and Fusobacterium necrophorum.","container-title":"FEMS immunology and medical microbiology","DOI":"10.1111/j.1574-695X.2012.00962.x","ISSN":"1574-695X","issue":"2","journalAbbreviation":"FEMS Immunol Med Microbiol","language":"eng","page":"318-325","PMID":"22444687","source":"PubMed","title":"Biofilm-growing intestinal anaerobic bacteria","volume":"65","author":[{"family":"Donelli","given":"Gianfranco"},{"family":"Vuotto","given":"Claudia"},{"family":"Cardines","given":"Rita"},{"family":"Mastrantonio","given":"Paola"}],"issued":{"date-parts":[["2012",7]]}}}],"schema":"https://github.com/citation-style-language/schema/raw/master/csl-citation.json"} </w:instrText>
      </w:r>
      <w:r w:rsidRPr="00B22FDD">
        <w:rPr>
          <w:rFonts w:cs="Times New Roman"/>
        </w:rPr>
        <w:fldChar w:fldCharType="separate"/>
      </w:r>
      <w:r w:rsidRPr="00B22FDD">
        <w:rPr>
          <w:rFonts w:cs="Times New Roman"/>
        </w:rPr>
        <w:t>(Donelli et al., 2012)</w:t>
      </w:r>
      <w:r w:rsidRPr="00B22FDD">
        <w:rPr>
          <w:rFonts w:cs="Times New Roman"/>
        </w:rPr>
        <w:fldChar w:fldCharType="end"/>
      </w:r>
      <w:r w:rsidRPr="00B22FDD">
        <w:rPr>
          <w:rFonts w:cs="Times New Roman"/>
        </w:rPr>
        <w:t xml:space="preserve">. Although we noticed a significant increase in temporal variability within ethanol-resistant </w:t>
      </w:r>
      <w:r w:rsidRPr="00B22FDD">
        <w:rPr>
          <w:rFonts w:cs="Times New Roman"/>
          <w:i/>
          <w:iCs/>
        </w:rPr>
        <w:t>Bacillota</w:t>
      </w:r>
      <w:r w:rsidRPr="00B22FDD">
        <w:rPr>
          <w:rFonts w:cs="Times New Roman"/>
        </w:rPr>
        <w:t xml:space="preserve"> community based on Jaccard distance, this correlation was not present when using Bray-</w:t>
      </w:r>
      <w:proofErr w:type="gramStart"/>
      <w:r w:rsidRPr="00B22FDD">
        <w:rPr>
          <w:rFonts w:cs="Times New Roman"/>
        </w:rPr>
        <w:t>Curtis</w:t>
      </w:r>
      <w:proofErr w:type="gramEnd"/>
      <w:r w:rsidRPr="00B22FDD">
        <w:rPr>
          <w:rFonts w:cs="Times New Roman"/>
        </w:rPr>
        <w:t xml:space="preserve"> dissimilarity and even using species obtained from shotgun metagenomic data. Our findings provide additional experimental evidence that spore formation in phylum </w:t>
      </w:r>
      <w:r w:rsidRPr="00B22FDD">
        <w:rPr>
          <w:rFonts w:cs="Times New Roman"/>
          <w:i/>
          <w:iCs/>
        </w:rPr>
        <w:t>Bacillota</w:t>
      </w:r>
      <w:r w:rsidRPr="00B22FDD">
        <w:rPr>
          <w:rFonts w:cs="Times New Roman"/>
        </w:rPr>
        <w:t xml:space="preserve"> contributes to increased transmission between individuals, but we saw no proof of long-term (6 months) persistence within the host. The same can be true for ethanol-resistant non-</w:t>
      </w:r>
      <w:proofErr w:type="gramStart"/>
      <w:r w:rsidRPr="00B22FDD">
        <w:rPr>
          <w:rFonts w:cs="Times New Roman"/>
          <w:i/>
          <w:iCs/>
        </w:rPr>
        <w:t>Bacillota</w:t>
      </w:r>
      <w:r w:rsidRPr="00B22FDD">
        <w:rPr>
          <w:rFonts w:cs="Times New Roman"/>
        </w:rPr>
        <w:t xml:space="preserve">  representatives</w:t>
      </w:r>
      <w:proofErr w:type="gramEnd"/>
      <w:r w:rsidRPr="00B22FDD">
        <w:rPr>
          <w:rFonts w:cs="Times New Roman"/>
        </w:rPr>
        <w:t>, which appear to play a prominent role in facilitating transmission, with a lesser impact on within-host persistence.</w:t>
      </w:r>
    </w:p>
    <w:p w14:paraId="2D147A44" w14:textId="77777777" w:rsidR="009972F0" w:rsidRPr="00C30CDF" w:rsidRDefault="009972F0" w:rsidP="009972F0">
      <w:pPr>
        <w:rPr>
          <w:rFonts w:cs="Times New Roman"/>
        </w:rPr>
      </w:pPr>
      <w:r w:rsidRPr="00B22FDD">
        <w:rPr>
          <w:rFonts w:cs="Times New Roman"/>
        </w:rPr>
        <w:t xml:space="preserve">Density of clustering for everyone is individual dependant, so based on their changes in the life. But still ethanol-resistant especially ethanol-resistant </w:t>
      </w:r>
      <w:r w:rsidRPr="00B22FDD">
        <w:rPr>
          <w:rFonts w:cs="Times New Roman"/>
          <w:i/>
          <w:iCs/>
        </w:rPr>
        <w:t xml:space="preserve">Bacillota </w:t>
      </w:r>
      <w:r>
        <w:rPr>
          <w:rFonts w:cs="Times New Roman"/>
        </w:rPr>
        <w:t xml:space="preserve">- </w:t>
      </w:r>
      <w:r w:rsidRPr="00B22FDD">
        <w:rPr>
          <w:rFonts w:cs="Times New Roman"/>
        </w:rPr>
        <w:t xml:space="preserve">the sporobiota of the gut community is more </w:t>
      </w:r>
      <w:proofErr w:type="gramStart"/>
      <w:r w:rsidRPr="00B22FDD">
        <w:rPr>
          <w:rFonts w:cs="Times New Roman"/>
        </w:rPr>
        <w:t>similar to</w:t>
      </w:r>
      <w:proofErr w:type="gramEnd"/>
      <w:r w:rsidRPr="00B22FDD">
        <w:rPr>
          <w:rFonts w:cs="Times New Roman"/>
        </w:rPr>
        <w:t xml:space="preserve"> itself in time than other ethanol-resistant or ethanol non-resistant communities. </w:t>
      </w:r>
    </w:p>
    <w:p w14:paraId="05A34099" w14:textId="77777777" w:rsidR="009972F0" w:rsidRPr="00B22FDD" w:rsidRDefault="009972F0" w:rsidP="009972F0">
      <w:pPr>
        <w:rPr>
          <w:rFonts w:cs="Times New Roman"/>
        </w:rPr>
      </w:pPr>
      <w:r w:rsidRPr="00B22FDD">
        <w:rPr>
          <w:rFonts w:cs="Times New Roman"/>
        </w:rPr>
        <w:t xml:space="preserve">Limitation of our study but also our next step is to assess whether temporal changes in taxa detection reflected strain replacement or the coexistence of multiple strains </w:t>
      </w:r>
      <w:r w:rsidRPr="00B22FDD">
        <w:rPr>
          <w:rFonts w:cs="Times New Roman"/>
        </w:rPr>
        <w:fldChar w:fldCharType="begin"/>
      </w:r>
      <w:r>
        <w:rPr>
          <w:rFonts w:cs="Times New Roman"/>
        </w:rPr>
        <w:instrText xml:space="preserve"> ADDIN ZOTERO_ITEM CSL_CITATION {"citationID":"rj5CuAzA","properties":{"formattedCitation":"(Poyet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B22FDD">
        <w:rPr>
          <w:rFonts w:cs="Times New Roman"/>
        </w:rPr>
        <w:fldChar w:fldCharType="separate"/>
      </w:r>
      <w:r w:rsidRPr="00B22FDD">
        <w:rPr>
          <w:rFonts w:cs="Times New Roman"/>
        </w:rPr>
        <w:t>(Poyet et al., 2019)</w:t>
      </w:r>
      <w:r w:rsidRPr="00B22FDD">
        <w:rPr>
          <w:rFonts w:cs="Times New Roman"/>
        </w:rPr>
        <w:fldChar w:fldCharType="end"/>
      </w:r>
      <w:r w:rsidRPr="00B22FDD">
        <w:rPr>
          <w:rFonts w:cs="Times New Roman"/>
        </w:rPr>
        <w:t xml:space="preserve">. This distinction is particularly relevant given previous reports of high strain-level retention in the gut over short time scales and limited strain sharing between individuals </w:t>
      </w:r>
      <w:r w:rsidRPr="00B22FDD">
        <w:rPr>
          <w:rFonts w:cs="Times New Roman"/>
        </w:rPr>
        <w:fldChar w:fldCharType="begin"/>
      </w:r>
      <w:r>
        <w:rPr>
          <w:rFonts w:cs="Times New Roman"/>
        </w:rPr>
        <w:instrText xml:space="preserve"> ADDIN ZOTERO_ITEM CSL_CITATION {"citationID":"rL10cViM","properties":{"formattedCitation":"(Wolff et al., 2023)","plainCitation":"(Wolff et al., 2023)","noteIndex":0},"citationItems":[{"id":2303,"uris":["http://zotero.org/users/8873894/items/8JFF8KSZ"],"itemData":{"id":2303,"type":"article-journal","abstract":"The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schema":"https://github.com/citation-style-language/schema/raw/master/csl-citation.json"} </w:instrText>
      </w:r>
      <w:r w:rsidRPr="00B22FDD">
        <w:rPr>
          <w:rFonts w:cs="Times New Roman"/>
        </w:rPr>
        <w:fldChar w:fldCharType="separate"/>
      </w:r>
      <w:r w:rsidRPr="00B22FDD">
        <w:rPr>
          <w:rFonts w:cs="Times New Roman"/>
        </w:rPr>
        <w:t>(Wolff et al., 2023)</w:t>
      </w:r>
      <w:r w:rsidRPr="00B22FDD">
        <w:rPr>
          <w:rFonts w:cs="Times New Roman"/>
        </w:rPr>
        <w:fldChar w:fldCharType="end"/>
      </w:r>
      <w:r w:rsidRPr="00B22FDD">
        <w:rPr>
          <w:rFonts w:cs="Times New Roman"/>
        </w:rPr>
        <w:t>.</w:t>
      </w:r>
    </w:p>
    <w:p w14:paraId="62F1E268" w14:textId="77777777" w:rsidR="009972F0" w:rsidRPr="00B22FDD" w:rsidRDefault="009972F0" w:rsidP="009972F0">
      <w:pPr>
        <w:rPr>
          <w:rFonts w:cs="Times New Roman"/>
        </w:rPr>
      </w:pPr>
    </w:p>
    <w:p w14:paraId="74878BCA" w14:textId="77777777" w:rsidR="009972F0" w:rsidRPr="00CC2A08" w:rsidRDefault="009972F0" w:rsidP="009972F0">
      <w:pPr>
        <w:pStyle w:val="Heading3"/>
        <w:numPr>
          <w:ilvl w:val="0"/>
          <w:numId w:val="0"/>
        </w:numPr>
        <w:ind w:left="720" w:hanging="720"/>
      </w:pPr>
      <w:bookmarkStart w:id="493" w:name="_Toc220591417"/>
      <w:r>
        <w:lastRenderedPageBreak/>
        <w:t xml:space="preserve">5.1.4 </w:t>
      </w:r>
      <w:r w:rsidRPr="008C5C13">
        <w:t>Sporulation frequency is individual and time-specific</w:t>
      </w:r>
      <w:bookmarkEnd w:id="493"/>
    </w:p>
    <w:p w14:paraId="0F0AC6B0" w14:textId="77777777" w:rsidR="009972F0" w:rsidRPr="00B22FDD" w:rsidRDefault="009972F0" w:rsidP="009972F0">
      <w:pPr>
        <w:rPr>
          <w:rFonts w:cs="Times New Roman"/>
        </w:rPr>
      </w:pPr>
      <w:r w:rsidRPr="00B22FDD">
        <w:rPr>
          <w:rFonts w:cs="Times New Roman"/>
        </w:rPr>
        <w:t xml:space="preserve">The ethanol-resistant </w:t>
      </w:r>
      <w:r w:rsidRPr="00B22FDD">
        <w:rPr>
          <w:rFonts w:cs="Times New Roman"/>
          <w:i/>
          <w:iCs/>
        </w:rPr>
        <w:t>Bacillota</w:t>
      </w:r>
      <w:r w:rsidRPr="00B22FDD">
        <w:rPr>
          <w:rFonts w:cs="Times New Roman"/>
        </w:rPr>
        <w:t xml:space="preserve"> OTUs present in at least 80% of all samples exhibited individual-specific and highly synchronized, temporal fluctuations in sporulation frequency across taxonomically distinct taxa. Furthermore, the within-individual variance in sporulation frequency for an OTU was significantly lower than the population-wide variance. Together, these results suggest that host-specific gut environments have a greater impact on sporulation frequency than OTU identity. Our observations align with previous studies demonstrating that external stimuli, such as dietary or environmental changes, impact the gut microbiota in a host specific manner </w:t>
      </w:r>
      <w:r w:rsidRPr="00B22FDD">
        <w:rPr>
          <w:rFonts w:cs="Times New Roman"/>
        </w:rPr>
        <w:fldChar w:fldCharType="begin"/>
      </w:r>
      <w:r w:rsidRPr="00B22FDD">
        <w:rPr>
          <w:rFonts w:cs="Times New Roman"/>
        </w:rPr>
        <w:instrText xml:space="preserve"> ADDIN ZOTERO_ITEM CSL_CITATION {"citationID":"kIfxLRzO","properties":{"formattedCitation":"(Zeevi et al., 2015)","plainCitation":"(Zeevi et al., 2015)","noteIndex":0},"citationItems":[{"id":3043,"uris":["http://zotero.org/users/8873894/items/ZZWAE27N"],"itemData":{"id":3043,"type":"article-journal","abstract":"Elevated postprandial blood glucose levels constitute a global epidemic and a major risk factor for prediabetes and type II diabetes, but existing dietary methods for controlling them have limited efficacy. Here, we continuously monitored week-long glucose levels in an 800-person cohort, measured responses to 46,898 meals, and found high variability in the response to identical meals, suggesting that universal dietary recommendations may have limited utility. We devised a machine-learning algorithm that integrates blood parameters, dietary habits, anthropometrics, physical activity, and gut microbiota measured in this cohort and showed that it accurately predicts personalized postprandial glycemic response to real-life meals. We validated these predictions in an independent 100-person cohort. Finally, a blinded randomized controlled dietary intervention based on this algorithm resulted in significantly lower postprandial responses and consistent alterations to gut microbiota configuration. Together, our results suggest that personalized diets may successfully modify elevated postprandial blood glucose and its metabolic consequences.\nVideo Abstract","container-title":"Cell","DOI":"10.1016/j.cell.2015.11.001","ISSN":"0092-8674","issue":"5","journalAbbreviation":"Cell","page":"1079-1094","source":"ScienceDirect","title":"Personalized Nutrition by Prediction of Glycemic Responses","volume":"163","author":[{"family":"Zeevi","given":"David"},{"family":"Korem","given":"Tal"},{"family":"Zmora","given":"Niv"},{"family":"Israeli","given":"David"},{"family":"Rothschild","given":"Daphna"},{"family":"Weinberger","given":"Adina"},{"family":"Ben-Yacov","given":"Orly"},{"family":"Lador","given":"Dar"},{"family":"Avnit-Sagi","given":"Tali"},{"family":"Lotan-Pompan","given":"Maya"},{"family":"Suez","given":"Jotham"},{"family":"Mahdi","given":"Jemal Ali"},{"family":"Matot","given":"Elad"},{"family":"Malka","given":"Gal"},{"family":"Kosower","given":"Noa"},{"family":"Rein","given":"Michal"},{"family":"Zilberman-Schapira","given":"Gili"},{"family":"Dohnalová","given":"Lenka"},{"family":"Pevsner-Fischer","given":"Meirav"},{"family":"Bikovsky","given":"Rony"},{"family":"Halpern","given":"Zamir"},{"family":"Elinav","given":"Eran"},{"family":"Segal","given":"Eran"}],"issued":{"date-parts":[["2015",11,19]]}}}],"schema":"https://github.com/citation-style-language/schema/raw/master/csl-citation.json"} </w:instrText>
      </w:r>
      <w:r w:rsidRPr="00B22FDD">
        <w:rPr>
          <w:rFonts w:cs="Times New Roman"/>
        </w:rPr>
        <w:fldChar w:fldCharType="separate"/>
      </w:r>
      <w:r w:rsidRPr="00B22FDD">
        <w:rPr>
          <w:rFonts w:cs="Times New Roman"/>
        </w:rPr>
        <w:t>(Zeevi et al., 2015)</w:t>
      </w:r>
      <w:r w:rsidRPr="00B22FDD">
        <w:rPr>
          <w:rFonts w:cs="Times New Roman"/>
        </w:rPr>
        <w:fldChar w:fldCharType="end"/>
      </w:r>
      <w:r w:rsidRPr="00B22FDD">
        <w:rPr>
          <w:rFonts w:cs="Times New Roman"/>
        </w:rPr>
        <w:t>. Additionally</w:t>
      </w:r>
      <w:r w:rsidRPr="00B22FDD">
        <w:rPr>
          <w:rStyle w:val="katex-mathml"/>
          <w:rFonts w:cs="Times New Roman"/>
        </w:rPr>
        <w:t xml:space="preserve">, our results suggest that the sporulation frequency of ethanol-resistant </w:t>
      </w:r>
      <w:r w:rsidRPr="00B22FDD">
        <w:rPr>
          <w:rStyle w:val="katex-mathml"/>
          <w:rFonts w:cs="Times New Roman"/>
          <w:i/>
          <w:iCs/>
        </w:rPr>
        <w:t>Bacillota</w:t>
      </w:r>
      <w:r w:rsidRPr="00B22FDD">
        <w:rPr>
          <w:rStyle w:val="katex-mathml"/>
          <w:rFonts w:cs="Times New Roman"/>
        </w:rPr>
        <w:t xml:space="preserve"> varies between individuals and fluctuates over time within an individual but remains synchronized across different taxa within the same host. </w:t>
      </w:r>
      <w:r w:rsidRPr="00B22FDD">
        <w:rPr>
          <w:rStyle w:val="katex-mathml"/>
          <w:rFonts w:cs="Times New Roman"/>
          <w:i/>
          <w:iCs/>
        </w:rPr>
        <w:t>In vitro</w:t>
      </w:r>
      <w:r w:rsidRPr="00B22FDD">
        <w:rPr>
          <w:rStyle w:val="katex-mathml"/>
          <w:rFonts w:cs="Times New Roman"/>
        </w:rPr>
        <w:t xml:space="preserve"> studies have shown that sporulation </w:t>
      </w:r>
      <w:r w:rsidRPr="00B22FDD">
        <w:rPr>
          <w:rFonts w:cs="Times New Roman"/>
        </w:rPr>
        <w:t xml:space="preserve">and germination in individual bacterial species can be triggered by environmental stress, metabolic depression, inter-bacterial </w:t>
      </w:r>
      <w:proofErr w:type="spellStart"/>
      <w:r w:rsidRPr="00B22FDD">
        <w:rPr>
          <w:rFonts w:cs="Times New Roman"/>
        </w:rPr>
        <w:t>signaling</w:t>
      </w:r>
      <w:proofErr w:type="spellEnd"/>
      <w:r w:rsidRPr="00B22FDD">
        <w:rPr>
          <w:rFonts w:cs="Times New Roman"/>
        </w:rPr>
        <w:t xml:space="preserve">, or viral threats </w:t>
      </w:r>
      <w:r w:rsidRPr="00B22FDD">
        <w:rPr>
          <w:rFonts w:cs="Times New Roman"/>
        </w:rPr>
        <w:fldChar w:fldCharType="begin"/>
      </w:r>
      <w:r>
        <w:rPr>
          <w:rFonts w:cs="Times New Roman"/>
        </w:rPr>
        <w:instrText xml:space="preserve"> ADDIN ZOTERO_ITEM CSL_CITATION {"citationID":"sf5YrVyJ","properties":{"formattedCitation":"(Hutchison et al., 2014; Koopman et al., 2022; Ramos-Silva et al., 2019)","plainCitation":"(Hutchison et al., 2014; Koopman et al., 2022; Ramos-Silva et al., 2019)","noteIndex":0},"citationItems":[{"id":346,"uris":["http://zotero.org/users/8873894/items/U78K94NN"],"itemData":{"id":346,"type":"article-journal","abstract":"Endospore formation follows a complex, highly regulated developmental pathway that\noccurs in a broad range of Firmicutes. Although Bacillus subtilis has served as a powerful model system to study the morphological, biochemical, and\ngenetic ...","archive_location":"Washington, DC","container-title":"Microbiology Spectrum","DOI":"10.1128/microbiolspec.TBS-0013-2012","language":"EN","license":"© 2014 American Society for Microbiology. All rights reserved.","publisher":"ASM PressWashington, DC","source":"journals.asm.org","title":"Sporulation in Bacteria: Beyond the Standard Model","title-short":"Sporulation in Bacteria","URL":"https://journals.asm.org/doi/abs/10.1128/microbiolspec.TBS-0013-2012","author":[{"family":"Hutchison","given":"Elizabeth A."},{"family":"Miller","given":"David A."},{"family":"Angert","given":"Esther R."}],"accessed":{"date-parts":[["2022",2,23]]},"issued":{"date-parts":[["2014",10,3]]}}},{"id":1593,"uris":["http://zotero.org/users/8873894/items/CWNLIUM4"],"itemData":{"id":1593,"type":"article-journal","abstract":"Recent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id":2063,"uris":["http://zotero.org/users/8873894/items/DDC2T243"],"itemData":{"id":2063,"type":"article-journal","abstract":"Bacteria of the Firmicutes phylum are able to enter a developmental pathway that culminates with the formation of highly resistant, dormant endospores. Endospores allow environmental persistence, dissemination and for pathogens, are also infection vehicles. In both the model Bacillus subtilis, an aerobic organism, and in the intestinal pathogen Clostridioides difficile, an obligate anaerobe, sporulation mobilizes hundreds of genes. Their expression is coordinated between the forespore and the mother cell, the two cells that participate in the process, and is kept in close register with the course of morphogenesis. The evolutionary mechanisms by which sporulation emerged and evolved in these two species, and more broadly across Firmicutes, remain largely unknown. Here, we trace the origin and evolution of sporulation using the genes known to be involved in the process in B. subtilis and C. difficile, and estimating their gain-loss dynamics in a comprehensive bacterial macroevolutionary framework. We show that sporulation evolution was driven by two major gene gain events, the first at the base of the Firmicutes and the second at the base of the B. subtilis group and within the Peptostreptococcaceae family, which includes C. difficile. We also show that early and late sporulation regulons have been coevolving and that sporulation genes entail greater innovation in B. subtilis with many Bacilli lineage-restricted genes. In contrast, C. difficile more often recruits new sporulation genes by horizontal gene transfer, which reflects both its highly mobile genome, the complexity of the gut microbiota, and an adjustment of sporulation to the gut ecosystem.","container-title":"Molecular Biology and Evolution","DOI":"10.1093/molbev/msz175","ISSN":"0737-4038","issue":"12","journalAbbreviation":"Molecular Biology and Evolution","page":"2714-2736","source":"Silverchair","title":"From Root to Tips: Sporulation Evolution and Specialization in Bacillus subtilis and the Intestinal Pathogen Clostridioides difficile","title-short":"From Root to Tips","volume":"36","author":[{"family":"Ramos-Silva","given":"Paula"},{"family":"Serrano","given":"Mónica"},{"family":"Henriques","given":"Adriano O"}],"issued":{"date-parts":[["2019",12,1]]}}}],"schema":"https://github.com/citation-style-language/schema/raw/master/csl-citation.json"} </w:instrText>
      </w:r>
      <w:r w:rsidRPr="00B22FDD">
        <w:rPr>
          <w:rFonts w:cs="Times New Roman"/>
        </w:rPr>
        <w:fldChar w:fldCharType="separate"/>
      </w:r>
      <w:r w:rsidRPr="00B22FDD">
        <w:rPr>
          <w:rFonts w:cs="Times New Roman"/>
        </w:rPr>
        <w:t>(Hutchison et al., 2014; Koopman et al., 2022; Ramos-Silva et al., 2019)</w:t>
      </w:r>
      <w:r w:rsidRPr="00B22FDD">
        <w:rPr>
          <w:rFonts w:cs="Times New Roman"/>
        </w:rPr>
        <w:fldChar w:fldCharType="end"/>
      </w:r>
      <w:r w:rsidRPr="00B22FDD">
        <w:rPr>
          <w:rFonts w:cs="Times New Roman"/>
        </w:rPr>
        <w:t xml:space="preserve">. Identifying specific </w:t>
      </w:r>
      <w:r w:rsidRPr="00B22FDD">
        <w:rPr>
          <w:rFonts w:cs="Times New Roman"/>
          <w:i/>
          <w:iCs/>
        </w:rPr>
        <w:t xml:space="preserve">in vivo </w:t>
      </w:r>
      <w:r w:rsidRPr="00B22FDD">
        <w:rPr>
          <w:rFonts w:cs="Times New Roman"/>
        </w:rPr>
        <w:t xml:space="preserve">signals driving sporulation and germination was beyond the scope of this study. Nevertheless, our findings suggest that the spore-forming community in the human gut responds collectively to shared, yet unidentified, environmental, or physiological signals, rather than to intrinsic signals from individual species. </w:t>
      </w:r>
    </w:p>
    <w:p w14:paraId="2B74FC9F" w14:textId="77777777" w:rsidR="009972F0" w:rsidRDefault="009972F0" w:rsidP="009972F0"/>
    <w:p w14:paraId="420C1975" w14:textId="77777777" w:rsidR="009972F0" w:rsidRPr="00CC2A08" w:rsidRDefault="009972F0" w:rsidP="009972F0">
      <w:pPr>
        <w:pStyle w:val="Heading2"/>
        <w:numPr>
          <w:ilvl w:val="0"/>
          <w:numId w:val="0"/>
        </w:numPr>
        <w:ind w:left="360" w:hanging="360"/>
      </w:pPr>
      <w:bookmarkStart w:id="494" w:name="_Toc220591418"/>
      <w:r>
        <w:t>5.2 INDIVIDUAL-SPECIFIC POPULATION GENETIC ANALYSIS OF CULTURED SPORE-FORMING SPECIES</w:t>
      </w:r>
      <w:bookmarkEnd w:id="494"/>
    </w:p>
    <w:p w14:paraId="65397219" w14:textId="77777777" w:rsidR="009972F0" w:rsidRDefault="009972F0" w:rsidP="009972F0">
      <w:r>
        <w:t xml:space="preserve">From three stool samples collected from participant H, we isolated 87 strains of </w:t>
      </w:r>
      <w:r>
        <w:rPr>
          <w:i/>
          <w:iCs/>
        </w:rPr>
        <w:t>Clostridium saudiense</w:t>
      </w:r>
      <w:r>
        <w:t xml:space="preserve">, a spore-forming species only recently cultured </w:t>
      </w:r>
      <w:r>
        <w:rPr>
          <w:rFonts w:cs="Times New Roman"/>
        </w:rPr>
        <w:fldChar w:fldCharType="begin"/>
      </w:r>
      <w:r>
        <w:rPr>
          <w:rFonts w:cs="Times New Roman"/>
        </w:rPr>
        <w:instrText xml:space="preserve"> ADDIN ZOTERO_ITEM CSL_CITATION {"citationID":"ujfifIo9","properties":{"formattedCitation":"(Angelakis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rPr>
          <w:rFonts w:cs="Times New Roman"/>
        </w:rPr>
        <w:fldChar w:fldCharType="separate"/>
      </w:r>
      <w:r w:rsidRPr="00B925DE">
        <w:rPr>
          <w:rFonts w:cs="Times New Roman"/>
        </w:rPr>
        <w:t>(Angelakis et al., 2014)</w:t>
      </w:r>
      <w:r>
        <w:rPr>
          <w:rFonts w:cs="Times New Roman"/>
        </w:rPr>
        <w:fldChar w:fldCharType="end"/>
      </w:r>
      <w:r>
        <w:rPr>
          <w:i/>
          <w:iCs/>
        </w:rPr>
        <w:t>.</w:t>
      </w:r>
      <w:r>
        <w:t xml:space="preserve"> Spore-forming bacteria are characteristically slow-growing, with using a rich medium (WCAB) and short incubation time (48 hours) we selectively enriched for species capable of rapid germination and vegetative proliferation </w:t>
      </w:r>
      <w:r>
        <w:fldChar w:fldCharType="begin"/>
      </w:r>
      <w:r>
        <w:instrText xml:space="preserve"> ADDIN ZOTERO_ITEM CSL_CITATION {"citationID":"Le533dQE","properties":{"formattedCitation":"(Kapinusova et al., 2023; Setlow, 2003)","plainCitation":"(Kapinusova et al., 2023; Setlow, 2003)","noteIndex":0},"citationItems":[{"id":3525,"uris":["http://zotero.org/users/8873894/items/5KVFNNLL"],"itemData":{"id":3525,"type":"article-journal","abstract":"In terms of the number and diversity of living units, the prokaryotic empire is the most represented form of life on Earth, and yet it is still to a significant degree shrouded in darkness. This microbial “dark matter” hides a great deal of potential in terms of phylogenetically or metabolically diverse microorganisms, and thus it is important to acquire them in pure culture. However, do we know what microorganisms really need for their growth, and what the obstacles are to the cultivation of previously unidentified taxa? Here we review common and sometimes unexpected requirements of environmental microorganisms, especially soil-harbored bacteria, needed for their replication and cultivation. These requirements include resuscitation stimuli, physical and chemical factors aiding cultivation, growth factors, and co-cultivation in a laboratory and natural microbial neighborhood.","container-title":"Frontiers in Microbiology","DOI":"10.3389/fmicb.2023.1089630","ISSN":"1664-302X","journalAbbreviation":"Front Microbiol","page":"1089630","PMID":"36960281","PMCID":"PMC10027941","source":"PubMed Central","title":"Reaching unreachables: Obstacles and successes of microbial cultivation and their reasons","title-short":"Reaching unreachables","volume":"14","author":[{"family":"Kapinusova","given":"Gabriela"},{"family":"Lopez Marin","given":"Marco A."},{"family":"Uhlik","given":"Ondrej"}],"issued":{"date-parts":[["2023",3,7]]}}},{"id":211,"uris":["http://zotero.org/users/8873894/items/GN2ITRFT"],"itemData":{"id":211,"type":"article-journal","abstract":"The germination of dormant spores of Bacillus species is the first crucial step in the return of spores to vegetative growth, and is induced by nutrients and a variety of non-nutrient agents. Nutrient germinants bind to receptors in the spore's inner membrane and this interaction triggers the release of the spore core's huge depot of dipicolinic acid and cations, and replacement of these components by water. These latter events trigger the hydrolysis of the spore's peptidoglycan cortex by either of two redundant enzymes in B. subtilis, and completion of cortex hydrolysis and subsequent germ cell wall expansion allows full spore core hydration and resumption of spore metabolism and macromolecular synthesis.","container-title":"Current Opinion in Microbiology","DOI":"10.1016/j.mib.2003.10.001","ISSN":"1369-5274","issue":"6","journalAbbreviation":"Curr Opin Microbiol","language":"eng","page":"550-556","PMID":"14662349","source":"PubMed","title":"Spore germination","volume":"6","author":[{"family":"Setlow","given":"Peter"}],"issued":{"date-parts":[["2003",12]]}}}],"schema":"https://github.com/citation-style-language/schema/raw/master/csl-citation.json"} </w:instrText>
      </w:r>
      <w:r>
        <w:fldChar w:fldCharType="separate"/>
      </w:r>
      <w:r w:rsidRPr="00BF5AF5">
        <w:rPr>
          <w:rFonts w:cs="Times New Roman"/>
        </w:rPr>
        <w:t>(Kapinusova et al., 2023; Setlow, 2003)</w:t>
      </w:r>
      <w:r>
        <w:fldChar w:fldCharType="end"/>
      </w:r>
      <w:r>
        <w:t xml:space="preserve">. </w:t>
      </w:r>
      <w:r w:rsidRPr="00A008B1">
        <w:t>Of these, 42 strains were successfully sequenced, substantially expanding the genomic diversity of </w:t>
      </w:r>
      <w:r w:rsidRPr="00A008B1">
        <w:rPr>
          <w:i/>
          <w:iCs/>
        </w:rPr>
        <w:t>C. saudiense</w:t>
      </w:r>
      <w:r w:rsidRPr="00A008B1">
        <w:t>. </w:t>
      </w:r>
      <w:r>
        <w:t xml:space="preserve">The number of sequenced strains is half of the number of isolated strains, as there are some unknown factors why the bacteria were unable to grow past the second re-streaking </w:t>
      </w:r>
      <w:r>
        <w:fldChar w:fldCharType="begin"/>
      </w:r>
      <w:r>
        <w:instrText xml:space="preserve"> ADDIN ZOTERO_ITEM CSL_CITATION {"citationID":"KqJboBK9","properties":{"formattedCitation":"(Lagier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fldChar w:fldCharType="separate"/>
      </w:r>
      <w:r w:rsidRPr="002C0D99">
        <w:rPr>
          <w:rFonts w:cs="Times New Roman"/>
        </w:rPr>
        <w:t>(Lagier et al., 2018)</w:t>
      </w:r>
      <w:r>
        <w:fldChar w:fldCharType="end"/>
      </w:r>
      <w:r>
        <w:t xml:space="preserve">. Prior to this study, public databases (ENA and SRA, accessed 15.1.2026) contained only 38 draft genomes of </w:t>
      </w:r>
      <w:r>
        <w:rPr>
          <w:i/>
          <w:iCs/>
        </w:rPr>
        <w:t>C. saudiense</w:t>
      </w:r>
      <w:r>
        <w:t xml:space="preserve">. These are mostly isolates from adult (n = 33) and infant (n = 2) human stool samples (n = 33), and one each from chicken caecum, cattle stool sample and one metagenome-assembled genome (MAG) from human gut dataset. </w:t>
      </w:r>
      <w:bookmarkStart w:id="495" w:name="_Hlk219379315"/>
    </w:p>
    <w:p w14:paraId="50FECFB7" w14:textId="493C4E31" w:rsidR="00C65827" w:rsidRDefault="00C65827" w:rsidP="009972F0">
      <w:pPr>
        <w:rPr>
          <w:ins w:id="496" w:author="Urša Miklavčič" w:date="2026-01-21T10:35:00Z" w16du:dateUtc="2026-01-21T09:35:00Z"/>
        </w:rPr>
      </w:pPr>
      <w:commentRangeStart w:id="497"/>
      <w:ins w:id="498" w:author="Urša Miklavčič" w:date="2026-01-21T10:35:00Z" w16du:dateUtc="2026-01-21T09:35:00Z">
        <w:r w:rsidRPr="00DA42F5">
          <w:rPr>
            <w:i/>
            <w:iCs/>
          </w:rPr>
          <w:t xml:space="preserve">Clostridium saudiense </w:t>
        </w:r>
        <w:r w:rsidRPr="00DA42F5">
          <w:t xml:space="preserve">is a poorly studied bacterial species, first isolated in Marseille in 2014, from the stool of an obese Saudi individual </w:t>
        </w:r>
        <w:r w:rsidRPr="00DA42F5">
          <w:fldChar w:fldCharType="begin"/>
        </w:r>
        <w:r w:rsidRPr="00DA42F5">
          <w:instrText xml:space="preserve"> ADDIN ZOTERO_ITEM CSL_CITATION {"citationID":"zUbcAteG","properties":{"formattedCitation":"(Angelakis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rsidRPr="00DA42F5">
          <w:fldChar w:fldCharType="separate"/>
        </w:r>
        <w:r w:rsidRPr="00DA42F5">
          <w:rPr>
            <w:rFonts w:cs="Times New Roman"/>
          </w:rPr>
          <w:t>(Angelakis et al., 2014)</w:t>
        </w:r>
        <w:r w:rsidRPr="00DA42F5">
          <w:fldChar w:fldCharType="end"/>
        </w:r>
        <w:r w:rsidRPr="00DA42F5">
          <w:t>.</w:t>
        </w:r>
        <w:commentRangeEnd w:id="497"/>
        <w:r w:rsidRPr="00DA42F5">
          <w:rPr>
            <w:rStyle w:val="CommentReference"/>
          </w:rPr>
          <w:commentReference w:id="497"/>
        </w:r>
        <w:r w:rsidRPr="00DA42F5">
          <w:t xml:space="preserve"> </w:t>
        </w:r>
        <w:commentRangeStart w:id="499"/>
        <w:r w:rsidRPr="00DA42F5">
          <w:t xml:space="preserve">Currently 38 non-complete genomes are available on </w:t>
        </w:r>
        <w:proofErr w:type="spellStart"/>
        <w:r w:rsidRPr="00DA42F5">
          <w:t>NCBI</w:t>
        </w:r>
        <w:proofErr w:type="spellEnd"/>
        <w:r w:rsidRPr="00DA42F5">
          <w:t xml:space="preserve">. </w:t>
        </w:r>
        <w:commentRangeEnd w:id="499"/>
        <w:r w:rsidRPr="00DA42F5">
          <w:rPr>
            <w:rStyle w:val="CommentReference"/>
          </w:rPr>
          <w:commentReference w:id="499"/>
        </w:r>
      </w:ins>
    </w:p>
    <w:p w14:paraId="67DB05B1" w14:textId="4F502741" w:rsidR="009972F0" w:rsidRDefault="009972F0" w:rsidP="009972F0">
      <w:r>
        <w:t xml:space="preserve">Pairwise average nucleotide identity (ANI) analysis across all newly obtained genomes revealed a strain delineation threshold at 99.98% identity, yielding four strain groups and one singleton. </w:t>
      </w:r>
      <w:r w:rsidRPr="00A008B1">
        <w:lastRenderedPageBreak/>
        <w:t>Complementary single nucleotide polymorphism (SNP) profiling and pangenom</w:t>
      </w:r>
      <w:r>
        <w:t>e</w:t>
      </w:r>
      <w:r w:rsidRPr="00A008B1">
        <w:t xml:space="preserve"> assessment of accessory genes refined this to six distinct strain groups and one </w:t>
      </w:r>
      <w:r>
        <w:t>singleton</w:t>
      </w:r>
      <w:r w:rsidRPr="00A008B1">
        <w:t>. This represents the highest strain diversity reported for any single bacterial species within an individual human gut</w:t>
      </w:r>
      <w:r>
        <w:t xml:space="preserve">, </w:t>
      </w:r>
      <w:r w:rsidRPr="00A008B1">
        <w:t xml:space="preserve">exceeding the typical range of 1–3 strains per species documented across prior </w:t>
      </w:r>
      <w:r>
        <w:t>cultivation</w:t>
      </w:r>
      <w:r w:rsidRPr="00A008B1">
        <w:t xml:space="preserve"> </w:t>
      </w:r>
      <w:r>
        <w:t xml:space="preserve">studies </w:t>
      </w:r>
      <w:r>
        <w:fldChar w:fldCharType="begin"/>
      </w:r>
      <w:r>
        <w:instrText xml:space="preserve"> ADDIN ZOTERO_ITEM CSL_CITATION {"citationID":"TDjY1WxC","properties":{"formattedCitation":"(Chen-Liaw et al., 2025; Poyet et al., 2019; Van Rossum et al., 2020)","plainCitation":"(Chen-Liaw et al., 2025; Poyet et al., 2019; Van Rossum et al., 2020)","noteIndex":0},"citationItems":[{"id":3174,"uris":["http://zotero.org/users/8873894/items/TFKXPFY8"],"itemData":{"id":3174,"type":"article-journal","abstract":"Despite the fundamental role of bacterial strain variation in gut microbiota function1–6, the number of unique strains of a species that can stably colonize the human intestine is still unknown for almost all species. Here we determine the strain richness (SR) of common gut species using thousands of sequenced bacterial isolates with paired metagenomes. We show that SR varies across species, is transferable by faecal microbiota transplantation, and is uniquely low in the gut compared with soil and lake environments. Active therapeutic administration of supraphysiologic numbers of strains per species increases recipient SR, which then converges back to the population average after dosing is ceased. Stratifying engraftment outcomes by high or low SR shows that SR predicts microbial addition or replacement in faecal transplants. Together, these results indicate that properties of the gut ecosystem govern the number of strains of each species colonizing the gut and thereby influence strain addition and replacement in faecal microbiota transplantation and defined live biotherapeutic products.","container-title":"Nature","DOI":"10.1038/s41586-024-08242-x","ISSN":"1476-4687","issue":"8045","language":"en","license":"2024 The Author(s), under exclusive licence to Springer Nature Limited","page":"422-429","publisher":"Nature Publishing Group","source":"www.nature.com","title":"Gut microbiota strain richness is species specific and affects engraftment","volume":"637","author":[{"family":"Chen-Liaw","given":"Alice"},{"family":"Aggarwala","given":"Varun"},{"family":"Mogno","given":"Ilaria"},{"family":"Haifer","given":"Craig"},{"family":"Li","given":"Zhihua"},{"family":"Eggers","given":"Joseph"},{"family":"Helmus","given":"Drew"},{"family":"Hart","given":"Amy"},{"family":"Wehkamp","given":"Jan"},{"family":"Lamousé-Smith","given":"Esi S. N."},{"family":"Kerby","given":"Robert L."},{"family":"Rey","given":"Federico E."},{"family":"Colombel","given":"Jean Frédéric"},{"family":"Kamm","given":"Michael A."},{"family":"Olle","given":"Bernat"},{"family":"Norman","given":"Jason M."},{"family":"Menon","given":"Rajita"},{"family":"Watson","given":"Andrea R."},{"family":"Crossette","given":"Emily"},{"family":"Terveer","given":"Elisabeth M."},{"family":"Keller","given":"Josbert J."},{"family":"Borody","given":"Thomas J."},{"family":"Grinspan","given":"Ari"},{"family":"Paramsothy","given":"Sudarshan"},{"family":"Kaakoush","given":"Nadeem O."},{"family":"Dubinsky","given":"Marla C."},{"family":"Faith","given":"Jeremiah J."}],"issued":{"date-parts":[["2025",1]]}}},{"id":175,"uris":["http://zotero.org/users/8873894/items/D73U5VSG"],"itemData":{"id":175,"type":"article-journal","abstract":"Our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J."}],"issued":{"date-parts":[["2019",9]]}}},{"id":3221,"uris":["http://zotero.org/users/8873894/items/ML3L59RU"],"itemData":{"id":3221,"type":"article-journal","abstract":"Studying within-species variation has traditionally been limited to culturable bacterial isolates and low-resolution microbial community fingerprinting. Metagenomic sequencing and technical advances have enabled culture-free, high-resolution strain and subspecies analyses at high throughput and in complex environments. This holds great scientific promise but has also led to an overwhelming number of methods and terms to describe infraspecific variation. This Review aims to clarify these advances by focusing on the diversity within bacterial and archaeal species in the context of microbiomics. We cover foundational microevolutionary concepts relevant to population genetics and summarize how within-species variation can be studied and stratified directly within microbial communities with a focus on metagenomics. Finally, we describe how common applications of within-species variation can be achieved using metagenomic data. We aim to guide the selection of appropriate terms and analytical approaches to facilitate researchers in benefiting from the increasing availability of large, high-resolution microbiome genetic sequencing data.","container-title":"Nature Reviews Microbiology","DOI":"10.1038/s41579-020-0368-1","ISSN":"1740-1534","issue":"9","journalAbbreviation":"Nat Rev Microbiol","language":"en","license":"2020 Springer Nature Limited","page":"491-506","publisher":"Nature Publishing Group","source":"www.nature.com","title":"Diversity within species: interpreting strains in microbiomes","title-short":"Diversity within species","volume":"18","author":[{"family":"Van Rossum","given":"Thea"},{"family":"Ferretti","given":"Pamela"},{"family":"Maistrenko","given":"Oleksandr M."},{"family":"Bork","given":"Peer"}],"issued":{"date-parts":[["2020",9]]}}}],"schema":"https://github.com/citation-style-language/schema/raw/master/csl-citation.json"} </w:instrText>
      </w:r>
      <w:r>
        <w:fldChar w:fldCharType="separate"/>
      </w:r>
      <w:r w:rsidRPr="006B7179">
        <w:rPr>
          <w:rFonts w:cs="Times New Roman"/>
        </w:rPr>
        <w:t>(Chen-Liaw et al., 2025; Poyet et al., 2019; Van Rossum et al., 2020)</w:t>
      </w:r>
      <w:r>
        <w:fldChar w:fldCharType="end"/>
      </w:r>
      <w:r>
        <w:t xml:space="preserve">. </w:t>
      </w:r>
    </w:p>
    <w:p w14:paraId="5876449F" w14:textId="77777777" w:rsidR="009972F0" w:rsidRDefault="009972F0" w:rsidP="009972F0">
      <w:r w:rsidRPr="00D374D3">
        <w:t>To contextualize these cultured strains, we compared them against shotgun metagenomic data from all 1</w:t>
      </w:r>
      <w:r>
        <w:t>2</w:t>
      </w:r>
      <w:r w:rsidRPr="00D374D3">
        <w:t xml:space="preserve"> samples from participant H. Cultivation following ethanol shock </w:t>
      </w:r>
      <w:r>
        <w:t>enabled cultivation of dormant</w:t>
      </w:r>
      <w:r w:rsidRPr="00D374D3">
        <w:t xml:space="preserve"> spores, whereas metagenomics </w:t>
      </w:r>
      <w:r>
        <w:t xml:space="preserve">samples </w:t>
      </w:r>
      <w:r w:rsidRPr="00D374D3">
        <w:t>captured the total population</w:t>
      </w:r>
      <w:r>
        <w:t xml:space="preserve"> of both vegetative cells and spores</w:t>
      </w:r>
      <w:r w:rsidRPr="00D374D3">
        <w:t>, provided sufficient abundance. </w:t>
      </w:r>
      <w:r>
        <w:t>Strain resolution from metagenomic data is constrained by sequencing depth, requiring high coverage across the whole of genome (</w:t>
      </w:r>
      <w:proofErr w:type="spellStart"/>
      <w:r>
        <w:t>x20</w:t>
      </w:r>
      <w:proofErr w:type="spellEnd"/>
      <w:r>
        <w:t xml:space="preserve">) for reliable SNP calling </w:t>
      </w:r>
      <w:r>
        <w:fldChar w:fldCharType="begin"/>
      </w:r>
      <w:r>
        <w:instrText xml:space="preserve"> ADDIN ZOTERO_ITEM CSL_CITATION {"citationID":"YCQ805Gc","properties":{"formattedCitation":"(Nayfach et al., 2016; Poyet et al., 2019)","plainCitation":"(Nayfach et al., 2016; Poyet et al., 2019)","noteIndex":0},"citationItems":[{"id":372,"uris":["http://zotero.org/users/8873894/items/C8X2T89J"],"itemData":{"id":372,"type":"article-journal","abstract":"We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fldChar w:fldCharType="separate"/>
      </w:r>
      <w:r w:rsidRPr="00D374D3">
        <w:rPr>
          <w:rFonts w:cs="Times New Roman"/>
        </w:rPr>
        <w:t>(Nayfach et al., 2016; Poyet et al., 2019)</w:t>
      </w:r>
      <w:r>
        <w:fldChar w:fldCharType="end"/>
      </w:r>
      <w:r>
        <w:t xml:space="preserve">. We first applied </w:t>
      </w:r>
      <w:proofErr w:type="spellStart"/>
      <w:r>
        <w:t>StrainPhlAn</w:t>
      </w:r>
      <w:proofErr w:type="spellEnd"/>
      <w:r>
        <w:t xml:space="preserve">, a marker-gene based tool, which reconstructs the dominant strain in all given samples and its divergence across samples </w:t>
      </w:r>
      <w:r>
        <w:fldChar w:fldCharType="begin"/>
      </w:r>
      <w:r>
        <w:instrText xml:space="preserve"> ADDIN ZOTERO_ITEM CSL_CITATION {"citationID":"6RLmUCrX","properties":{"formattedCitation":"(Blanco-M\\uc0\\u237{}guez et al., 2023b)","plainCitation":"(Blanco-Míguez et al., 2023b)","noteIndex":0},"citationItems":[{"id":2075,"uris":["http://zotero.org/users/8873894/items/NJE9Z5AS"],"itemData":{"id":2075,"type":"article-journal","abstract":"Metagenomic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fldChar w:fldCharType="separate"/>
      </w:r>
      <w:r w:rsidRPr="00A900B1">
        <w:rPr>
          <w:rFonts w:cs="Times New Roman"/>
        </w:rPr>
        <w:t>(Blanco-Míguez et al., 2023b)</w:t>
      </w:r>
      <w:r>
        <w:fldChar w:fldCharType="end"/>
      </w:r>
      <w:r>
        <w:t xml:space="preserve">. This revealed that the temporal shifts were unrelated to antibiotic consumption, but rather to underestimated diversity, as minority strains fall below detection limit, despite C. saudiense comprising around 1% relative abundance per sample. </w:t>
      </w:r>
    </w:p>
    <w:p w14:paraId="4C336220" w14:textId="77777777" w:rsidR="009972F0" w:rsidRPr="00B22FDD" w:rsidRDefault="009972F0" w:rsidP="009972F0">
      <w:pPr>
        <w:rPr>
          <w:rFonts w:cs="Times New Roman"/>
        </w:rPr>
      </w:pPr>
      <w:r>
        <w:t xml:space="preserve">To overcome limitations of </w:t>
      </w:r>
      <w:proofErr w:type="spellStart"/>
      <w:r>
        <w:t>StarinPhlAn</w:t>
      </w:r>
      <w:proofErr w:type="spellEnd"/>
      <w:r>
        <w:t xml:space="preserve">, we developed a gene-based strain-specific mapping approach. For each cultured strain we determined unique marker genes and mapped to it reads from metagenomic samples with high specificity. </w:t>
      </w:r>
      <w:r w:rsidRPr="00B22FDD">
        <w:rPr>
          <w:rFonts w:cs="Times New Roman"/>
        </w:rPr>
        <w:t xml:space="preserve">This strain-specific mapping strategy is conceptually </w:t>
      </w:r>
      <w:proofErr w:type="gramStart"/>
      <w:r w:rsidRPr="00B22FDD">
        <w:rPr>
          <w:rFonts w:cs="Times New Roman"/>
        </w:rPr>
        <w:t>similar to</w:t>
      </w:r>
      <w:proofErr w:type="gramEnd"/>
      <w:r w:rsidRPr="00B22FDD">
        <w:rPr>
          <w:rFonts w:cs="Times New Roman"/>
        </w:rPr>
        <w:t xml:space="preserve"> </w:t>
      </w:r>
      <w:proofErr w:type="spellStart"/>
      <w:r w:rsidRPr="00B22FDD">
        <w:rPr>
          <w:rFonts w:cs="Times New Roman"/>
        </w:rPr>
        <w:t>StrainPhlAn</w:t>
      </w:r>
      <w:proofErr w:type="spellEnd"/>
      <w:r w:rsidRPr="00B22FDD">
        <w:rPr>
          <w:rFonts w:cs="Times New Roman"/>
        </w:rPr>
        <w:t xml:space="preserve">, in that it also relies on species- and strain-informative marker genes and read alignment to infer strain presence and dynamics. The added value of the new approach is that the marker set is derived directly from the isolated </w:t>
      </w:r>
      <w:r w:rsidRPr="00B22FDD">
        <w:rPr>
          <w:rFonts w:cs="Times New Roman"/>
          <w:i/>
          <w:iCs/>
        </w:rPr>
        <w:t>C. saudiense</w:t>
      </w:r>
      <w:r w:rsidRPr="00B22FDD">
        <w:rPr>
          <w:rFonts w:cs="Times New Roman"/>
        </w:rPr>
        <w:t xml:space="preserve"> strains in this study, allowing explicit tracking of these genomes across time, and enabling the detection of minority strains that may be missed when only the dominant strain is reconstructed. A limitation is that this method can only follow strains for which isolate genomes (and thus marker genes) are available. Strains present in the community but not successfully isolated, or highly divergent from the cultured genomes, may be underrepresented or completely overlooked.</w:t>
      </w:r>
    </w:p>
    <w:bookmarkEnd w:id="495"/>
    <w:p w14:paraId="6A4841B6" w14:textId="77777777" w:rsidR="009972F0" w:rsidRDefault="009972F0" w:rsidP="009972F0">
      <w:r w:rsidRPr="00D374D3">
        <w:t>This method unmasked subdominant strains, demonstrating that antibiotic perturbation in participant H drove </w:t>
      </w:r>
      <w:r w:rsidRPr="00D374D3">
        <w:rPr>
          <w:i/>
          <w:iCs/>
        </w:rPr>
        <w:t>C. saudiense</w:t>
      </w:r>
      <w:r w:rsidRPr="00D374D3">
        <w:t xml:space="preserve"> below detection in bulk metagenomes but spared spores in the ethanol-resistant fraction—enabling post-treatment recolonization. Alternative tools (e.g., </w:t>
      </w:r>
      <w:proofErr w:type="spellStart"/>
      <w:r w:rsidRPr="00D374D3">
        <w:t>ConStrains</w:t>
      </w:r>
      <w:proofErr w:type="spellEnd"/>
      <w:r w:rsidRPr="00D374D3">
        <w:t>, Strainer, MIDAS) failed here due to absent reference genomes or insufficient coverage for this low-to-moderate abundance species</w:t>
      </w:r>
      <w:r>
        <w:t xml:space="preserve"> (REF).</w:t>
      </w:r>
    </w:p>
    <w:p w14:paraId="710DC605" w14:textId="77777777" w:rsidR="009972F0" w:rsidRDefault="009972F0" w:rsidP="009972F0"/>
    <w:p w14:paraId="3872A507" w14:textId="77777777" w:rsidR="009972F0" w:rsidRDefault="009972F0" w:rsidP="009972F0">
      <w:pPr>
        <w:pStyle w:val="Heading2"/>
        <w:numPr>
          <w:ilvl w:val="0"/>
          <w:numId w:val="0"/>
        </w:numPr>
        <w:ind w:left="360" w:hanging="360"/>
      </w:pPr>
      <w:bookmarkStart w:id="500" w:name="_Toc220591419"/>
      <w:r>
        <w:t>5.3 MONITORING LONGITUDINAL CHANGES IN THE GUT RESISTOME OF HEALTHY INDIVIDUALS</w:t>
      </w:r>
      <w:bookmarkEnd w:id="500"/>
    </w:p>
    <w:p w14:paraId="2131D716" w14:textId="24A59549" w:rsidR="009972F0" w:rsidRDefault="009972F0" w:rsidP="009972F0">
      <w:pPr>
        <w:rPr>
          <w:rFonts w:cs="Times New Roman"/>
        </w:rPr>
      </w:pPr>
      <w:r>
        <w:rPr>
          <w:rFonts w:cs="Times New Roman"/>
        </w:rPr>
        <w:t xml:space="preserve">Human gut resistome is at the individual level shaped by age, sex, co-morbidities, microbiota composition, living conditions and daily life exposure </w:t>
      </w:r>
      <w:r>
        <w:rPr>
          <w:rFonts w:cs="Times New Roman"/>
        </w:rPr>
        <w:fldChar w:fldCharType="begin"/>
      </w:r>
      <w:r>
        <w:rPr>
          <w:rFonts w:cs="Times New Roman"/>
        </w:rPr>
        <w:instrText xml:space="preserve"> ADDIN ZOTERO_ITEM CSL_CITATION {"citationID":"vIoGlAro","properties":{"formattedCitation":"(Ho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Pr>
          <w:rFonts w:cs="Times New Roman"/>
        </w:rPr>
        <w:fldChar w:fldCharType="separate"/>
      </w:r>
      <w:r w:rsidRPr="00A900B1">
        <w:rPr>
          <w:rFonts w:cs="Times New Roman"/>
        </w:rPr>
        <w:t>(Ho et al., 2020)</w:t>
      </w:r>
      <w:r>
        <w:rPr>
          <w:rFonts w:cs="Times New Roman"/>
        </w:rPr>
        <w:fldChar w:fldCharType="end"/>
      </w:r>
      <w:r>
        <w:rPr>
          <w:rFonts w:cs="Times New Roman"/>
        </w:rPr>
        <w:t xml:space="preserve">. In this study we detected </w:t>
      </w:r>
      <w:r>
        <w:rPr>
          <w:rFonts w:cs="Times New Roman"/>
        </w:rPr>
        <w:lastRenderedPageBreak/>
        <w:t xml:space="preserve">between 81 to 101 unique ARGs per individual, with 32% to 63% of ARGs consistently present over six months of our study. Despite using the most up-to-date and comprehensive database </w:t>
      </w:r>
      <w:proofErr w:type="spellStart"/>
      <w:r>
        <w:rPr>
          <w:rFonts w:cs="Times New Roman"/>
        </w:rPr>
        <w:t>AMRfinder</w:t>
      </w:r>
      <w:proofErr w:type="spellEnd"/>
      <w:r>
        <w:rPr>
          <w:rFonts w:cs="Times New Roman"/>
        </w:rPr>
        <w:t xml:space="preserve"> and a strict identity threshold (&gt; 90% identity) there could still be both false positive ARGs detected as well as ARGs that are not present in the database and were therefore missed </w:t>
      </w:r>
      <w:r>
        <w:rPr>
          <w:rFonts w:cs="Times New Roman"/>
        </w:rPr>
        <w:fldChar w:fldCharType="begin"/>
      </w:r>
      <w:r>
        <w:rPr>
          <w:rFonts w:cs="Times New Roman"/>
        </w:rPr>
        <w:instrText xml:space="preserve"> ADDIN ZOTERO_ITEM CSL_CITATION {"citationID":"m2SjDUdz","properties":{"formattedCitation":"(Feldgarden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Pr>
          <w:rFonts w:cs="Times New Roman"/>
        </w:rPr>
        <w:fldChar w:fldCharType="separate"/>
      </w:r>
      <w:r w:rsidRPr="005B4ADC">
        <w:rPr>
          <w:rFonts w:cs="Times New Roman"/>
          <w:sz w:val="22"/>
        </w:rPr>
        <w:t>(Feldgarden et al., 2019, 2021)</w:t>
      </w:r>
      <w:r>
        <w:rPr>
          <w:rFonts w:cs="Times New Roman"/>
        </w:rPr>
        <w:fldChar w:fldCharType="end"/>
      </w:r>
      <w:r>
        <w:rPr>
          <w:rFonts w:cs="Times New Roman"/>
        </w:rPr>
        <w:t xml:space="preserve">. Comparison with other European studies of human gut resistome reveal that the highly abundant tetracycline resistance in our cohort is also highly persistent in other studies </w:t>
      </w:r>
      <w:r>
        <w:rPr>
          <w:rFonts w:cs="Times New Roman"/>
        </w:rPr>
        <w:fldChar w:fldCharType="begin"/>
      </w:r>
      <w:r w:rsidR="00D9297E">
        <w:rPr>
          <w:rFonts w:cs="Times New Roman"/>
        </w:rPr>
        <w:instrText xml:space="preserve"> ADDIN ZOTERO_ITEM CSL_CITATION {"citationID":"ifVqKtzc","properties":{"formattedCitation":"(Boolchandani et al., 2022; Li et al., 2023; Sinha et al., 2018; Willmann et al., 2019)","plainCitation":"(Boolchandani et al., 2022; Li et al., 2023; Sinha et al., 2018; Willmann et al., 2019)","noteIndex":0},"citationItems":[{"id":2323,"uris":["http://zotero.org/users/8873894/items/9PEDGFEH"],"itemData":{"id":2323,"type":"article-journal","abstract":"International travel contributes to the global spread of antimicrobial resistance. Travelers’ diarrhea exacerbates the risk of acquiring multidrug-resistant organisms and can lead to persistent gastrointestinal disturbance post-travel. However, little is known about the impact of diarrhea on travelers’ gut microbiomes, and the dynamics of these changes throughout travel. Here, we assembled a cohort of 159 international students visiting the Andean city of Cusco, Peru and applied next-generation sequencing techniques to 718 longitudinally-collected stool samples. We find that gut microbiome composition changed significantly throughout travel, but taxonomic diversity remained stable. However, diarrhea disrupted this stability and resulted in an increased abundance of antimicrobial resistance genes that can remain high for weeks. We also identified taxa differentially abundant between diarrheal and non-diarrheal samples, which were used to develop a classification model that distinguishes between these disease states. Additionally, we sequenced the genomes of 212 diarrheagenic Escherichia coli isolates and found those from travelers who experienced diarrhea encoded more antimicrobial resistance genes than those who did not. In this work, we find the gut microbiomes of international travelers’ are resilient to dysbiosis; however, they are also susceptible to colonization by multidrug-resistant bacteria, a risk that is more pronounced in travelers with diarrhea.","container-title":"Nature Communications","DOI":"10.1038/s41467-022-34862-w","ISSN":"2041-1723","issue":"1","journalAbbreviation":"Nat Commun","language":"en","license":"2022 The Author(s)","note":"number: 1","page":"7485","publisher":"Nature Publishing Group","source":"www.nature.com","title":"Impact of international travel and diarrhea on gut microbiome and resistome dynamics","volume":"13","author":[{"family":"Boolchandani","given":"Manish"},{"family":"Blake","given":"Kevin S."},{"family":"Tilley","given":"Drake H."},{"family":"Cabada","given":"Miguel M."},{"family":"Schwartz","given":"Drew J."},{"family":"Patel","given":"Sanket"},{"family":"Morales","given":"Maria Luisa"},{"family":"Meza","given":"Rina"},{"family":"Soto","given":"Giselle"},{"family":"Isidean","given":"Sandra D."},{"family":"Porter","given":"Chad K."},{"family":"Simons","given":"Mark P."},{"family":"Dantas","given":"Gautam"}],"issued":{"date-parts":[["2022",12,5]]}}},{"id":3501,"uris":["http://zotero.org/users/8873894/items/V5ETH9ZX"],"itemData":{"id":3501,"type":"article-journal","abstract":"Despite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Johannes"}],"issued":{"date-parts":[["2023",12,22]]}}},{"id":89,"uris":["http://zotero.org/users/8873894/items/KV49XZWB"],"itemData":{"id":89,"type":"article-journal","abstract":"Several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Pr>
          <w:rFonts w:cs="Times New Roman"/>
        </w:rPr>
        <w:fldChar w:fldCharType="separate"/>
      </w:r>
      <w:r w:rsidR="00D9297E" w:rsidRPr="00D9297E">
        <w:rPr>
          <w:rFonts w:cs="Times New Roman"/>
          <w:sz w:val="22"/>
        </w:rPr>
        <w:t>(Boolchandani et al., 2022; Li et al., 2023; Sinha et al., 2018; Willmann et al., 2019)</w:t>
      </w:r>
      <w:r>
        <w:rPr>
          <w:rFonts w:cs="Times New Roman"/>
        </w:rPr>
        <w:fldChar w:fldCharType="end"/>
      </w:r>
      <w:r>
        <w:rPr>
          <w:rFonts w:cs="Times New Roman"/>
        </w:rPr>
        <w:t xml:space="preserve">. As this is the first study of human gut resistome of Slovenian population, we could not compare the whole resistome, but there are information on the clinically important resistance genes present in nosocomial infections, rivers and wastewaters </w:t>
      </w:r>
      <w:r>
        <w:rPr>
          <w:rFonts w:cs="Times New Roman"/>
        </w:rPr>
        <w:fldChar w:fldCharType="begin"/>
      </w:r>
      <w:r>
        <w:rPr>
          <w:rFonts w:cs="Times New Roman"/>
        </w:rPr>
        <w:instrText xml:space="preserve"> ADDIN ZOTERO_ITEM CSL_CITATION {"citationID":"xuz6YZZi","properties":{"formattedCitation":"(Maric et al., 2025; {\\i{}Slovenia}, n.d.)","plainCitation":"(Maric et al., 2025; Slovenia, n.d.)","noteIndex":0},"citationItems":[{"id":3567,"uris":["http://zotero.org/users/8873894/items/4F5RD4JR"],"itemData":{"id":3567,"type":"article-journal","abstract":"Extended-spectrum beta-lactamase (ESBL)-producing Escherichia coli is a critical antimicrobial-resistant pathogen. While well-studied in humans and animals, its presence in the environment remains underexplored. This study analyses the genotypes and plasmid composition of ESBL-producing E. coli from human and environmental sources in Northeastern Slovenia. Freshwater and sediment samples were collected bimonthly during one year at ten sites, including rivers, lakes, and wastewater treatment plant (WWTP) influents. Human isolates were collected during the same period and geographic area. Whole-genome sequencing and bioinformatic analyses were conducted to evaluate genetic relatedness, antimicrobial resistance genes, and plasmid composition. Among 414 sequenced isolates (230 human, 184 environmental), 108 multilocus sequence types (MLST-ST) were identified, with 20 STs shared between sources. Core-genome MLST (cgMLST) revealed 59 clonal clusters, six of which included both human and environmental isolates. The dominant ESBL gene was bla CTX-M-15 (59 % of all ESBL isolates), and 54 % of all ESBL isolates carried ESBL genes on plasmids. Plasmid cluster AA474, found across different sources, STs, and locations, was linked to multiple ESBL genes, suggesting a key role in resistance dissemination. Despite shared STs, ESBL genes, and plasmids between humans and the environment, cgMLST analysis indicated limited clonal spread. This suggest that transmission between humans and the environment remains restricted and is more often linked to spread of plasmids than of strains.","container-title":"Current Research in Microbial Sciences","DOI":"10.1016/j.crmicr.2025.100408","ISSN":"2666-5174","journalAbbreviation":"Curr Res Microb Sci","language":"eng","page":"100408","PMID":"40511295","PMCID":"PMC12158563","source":"PubMed","title":"Limited clonality but widespread plasmid sharing of ESBL-producing E. coli between humans and the environment of northeastern Slovenia","volume":"9","author":[{"family":"Maric","given":"Leon"},{"family":"Janezic","given":"Sandra"},{"family":"Coia","given":"Camilla Wiuff"},{"family":"Roer","given":"Louise"},{"family":"Rupnik","given":"Maja"}],"issued":{"date-parts":[["2025"]]}}},{"id":3569,"uris":["http://zotero.org/users/8873894/items/SANUWPD5"],"itemData":{"id":3569,"type":"webpage","abstract":"2019-2024","language":"en","title":"Slovenia: National One Health strategy for the management of microbial resistance 2019-2024 (Slovenian)","title-short":"Slovenia","URL":"https://www.who.int/publications/m/item/slovenia-national-one-health-strategy-for-the-management-of-microbial-resistance-2019-2024","accessed":{"date-parts":[["2026",1,19]]}}}],"schema":"https://github.com/citation-style-language/schema/raw/master/csl-citation.json"} </w:instrText>
      </w:r>
      <w:r>
        <w:rPr>
          <w:rFonts w:cs="Times New Roman"/>
        </w:rPr>
        <w:fldChar w:fldCharType="separate"/>
      </w:r>
      <w:r w:rsidRPr="00C9132F">
        <w:rPr>
          <w:rFonts w:cs="Times New Roman"/>
          <w:sz w:val="22"/>
        </w:rPr>
        <w:t xml:space="preserve">(Maric et al., 2025; </w:t>
      </w:r>
      <w:r w:rsidRPr="00C9132F">
        <w:rPr>
          <w:rFonts w:cs="Times New Roman"/>
          <w:i/>
          <w:iCs/>
          <w:sz w:val="22"/>
        </w:rPr>
        <w:t>Slovenia</w:t>
      </w:r>
      <w:r w:rsidRPr="00C9132F">
        <w:rPr>
          <w:rFonts w:cs="Times New Roman"/>
          <w:sz w:val="22"/>
        </w:rPr>
        <w:t>, n.d.)</w:t>
      </w:r>
      <w:r>
        <w:rPr>
          <w:rFonts w:cs="Times New Roman"/>
        </w:rPr>
        <w:fldChar w:fldCharType="end"/>
      </w:r>
      <w:r>
        <w:rPr>
          <w:rFonts w:cs="Times New Roman"/>
        </w:rPr>
        <w:t xml:space="preserve">. Notably, clinically important carbapenem and beta-lactam genes prevalent in Slovenia were absent in the gut of our healthy participants, with exception of </w:t>
      </w:r>
      <w:proofErr w:type="spellStart"/>
      <w:r>
        <w:rPr>
          <w:rFonts w:cs="Times New Roman"/>
        </w:rPr>
        <w:t>bla</w:t>
      </w:r>
      <w:r>
        <w:rPr>
          <w:rFonts w:cs="Times New Roman"/>
          <w:vertAlign w:val="subscript"/>
        </w:rPr>
        <w:t>CTX-M1</w:t>
      </w:r>
      <w:proofErr w:type="spellEnd"/>
      <w:r>
        <w:rPr>
          <w:rFonts w:cs="Times New Roman"/>
        </w:rPr>
        <w:t xml:space="preserve"> found at very low abundance in a single individual (I). </w:t>
      </w:r>
    </w:p>
    <w:p w14:paraId="10151CCB" w14:textId="55C00DB1" w:rsidR="009972F0" w:rsidRPr="00D84889" w:rsidRDefault="009972F0" w:rsidP="009972F0">
      <w:pPr>
        <w:rPr>
          <w:rFonts w:cs="Times New Roman"/>
        </w:rPr>
      </w:pPr>
      <w:r>
        <w:rPr>
          <w:rFonts w:cs="Times New Roman"/>
        </w:rPr>
        <w:t xml:space="preserve">The highest abundance of ARGs was detected in phylum </w:t>
      </w:r>
      <w:r>
        <w:rPr>
          <w:rFonts w:cs="Times New Roman"/>
          <w:i/>
          <w:iCs/>
        </w:rPr>
        <w:t>Bacteroidota</w:t>
      </w:r>
      <w:r>
        <w:rPr>
          <w:rFonts w:cs="Times New Roman"/>
        </w:rPr>
        <w:t xml:space="preserve">, followed closely by </w:t>
      </w:r>
      <w:r>
        <w:rPr>
          <w:rFonts w:cs="Times New Roman"/>
          <w:i/>
          <w:iCs/>
        </w:rPr>
        <w:t>Bacillota</w:t>
      </w:r>
      <w:r>
        <w:rPr>
          <w:rFonts w:cs="Times New Roman"/>
        </w:rPr>
        <w:t xml:space="preserve">, with minor contributions of </w:t>
      </w:r>
      <w:proofErr w:type="spellStart"/>
      <w:r>
        <w:rPr>
          <w:rFonts w:cs="Times New Roman"/>
          <w:i/>
          <w:iCs/>
        </w:rPr>
        <w:t>Pseudomonadota</w:t>
      </w:r>
      <w:proofErr w:type="spellEnd"/>
      <w:r>
        <w:rPr>
          <w:rFonts w:cs="Times New Roman"/>
          <w:i/>
          <w:iCs/>
        </w:rPr>
        <w:t xml:space="preserve"> </w:t>
      </w:r>
      <w:r w:rsidRPr="005F0686">
        <w:rPr>
          <w:rFonts w:cs="Times New Roman"/>
        </w:rPr>
        <w:t>and</w:t>
      </w:r>
      <w:r>
        <w:rPr>
          <w:rFonts w:cs="Times New Roman"/>
          <w:i/>
          <w:iCs/>
        </w:rPr>
        <w:t xml:space="preserve"> Actinomycetota</w:t>
      </w:r>
      <w:r>
        <w:rPr>
          <w:rFonts w:cs="Times New Roman"/>
        </w:rPr>
        <w:t xml:space="preserve">, contrary to other studies reporting </w:t>
      </w:r>
      <w:proofErr w:type="spellStart"/>
      <w:r>
        <w:rPr>
          <w:rFonts w:cs="Times New Roman"/>
          <w:i/>
          <w:iCs/>
        </w:rPr>
        <w:t>Pseudomonadota</w:t>
      </w:r>
      <w:proofErr w:type="spellEnd"/>
      <w:r>
        <w:rPr>
          <w:rFonts w:cs="Times New Roman"/>
          <w:i/>
          <w:iCs/>
        </w:rPr>
        <w:t xml:space="preserve"> </w:t>
      </w:r>
      <w:r w:rsidRPr="00D84889">
        <w:rPr>
          <w:rFonts w:cs="Times New Roman"/>
        </w:rPr>
        <w:t>specifically</w:t>
      </w:r>
      <w:r>
        <w:rPr>
          <w:rFonts w:cs="Times New Roman"/>
          <w:i/>
          <w:iCs/>
        </w:rPr>
        <w:t xml:space="preserve"> Escherichia coli </w:t>
      </w:r>
      <w:r>
        <w:rPr>
          <w:rFonts w:cs="Times New Roman"/>
        </w:rPr>
        <w:t xml:space="preserve">as the largest contributor of ARG abundance in the human gut, followed by </w:t>
      </w:r>
      <w:r>
        <w:rPr>
          <w:rFonts w:cs="Times New Roman"/>
          <w:i/>
          <w:iCs/>
        </w:rPr>
        <w:t>Bacteroidota</w:t>
      </w:r>
      <w:r>
        <w:rPr>
          <w:rFonts w:cs="Times New Roman"/>
        </w:rPr>
        <w:t xml:space="preserve"> </w:t>
      </w:r>
      <w:r>
        <w:rPr>
          <w:rFonts w:cs="Times New Roman"/>
        </w:rPr>
        <w:fldChar w:fldCharType="begin"/>
      </w:r>
      <w:r w:rsidR="00D9297E">
        <w:rPr>
          <w:rFonts w:cs="Times New Roman"/>
        </w:rPr>
        <w:instrText xml:space="preserve"> ADDIN ZOTERO_ITEM CSL_CITATION {"citationID":"wXTAO0LX","properties":{"formattedCitation":"(Li et al., 2023; Sinha et al., 2018)","plainCitation":"(Li et al., 2023; Sinha et al., 2018)","noteIndex":0},"citationItems":[{"id":3501,"uris":["http://zotero.org/users/8873894/items/V5ETH9ZX"],"itemData":{"id":3501,"type":"article-journal","abstract":"Despite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Johannes"}],"issued":{"date-parts":[["2023",12,22]]}}},{"id":89,"uris":["http://zotero.org/users/8873894/items/KV49XZWB"],"itemData":{"id":89,"type":"article-journal","abstract":"Several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schema":"https://github.com/citation-style-language/schema/raw/master/csl-citation.json"} </w:instrText>
      </w:r>
      <w:r>
        <w:rPr>
          <w:rFonts w:cs="Times New Roman"/>
        </w:rPr>
        <w:fldChar w:fldCharType="separate"/>
      </w:r>
      <w:r w:rsidR="00D9297E" w:rsidRPr="00D9297E">
        <w:rPr>
          <w:rFonts w:cs="Times New Roman"/>
          <w:sz w:val="22"/>
        </w:rPr>
        <w:t>(Li et al., 2023; Sinha et al., 2018)</w:t>
      </w:r>
      <w:r>
        <w:rPr>
          <w:rFonts w:cs="Times New Roman"/>
        </w:rPr>
        <w:fldChar w:fldCharType="end"/>
      </w:r>
      <w:r>
        <w:rPr>
          <w:rFonts w:cs="Times New Roman"/>
        </w:rPr>
        <w:t xml:space="preserve">. Limitation of this study is detection of ARGs on contigs and not in bins, where depending on the quality of assembly taxonomic classification could have been improved and had higher resolution </w:t>
      </w:r>
      <w:r>
        <w:rPr>
          <w:rFonts w:cs="Times New Roman"/>
        </w:rPr>
        <w:fldChar w:fldCharType="begin"/>
      </w:r>
      <w:r>
        <w:rPr>
          <w:rFonts w:cs="Times New Roman"/>
        </w:rPr>
        <w:instrText xml:space="preserve"> ADDIN ZOTERO_ITEM CSL_CITATION {"citationID":"ChHU0Ao0","properties":{"formattedCitation":"(Ho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Pr>
          <w:rFonts w:cs="Times New Roman"/>
        </w:rPr>
        <w:fldChar w:fldCharType="separate"/>
      </w:r>
      <w:r w:rsidRPr="00D24CB9">
        <w:rPr>
          <w:rFonts w:cs="Times New Roman"/>
          <w:sz w:val="22"/>
        </w:rPr>
        <w:t>(Ho et al., 2020)</w:t>
      </w:r>
      <w:r>
        <w:rPr>
          <w:rFonts w:cs="Times New Roman"/>
        </w:rPr>
        <w:fldChar w:fldCharType="end"/>
      </w:r>
      <w:r>
        <w:rPr>
          <w:rFonts w:cs="Times New Roman"/>
        </w:rPr>
        <w:t xml:space="preserve">. </w:t>
      </w:r>
    </w:p>
    <w:p w14:paraId="14FE5B42" w14:textId="77777777" w:rsidR="009972F0" w:rsidRDefault="009972F0" w:rsidP="009972F0">
      <w:pPr>
        <w:rPr>
          <w:rFonts w:cs="Times New Roman"/>
        </w:rPr>
      </w:pPr>
      <w:r>
        <w:rPr>
          <w:rFonts w:cs="Times New Roman"/>
        </w:rPr>
        <w:t xml:space="preserve">Both individuals (E, H) that consumed antibiotics during the study had higher abundance, but not diversity of ARGs than individuals that had not consumed antibiotics during or 3 months prior to the study, which is in accordance with previous studies </w:t>
      </w:r>
      <w:r>
        <w:rPr>
          <w:rFonts w:cs="Times New Roman"/>
        </w:rPr>
        <w:fldChar w:fldCharType="begin"/>
      </w:r>
      <w:r>
        <w:rPr>
          <w:rFonts w:cs="Times New Roman"/>
        </w:rPr>
        <w:instrText xml:space="preserve"> ADDIN ZOTERO_ITEM CSL_CITATION {"citationID":"p7BZN0Sx","properties":{"formattedCitation":"(Malin et al., 2023; Rampelli et al., 2015; Willmann et al., 2019)","plainCitation":"(Malin et al., 2023; Rampelli et al., 2015; Willmann et al., 2019)","noteIndex":0},"citationItems":[{"id":2315,"uris":["http://zotero.org/users/8873894/items/RXG66CCS"],"itemData":{"id":2315,"type":"article-journal","abstract":"The human gut microbiome is an important reservoir of antimicrobial resistance genes (ARGs), collectively termed the ‘resistome’. To date, few studies have examined the dynamics of the human gut resistome in healthy individuals. Previously, the authors observed high rates of ARG acquisition and significant abundance shifts during international travel. In order to provide insight into commonly occurring dynamics, this study investigated longitudinal fluctuations in prevalent ARGs (cfxA, tetM and ermB) in the resistomes of non-travelling healthy volunteers. In addition, this study assessed the prevalence of acquirable ARGs (blaCTX-M, qnrB, qnrS, vanA and vanB) over time. Faecal samples from 23 participants were collected at baseline and after 2 and 4 weeks. DNA was isolated, and ARG quantification was performed by quantitative polymerase chain reaction adjusting for the total amount of bacterial 16S rDNA. vanA and qnrS were not detected in any of the samples, while the prevalence rates of vanB of non-enterococcal origin and qnrB were 73.9% and 5.7%, respectively. The ß-lactamase encoding blaCTX-M was detected in 17.4% of healthy participants. The results were compared with previous data from 122 travellers. ARG acquisitions observed in travellers were rare in non-travelling individuals during 4 weeks of follow-up, supporting the hypothesis of ARG acquisition during international travel. However, median -1.04- to 1.04-fold abundance changes were observed for 100% of cfxA, tetM and ermB, which did not differ from those found in travellers. Thus, common abundance shifts in prevalent ARGs of the gut resistome were found to occur independent of travel behaviour.","container-title":"International Journal of Antimicrobial Agents","DOI":"10.1016/j.ijantimicag.2023.106716","ISSN":"0924-8579","issue":"3","journalAbbreviation":"International Journal of Antimicrobial Agents","language":"en","page":"106716","source":"ScienceDirect","title":"Longitudinal fluctuations of common antimicrobial resistance genes in the gut microbiomes of healthy Dutch individuals","volume":"61","author":[{"family":"Malin","given":"Jakob J."},{"family":"Wintersdorff","given":"Christian J. H.","non-dropping-particle":"von"},{"family":"Penders","given":"John"},{"family":"Savelkoul","given":"Paul H. M."},{"family":"Wolffs","given":"Petra F. G."}],"issued":{"date-parts":[["2023",3,1]]}}},{"id":3564,"uris":["http://zotero.org/users/8873894/items/TXYRF3DQ"],"itemData":{"id":3564,"type":"article-journal","abstract":"Through human microbiome sequencing, we can better understand how host evolutionary and ontogenetic history is reflected in the microbial function. However, there has been no information on the gut metagenome configuration in hunter-gatherer populations, posing a gap in our knowledge of gut microbiota (GM)-host mutualism arising from a lifestyle that describes over 90% of human evolutionary history. Here, we present the first metagenomic analysis of GM from Hadza hunter-gatherers of Tanzania, showing a unique enrichment in metabolic pathways that aligns with the dietary and environmental factors characteristic of their foraging lifestyle. We found that the Hadza GM is adapted for broad-spectrum carbohydrate metabolism, reflecting the complex polysaccharides in their diet. Furthermore, the Hadza GM is equipped for branched-chain amino acid degradation and aromatic amino acid biosynthesis. Resistome functionality demonstrates the existence of antibiotic resistance genes in a population with little antibiotic exposure, indicating the ubiquitous presence of environmentally derived resistances. Our results demonstrate how the functional specificity of the GM correlates with certain environment and lifestyle factors and how complexity from the exogenous environment can be balanced by endogenous homeostasis. The Hadza gut metagenome structure allows us to appreciate the co-adaptive functional role of the GM in complementing the human physiology, providing a better understanding of the versatility of human life and subsistence.","container-title":"Current Biology","DOI":"10.1016/j.cub.2015.04.055","ISSN":"0960-9822","issue":"13","journalAbbreviation":"Current Biology","page":"1682-1693","source":"ScienceDirect","title":"Metagenome Sequencing of the Hadza Hunter-Gatherer Gut Microbiota","volume":"25","author":[{"family":"Rampelli","given":"Simone"},{"family":"Schnorr","given":"Stephanie L."},{"family":"Consolandi","given":"Clarissa"},{"family":"Turroni","given":"Silvia"},{"family":"Severgnini","given":"Marco"},{"family":"Peano","given":"Clelia"},{"family":"Brigidi","given":"Patrizia"},{"family":"Crittenden","given":"Alyssa N."},{"family":"Henry","given":"Amanda G."},{"family":"Candela","given":"Marco"}],"issued":{"date-parts":[["2015",6,29]]}}},{"id":351,"uris":["http://zotero.org/users/8873894/items/AQV4MRN2"],"itemData":{"id":351,"type":"article-journal","abstract":"BACKGROUND: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Pr>
          <w:rFonts w:cs="Times New Roman"/>
        </w:rPr>
        <w:fldChar w:fldCharType="separate"/>
      </w:r>
      <w:r w:rsidRPr="00D24CB9">
        <w:rPr>
          <w:rFonts w:cs="Times New Roman"/>
          <w:sz w:val="22"/>
        </w:rPr>
        <w:t>(Malin et al., 2023; Rampelli et al., 2015; Willmann et al., 2019)</w:t>
      </w:r>
      <w:r>
        <w:rPr>
          <w:rFonts w:cs="Times New Roman"/>
        </w:rPr>
        <w:fldChar w:fldCharType="end"/>
      </w:r>
      <w:r>
        <w:rPr>
          <w:rFonts w:cs="Times New Roman"/>
        </w:rPr>
        <w:t xml:space="preserve">. </w:t>
      </w:r>
    </w:p>
    <w:p w14:paraId="7CFFBFB3" w14:textId="77777777" w:rsidR="009972F0" w:rsidRDefault="009972F0" w:rsidP="009972F0">
      <w:pPr>
        <w:rPr>
          <w:rFonts w:cs="Times New Roman"/>
        </w:rPr>
      </w:pPr>
      <w:r>
        <w:rPr>
          <w:rFonts w:cs="Times New Roman"/>
        </w:rPr>
        <w:t xml:space="preserve">Limitations of this analysis include known limitations of using only sequence data to analyse presence and persistence or antimicrobial resistance genes in the human gut; these include high sequence similarity, but unknown phenotype or expression levels and non-complete databases. Despite that we show that human gut resistome of a limited Slovenian cohort is </w:t>
      </w:r>
      <w:proofErr w:type="gramStart"/>
      <w:r>
        <w:rPr>
          <w:rFonts w:cs="Times New Roman"/>
        </w:rPr>
        <w:t>similar to</w:t>
      </w:r>
      <w:proofErr w:type="gramEnd"/>
      <w:r>
        <w:rPr>
          <w:rFonts w:cs="Times New Roman"/>
        </w:rPr>
        <w:t xml:space="preserve"> that of other European individuals and mostly comprises of resistance genes present in gut commensals. </w:t>
      </w:r>
    </w:p>
    <w:p w14:paraId="7A6A363A" w14:textId="77777777" w:rsidR="009972F0" w:rsidRPr="00B22FDD" w:rsidRDefault="009972F0" w:rsidP="009972F0">
      <w:pPr>
        <w:rPr>
          <w:rFonts w:cs="Times New Roman"/>
        </w:rPr>
      </w:pPr>
      <w:r w:rsidRPr="00B22FDD">
        <w:rPr>
          <w:rFonts w:cs="Times New Roman"/>
        </w:rPr>
        <w:t xml:space="preserve">ARG hypothesis testing Our hypothesis states that when microbial diversity will be reduced, there will be an increase in the presence of antimicrobial resistance genes. Reduced microbial diversity simplifies the ecosystem, removing barriers to the proliferation and genetic exchange of resistant bacteria, while at the same time creating new ecological niches for resistant bacteria left behind to thrive in. </w:t>
      </w:r>
    </w:p>
    <w:p w14:paraId="57AF472E" w14:textId="77777777" w:rsidR="009972F0" w:rsidRPr="00B22FDD" w:rsidRDefault="009972F0" w:rsidP="009972F0">
      <w:pPr>
        <w:rPr>
          <w:rFonts w:cs="Times New Roman"/>
        </w:rPr>
      </w:pPr>
      <w:r w:rsidRPr="00B22FDD">
        <w:rPr>
          <w:rFonts w:cs="Times New Roman"/>
        </w:rPr>
        <w:t xml:space="preserve">This hypothesis can be tested in different ways as out dataset is longitudinal but also includes multiple individuals (we have a population, although small). </w:t>
      </w:r>
    </w:p>
    <w:p w14:paraId="7A4A9024" w14:textId="4BE3384F" w:rsidR="009972F0" w:rsidRPr="00B22FDD" w:rsidRDefault="009972F0" w:rsidP="009972F0">
      <w:pPr>
        <w:rPr>
          <w:rFonts w:cs="Times New Roman"/>
        </w:rPr>
      </w:pPr>
      <w:r w:rsidRPr="00B22FDD">
        <w:rPr>
          <w:rFonts w:cs="Times New Roman"/>
        </w:rPr>
        <w:lastRenderedPageBreak/>
        <w:t xml:space="preserve">There is no correlation between either richness or Shannon’s diversity index (based on </w:t>
      </w:r>
      <w:proofErr w:type="spellStart"/>
      <w:r w:rsidRPr="00B22FDD">
        <w:rPr>
          <w:rFonts w:cs="Times New Roman"/>
        </w:rPr>
        <w:t>SGBs</w:t>
      </w:r>
      <w:proofErr w:type="spellEnd"/>
      <w:r w:rsidRPr="00B22FDD">
        <w:rPr>
          <w:rFonts w:cs="Times New Roman"/>
        </w:rPr>
        <w:t xml:space="preserve"> or OTUs) to the number of unique ARGs or to the number of reads mapped (</w:t>
      </w:r>
      <w:proofErr w:type="spellStart"/>
      <w:r w:rsidRPr="00B22FDD">
        <w:rPr>
          <w:rFonts w:cs="Times New Roman"/>
        </w:rPr>
        <w:t>TPM</w:t>
      </w:r>
      <w:proofErr w:type="spellEnd"/>
      <w:r w:rsidRPr="00B22FDD">
        <w:rPr>
          <w:rFonts w:cs="Times New Roman"/>
        </w:rPr>
        <w:t xml:space="preserve">) to ARGs, this holds true whether we look at all ARGs together or if we separate them by the class of antibiotics towards which they have an effect. The correlations are driven by </w:t>
      </w:r>
      <w:proofErr w:type="gramStart"/>
      <w:r w:rsidRPr="00B22FDD">
        <w:rPr>
          <w:rFonts w:cs="Times New Roman"/>
        </w:rPr>
        <w:t>individuals</w:t>
      </w:r>
      <w:proofErr w:type="gramEnd"/>
      <w:r w:rsidRPr="00B22FDD">
        <w:rPr>
          <w:rFonts w:cs="Times New Roman"/>
        </w:rPr>
        <w:t xml:space="preserve"> higher diversity which drives higher diversity of ARGs, while within an individual a reduced or increased diversity did not influence the diversity of ARGs. </w:t>
      </w:r>
    </w:p>
    <w:p w14:paraId="1988AC84" w14:textId="77777777" w:rsidR="009972F0" w:rsidRPr="00B22FDD" w:rsidRDefault="009972F0" w:rsidP="009972F0">
      <w:pPr>
        <w:rPr>
          <w:rFonts w:cs="Times New Roman"/>
        </w:rPr>
      </w:pPr>
      <w:r w:rsidRPr="00B22FDD">
        <w:rPr>
          <w:rFonts w:cs="Times New Roman"/>
        </w:rPr>
        <w:t>Stability of ARGs over time</w:t>
      </w:r>
    </w:p>
    <w:p w14:paraId="2B4F0C1C" w14:textId="77777777" w:rsidR="009972F0" w:rsidRPr="00B22FDD" w:rsidRDefault="009972F0" w:rsidP="009972F0">
      <w:pPr>
        <w:rPr>
          <w:rFonts w:cs="Times New Roman"/>
        </w:rPr>
      </w:pPr>
      <w:r w:rsidRPr="00B22FDD">
        <w:rPr>
          <w:rFonts w:cs="Times New Roman"/>
        </w:rPr>
        <w:t xml:space="preserve">Stability can be understood in many ways (see Chapter: A brain </w:t>
      </w:r>
      <w:proofErr w:type="gramStart"/>
      <w:r w:rsidRPr="00B22FDD">
        <w:rPr>
          <w:rFonts w:cs="Times New Roman"/>
        </w:rPr>
        <w:t>dump</w:t>
      </w:r>
      <w:proofErr w:type="gramEnd"/>
      <w:r w:rsidRPr="00B22FDD">
        <w:rPr>
          <w:rFonts w:cs="Times New Roman"/>
        </w:rPr>
        <w:t xml:space="preserve"> on stability). Here we have decided to investigate persistence of ARGs within an individual through time coupled with their occupancy (relative abundance). We are aware of the limitation of sequencing as an imperfect method that does not enable to say for sure that something is truly missing or just so rare that we have missed it with our depth of sequencing. But for the reason being we will say that our sequencing was as good as possible, we will not say that something is gone missing but is under the level of detection. A third of ARGs have been detected at all time points (28.6 %). We were unable to detect any loss or gain of a new ARG within an individual, even in individuals that had perturbations (AB or travel). </w:t>
      </w:r>
    </w:p>
    <w:p w14:paraId="129064F1" w14:textId="43E38D5D" w:rsidR="009972F0" w:rsidRDefault="009972F0">
      <w:pPr>
        <w:spacing w:line="259" w:lineRule="auto"/>
        <w:jc w:val="left"/>
      </w:pPr>
      <w:r>
        <w:br w:type="page"/>
      </w:r>
    </w:p>
    <w:p w14:paraId="415BD5CC" w14:textId="3AAB768E" w:rsidR="005E77FD" w:rsidRPr="00DA42F5" w:rsidRDefault="005E77FD" w:rsidP="00FE56A9">
      <w:pPr>
        <w:pStyle w:val="Heading1"/>
        <w:numPr>
          <w:ilvl w:val="0"/>
          <w:numId w:val="31"/>
        </w:numPr>
      </w:pPr>
      <w:bookmarkStart w:id="501" w:name="_Toc216099762"/>
      <w:bookmarkStart w:id="502" w:name="_Toc220591420"/>
      <w:r w:rsidRPr="00DA42F5">
        <w:lastRenderedPageBreak/>
        <w:t>CONCLUSION</w:t>
      </w:r>
      <w:bookmarkEnd w:id="482"/>
      <w:r w:rsidR="00221812" w:rsidRPr="00DA42F5">
        <w:t>S</w:t>
      </w:r>
      <w:bookmarkEnd w:id="501"/>
      <w:bookmarkEnd w:id="502"/>
    </w:p>
    <w:p w14:paraId="23519BE6" w14:textId="77777777" w:rsidR="00221812" w:rsidRPr="00DA42F5" w:rsidRDefault="00221812" w:rsidP="00221812"/>
    <w:p w14:paraId="6E080C48" w14:textId="3679FBEE" w:rsidR="00221812" w:rsidRPr="00DA42F5" w:rsidRDefault="00221812" w:rsidP="00FE56A9">
      <w:pPr>
        <w:pStyle w:val="Heading1"/>
        <w:numPr>
          <w:ilvl w:val="0"/>
          <w:numId w:val="31"/>
        </w:numPr>
      </w:pPr>
      <w:bookmarkStart w:id="503" w:name="_Toc216099763"/>
      <w:bookmarkStart w:id="504" w:name="_Toc220591421"/>
      <w:r w:rsidRPr="00DA42F5">
        <w:t>SUMMARY</w:t>
      </w:r>
      <w:bookmarkEnd w:id="503"/>
      <w:bookmarkEnd w:id="504"/>
    </w:p>
    <w:p w14:paraId="5D604A66" w14:textId="77777777" w:rsidR="00221812" w:rsidRPr="00DA42F5" w:rsidRDefault="00221812" w:rsidP="00221812">
      <w:pPr>
        <w:pStyle w:val="ListParagraph"/>
      </w:pPr>
    </w:p>
    <w:p w14:paraId="335DB57C" w14:textId="3736804D" w:rsidR="00221812" w:rsidRPr="00DA42F5" w:rsidRDefault="00221812" w:rsidP="00FE56A9">
      <w:pPr>
        <w:pStyle w:val="Heading1"/>
        <w:numPr>
          <w:ilvl w:val="0"/>
          <w:numId w:val="31"/>
        </w:numPr>
      </w:pPr>
      <w:bookmarkStart w:id="505" w:name="_Toc216099764"/>
      <w:bookmarkStart w:id="506" w:name="_Toc220591422"/>
      <w:proofErr w:type="spellStart"/>
      <w:r w:rsidRPr="00DA42F5">
        <w:t>POVZETEK</w:t>
      </w:r>
      <w:proofErr w:type="spellEnd"/>
      <w:r w:rsidRPr="00DA42F5">
        <w:t xml:space="preserve"> </w:t>
      </w:r>
      <w:r w:rsidRPr="00DA42F5">
        <w:rPr>
          <w:b w:val="0"/>
          <w:bCs w:val="0"/>
        </w:rPr>
        <w:t xml:space="preserve">(do 10% </w:t>
      </w:r>
      <w:proofErr w:type="spellStart"/>
      <w:r w:rsidRPr="00DA42F5">
        <w:rPr>
          <w:b w:val="0"/>
          <w:bCs w:val="0"/>
        </w:rPr>
        <w:t>obsega</w:t>
      </w:r>
      <w:proofErr w:type="spellEnd"/>
      <w:r w:rsidRPr="00DA42F5">
        <w:rPr>
          <w:b w:val="0"/>
          <w:bCs w:val="0"/>
        </w:rPr>
        <w:t xml:space="preserve"> </w:t>
      </w:r>
      <w:proofErr w:type="spellStart"/>
      <w:r w:rsidRPr="00DA42F5">
        <w:rPr>
          <w:b w:val="0"/>
          <w:bCs w:val="0"/>
        </w:rPr>
        <w:t>angleškega</w:t>
      </w:r>
      <w:proofErr w:type="spellEnd"/>
      <w:r w:rsidRPr="00DA42F5">
        <w:rPr>
          <w:b w:val="0"/>
          <w:bCs w:val="0"/>
        </w:rPr>
        <w:t xml:space="preserve"> dela </w:t>
      </w:r>
      <w:proofErr w:type="spellStart"/>
      <w:r w:rsidRPr="00DA42F5">
        <w:rPr>
          <w:b w:val="0"/>
          <w:bCs w:val="0"/>
        </w:rPr>
        <w:t>doktorske</w:t>
      </w:r>
      <w:proofErr w:type="spellEnd"/>
      <w:r w:rsidRPr="00DA42F5">
        <w:rPr>
          <w:b w:val="0"/>
          <w:bCs w:val="0"/>
        </w:rPr>
        <w:t xml:space="preserve"> </w:t>
      </w:r>
      <w:proofErr w:type="spellStart"/>
      <w:r w:rsidRPr="00DA42F5">
        <w:rPr>
          <w:b w:val="0"/>
          <w:bCs w:val="0"/>
        </w:rPr>
        <w:t>naloge</w:t>
      </w:r>
      <w:proofErr w:type="spellEnd"/>
      <w:r w:rsidRPr="00DA42F5">
        <w:rPr>
          <w:b w:val="0"/>
          <w:bCs w:val="0"/>
        </w:rPr>
        <w:t>)</w:t>
      </w:r>
      <w:bookmarkEnd w:id="505"/>
      <w:bookmarkEnd w:id="506"/>
      <w:r w:rsidRPr="00DA42F5">
        <w:t xml:space="preserve"> </w:t>
      </w:r>
    </w:p>
    <w:p w14:paraId="16A4F22E" w14:textId="07AFD06C" w:rsidR="001B10A8" w:rsidRPr="00DA42F5" w:rsidRDefault="001B10A8">
      <w:pPr>
        <w:spacing w:line="259" w:lineRule="auto"/>
        <w:jc w:val="left"/>
      </w:pPr>
      <w:r w:rsidRPr="00DA42F5">
        <w:br w:type="page"/>
      </w:r>
    </w:p>
    <w:p w14:paraId="06C0BE9C" w14:textId="6DCD7DC8" w:rsidR="005E77FD" w:rsidRPr="00DA42F5" w:rsidRDefault="005E77FD" w:rsidP="00FE56A9">
      <w:pPr>
        <w:pStyle w:val="Heading1"/>
        <w:numPr>
          <w:ilvl w:val="0"/>
          <w:numId w:val="31"/>
        </w:numPr>
      </w:pPr>
      <w:bookmarkStart w:id="507" w:name="_Toc212712221"/>
      <w:bookmarkStart w:id="508" w:name="_Toc216099765"/>
      <w:bookmarkStart w:id="509" w:name="_Toc220591423"/>
      <w:r w:rsidRPr="00DA42F5">
        <w:lastRenderedPageBreak/>
        <w:t>REFERENCES</w:t>
      </w:r>
      <w:bookmarkEnd w:id="507"/>
      <w:bookmarkEnd w:id="508"/>
      <w:bookmarkEnd w:id="509"/>
      <w:r w:rsidRPr="00DA42F5">
        <w:t xml:space="preserve"> </w:t>
      </w:r>
    </w:p>
    <w:p w14:paraId="157AD7D4" w14:textId="77777777" w:rsidR="00D9297E" w:rsidRDefault="001B10A8" w:rsidP="00D9297E">
      <w:pPr>
        <w:pStyle w:val="Bibliography"/>
      </w:pPr>
      <w:r w:rsidRPr="00DA42F5">
        <w:rPr>
          <w:szCs w:val="24"/>
        </w:rPr>
        <w:fldChar w:fldCharType="begin"/>
      </w:r>
      <w:r w:rsidRPr="00DA42F5">
        <w:rPr>
          <w:szCs w:val="24"/>
        </w:rPr>
        <w:instrText xml:space="preserve"> ADDIN ZOTERO_BIBL {"uncited":[],"omitted":[],"custom":[]} CSL_BIBLIOGRAPHY </w:instrText>
      </w:r>
      <w:r w:rsidRPr="00DA42F5">
        <w:rPr>
          <w:szCs w:val="24"/>
        </w:rPr>
        <w:fldChar w:fldCharType="separate"/>
      </w:r>
      <w:r w:rsidR="00D9297E">
        <w:t xml:space="preserve">Abellan-Schneyder, I., Matchado, M. S., Reitmeier, S., Sommer, A., Sewald, Z., Baumbach, J., List, M., &amp; Neuhaus, K. (2021). Primer, Pipelines, Parameters: Issues in 16S rRNA Gene Sequencing. </w:t>
      </w:r>
      <w:r w:rsidR="00D9297E">
        <w:rPr>
          <w:i/>
          <w:iCs/>
        </w:rPr>
        <w:t>mSphere</w:t>
      </w:r>
      <w:r w:rsidR="00D9297E">
        <w:t xml:space="preserve">, </w:t>
      </w:r>
      <w:r w:rsidR="00D9297E">
        <w:rPr>
          <w:i/>
          <w:iCs/>
        </w:rPr>
        <w:t>6</w:t>
      </w:r>
      <w:r w:rsidR="00D9297E">
        <w:t>(1), e01202-20. https://doi.org/10.1128/mSphere.01202-20</w:t>
      </w:r>
    </w:p>
    <w:p w14:paraId="24B69E95" w14:textId="77777777" w:rsidR="00D9297E" w:rsidRDefault="00D9297E" w:rsidP="00D9297E">
      <w:pPr>
        <w:pStyle w:val="Bibliography"/>
      </w:pPr>
      <w:r>
        <w:t xml:space="preserve">Abu-Ali, G. S., Mehta, R. S., Lloyd-Price, J., Mallick, H., Branck, T., Ivey, K. L., Drew, D. A., DuLong, C., Rimm, E., Izard, J., Chan, A. T., &amp; Huttenhower, C. (2018). Metatranscriptome of human faecal microbial communities in a cohort of adult men. </w:t>
      </w:r>
      <w:r>
        <w:rPr>
          <w:i/>
          <w:iCs/>
        </w:rPr>
        <w:t>Nature Microbiology</w:t>
      </w:r>
      <w:r>
        <w:t xml:space="preserve">, </w:t>
      </w:r>
      <w:r>
        <w:rPr>
          <w:i/>
          <w:iCs/>
        </w:rPr>
        <w:t>3</w:t>
      </w:r>
      <w:r>
        <w:t>(3), Article 3. https://doi.org/10.1038/s41564-017-0084-4</w:t>
      </w:r>
    </w:p>
    <w:p w14:paraId="0CEE874F" w14:textId="77777777" w:rsidR="00D9297E" w:rsidRDefault="00D9297E" w:rsidP="00D9297E">
      <w:pPr>
        <w:pStyle w:val="Bibliography"/>
      </w:pPr>
      <w:r>
        <w:t xml:space="preserve">Afouda, P., Hocquart, M., Pham, T.-P.-T., Kuete, E., Ngom, I. I., Dione, N., Valles, C., Bellali, S., Lagier, J.-C., Dubourg, G., &amp; Raoult, D. (2020). Alcohol pretreatment of stools effect on culturomics. </w:t>
      </w:r>
      <w:r>
        <w:rPr>
          <w:i/>
          <w:iCs/>
        </w:rPr>
        <w:t>Scientific Reports</w:t>
      </w:r>
      <w:r>
        <w:t xml:space="preserve">, </w:t>
      </w:r>
      <w:r>
        <w:rPr>
          <w:i/>
          <w:iCs/>
        </w:rPr>
        <w:t>10</w:t>
      </w:r>
      <w:r>
        <w:t>(1), 5190. https://doi.org/10.1038/s41598-020-62068-x</w:t>
      </w:r>
    </w:p>
    <w:p w14:paraId="35C9989F" w14:textId="77777777" w:rsidR="00D9297E" w:rsidRDefault="00D9297E" w:rsidP="00D9297E">
      <w:pPr>
        <w:pStyle w:val="Bibliography"/>
      </w:pPr>
      <w:r>
        <w:t xml:space="preserve">Aho, A. V., Hopcroft, J. E., &amp; Ullman, J. D. (1973). On finding lowest common ancestors in trees. </w:t>
      </w:r>
      <w:r>
        <w:rPr>
          <w:i/>
          <w:iCs/>
        </w:rPr>
        <w:t>Proceedings of the Fifth Annual ACM Symposium on Theory of Computing, STOC ’73</w:t>
      </w:r>
      <w:r>
        <w:t>, 253–265. https://doi.org/10.1145/800125.804056</w:t>
      </w:r>
    </w:p>
    <w:p w14:paraId="11F0EB13" w14:textId="77777777" w:rsidR="00D9297E" w:rsidRDefault="00D9297E" w:rsidP="00D9297E">
      <w:pPr>
        <w:pStyle w:val="Bibliography"/>
      </w:pPr>
      <w:r>
        <w:t xml:space="preserve">Aldea, A. C., Diguṭă, F. C., Presacan, O., Voaideṣ, C., Toma, R. C., &amp; Matei, F. (2025). Detecting antibiotic resistance: Classical, molecular, advanced bioengineering, and AI-enhanced approaches. </w:t>
      </w:r>
      <w:r>
        <w:rPr>
          <w:i/>
          <w:iCs/>
        </w:rPr>
        <w:t>Frontiers in Microbiology</w:t>
      </w:r>
      <w:r>
        <w:t xml:space="preserve">, </w:t>
      </w:r>
      <w:r>
        <w:rPr>
          <w:i/>
          <w:iCs/>
        </w:rPr>
        <w:t>16</w:t>
      </w:r>
      <w:r>
        <w:t>. https://doi.org/10.3389/fmicb.2025.1673343</w:t>
      </w:r>
    </w:p>
    <w:p w14:paraId="6276ED2D" w14:textId="77777777" w:rsidR="00D9297E" w:rsidRDefault="00D9297E" w:rsidP="00D9297E">
      <w:pPr>
        <w:pStyle w:val="Bibliography"/>
      </w:pPr>
      <w:r>
        <w:t xml:space="preserve">Angelakis, E., Bibi, F., Ramasamy, D., Azhar, E. I., Jiman-Fatani, A. A., Aboushoushah, S. M., Lagier, J.-C., Robert, C., Caputo, A., Yasir, M., Fournier, P.-E., &amp; Raoult, D. (2014). Non-contiguous finished genome sequence and description of Clostridium saudii sp. Nov. </w:t>
      </w:r>
      <w:r>
        <w:rPr>
          <w:i/>
          <w:iCs/>
        </w:rPr>
        <w:t>Standards in Genomic Sciences</w:t>
      </w:r>
      <w:r>
        <w:t xml:space="preserve">, </w:t>
      </w:r>
      <w:r>
        <w:rPr>
          <w:i/>
          <w:iCs/>
        </w:rPr>
        <w:t>9</w:t>
      </w:r>
      <w:r>
        <w:t>(1), 8. https://doi.org/10.1186/1944-3277-9-8</w:t>
      </w:r>
    </w:p>
    <w:p w14:paraId="0775B6CF" w14:textId="77777777" w:rsidR="00D9297E" w:rsidRDefault="00D9297E" w:rsidP="00D9297E">
      <w:pPr>
        <w:pStyle w:val="Bibliography"/>
      </w:pPr>
      <w:r>
        <w:t xml:space="preserve">Anthony, W. E., Burnham, C.-A. D., Dantas, G., &amp; Kwon, J. H. (2021). The Gut Microbiome as a Reservoir for Antimicrobial Resistance. </w:t>
      </w:r>
      <w:r>
        <w:rPr>
          <w:i/>
          <w:iCs/>
        </w:rPr>
        <w:t>The Journal of Infectious Diseases</w:t>
      </w:r>
      <w:r>
        <w:t xml:space="preserve">, </w:t>
      </w:r>
      <w:r>
        <w:rPr>
          <w:i/>
          <w:iCs/>
        </w:rPr>
        <w:t>223</w:t>
      </w:r>
      <w:r>
        <w:t>(12 Suppl 2), S209–S213. https://doi.org/10.1093/infdis/jiaa497</w:t>
      </w:r>
    </w:p>
    <w:p w14:paraId="49F2E669" w14:textId="77777777" w:rsidR="00D9297E" w:rsidRDefault="00D9297E" w:rsidP="00D9297E">
      <w:pPr>
        <w:pStyle w:val="Bibliography"/>
      </w:pPr>
      <w:r>
        <w:lastRenderedPageBreak/>
        <w:t xml:space="preserve">Antonov, M., Csárdi, G., Horvát, S., Müller, K., Nepusz, T., Noom, D., Salmon, M., Traag, V., Welles, B. F., &amp; Zanini, F. (2023). </w:t>
      </w:r>
      <w:r>
        <w:rPr>
          <w:i/>
          <w:iCs/>
        </w:rPr>
        <w:t>Igraph enables fast and robust network analysis across programming languages</w:t>
      </w:r>
      <w:r>
        <w:t xml:space="preserve"> (arXiv:2311.10260). arXiv. https://doi.org/10.48550/arXiv.2311.10260</w:t>
      </w:r>
    </w:p>
    <w:p w14:paraId="067E215D" w14:textId="77777777" w:rsidR="00D9297E" w:rsidRDefault="00D9297E" w:rsidP="00D9297E">
      <w:pPr>
        <w:pStyle w:val="Bibliography"/>
      </w:pPr>
      <w:r>
        <w:t xml:space="preserve">Appert, O., Garcia, A. R., Frei, R., Roduit, C., Constancias, F., Neuzil-Bunesova, V., Ferstl, R., Zhang, J., Akdis, C., Lauener, R., Lacroix, C., &amp; Schwab, C. (2020). Initial butyrate producers during infant gut microbiota development are endospore formers. </w:t>
      </w:r>
      <w:r>
        <w:rPr>
          <w:i/>
          <w:iCs/>
        </w:rPr>
        <w:t>Environmental Microbiology</w:t>
      </w:r>
      <w:r>
        <w:t xml:space="preserve">, </w:t>
      </w:r>
      <w:r>
        <w:rPr>
          <w:i/>
          <w:iCs/>
        </w:rPr>
        <w:t>22</w:t>
      </w:r>
      <w:r>
        <w:t>(9), 3909–3921. https://doi.org/10.1111/1462-2920.15167</w:t>
      </w:r>
    </w:p>
    <w:p w14:paraId="2FD2B0BF" w14:textId="77777777" w:rsidR="00D9297E" w:rsidRDefault="00D9297E" w:rsidP="00D9297E">
      <w:pPr>
        <w:pStyle w:val="Bibliography"/>
      </w:pPr>
      <w:r>
        <w:t xml:space="preserve">Asnicar, F., Manara, S., Zolfo, M., Truong, D. T., Scholz, M., Armanini, F., Ferretti, P., Gorfer, V., Pedrotti, A., Tett, A., &amp; Segata, N. (2017). Studying Vertical Microbiome Transmission from Mothers to Infants by Strain-Level Metagenomic Profiling. </w:t>
      </w:r>
      <w:r>
        <w:rPr>
          <w:i/>
          <w:iCs/>
        </w:rPr>
        <w:t>mSystems</w:t>
      </w:r>
      <w:r>
        <w:t xml:space="preserve">, </w:t>
      </w:r>
      <w:r>
        <w:rPr>
          <w:i/>
          <w:iCs/>
        </w:rPr>
        <w:t>2</w:t>
      </w:r>
      <w:r>
        <w:t>(1), e00164-16. https://doi.org/10.1128/mSystems.00164-16</w:t>
      </w:r>
    </w:p>
    <w:p w14:paraId="40D35F8F" w14:textId="77777777" w:rsidR="00D9297E" w:rsidRDefault="00D9297E" w:rsidP="00D9297E">
      <w:pPr>
        <w:pStyle w:val="Bibliography"/>
      </w:pPr>
      <w:r>
        <w:t xml:space="preserve">Avershina, E., Larsen, M. G., Aspholm, M., Lindback, T., Storrø, O., Øien, T., Johnsen, R., &amp; Rudi, K. (2020). Culture dependent and independent analyses suggest a low level of sharing of endospore-forming species between mothers and their children. </w:t>
      </w:r>
      <w:r>
        <w:rPr>
          <w:i/>
          <w:iCs/>
        </w:rPr>
        <w:t>Scientific Reports</w:t>
      </w:r>
      <w:r>
        <w:t xml:space="preserve">, </w:t>
      </w:r>
      <w:r>
        <w:rPr>
          <w:i/>
          <w:iCs/>
        </w:rPr>
        <w:t>10</w:t>
      </w:r>
      <w:r>
        <w:t>(1), 1832. https://doi.org/10.1038/s41598-020-58858-y</w:t>
      </w:r>
    </w:p>
    <w:p w14:paraId="0805D86E" w14:textId="77777777" w:rsidR="00D9297E" w:rsidRDefault="00D9297E" w:rsidP="00D9297E">
      <w:pPr>
        <w:pStyle w:val="Bibliography"/>
      </w:pPr>
      <w:r>
        <w:rPr>
          <w:i/>
          <w:iCs/>
        </w:rPr>
        <w:t>Babraham Bioinformatics—FastQC A Quality Control tool for High Throughput Sequence Data</w:t>
      </w:r>
      <w:r>
        <w:t>. (n.d.). Retrieved February 22, 2023, from https://www.bioinformatics.babraham.ac.uk/projects/fastqc/</w:t>
      </w:r>
    </w:p>
    <w:p w14:paraId="634CA184" w14:textId="77777777" w:rsidR="00D9297E" w:rsidRDefault="00D9297E" w:rsidP="00D9297E">
      <w:pPr>
        <w:pStyle w:val="Bibliography"/>
      </w:pPr>
      <w:r>
        <w:t xml:space="preserve">Blanco-Míguez, A., Beghini, F., Cumbo, F., McIver, L. J., Thompson, K. N., Zolfo, M., Manghi, P., Dubois, L., Huang, K. D., Thomas, A. M., Nickols, W. A., Piccinno, G., Piperni, E., Punčochář, M., Valles-Colomer, M., Tett, A., Giordano, F., Davies, R., Wolf, J., … Segata, N. (2023a). Extending and improving metagenomic taxonomic profiling with </w:t>
      </w:r>
      <w:r>
        <w:lastRenderedPageBreak/>
        <w:t xml:space="preserve">uncharacterized species using MetaPhlAn 4. </w:t>
      </w:r>
      <w:r>
        <w:rPr>
          <w:i/>
          <w:iCs/>
        </w:rPr>
        <w:t>Nature Biotechnology</w:t>
      </w:r>
      <w:r>
        <w:t xml:space="preserve">, </w:t>
      </w:r>
      <w:r>
        <w:rPr>
          <w:i/>
          <w:iCs/>
        </w:rPr>
        <w:t>41</w:t>
      </w:r>
      <w:r>
        <w:t>(11), 1633–1644. https://doi.org/10.1038/s41587-023-01688-w</w:t>
      </w:r>
    </w:p>
    <w:p w14:paraId="0DDD2F94" w14:textId="77777777" w:rsidR="00D9297E" w:rsidRDefault="00D9297E" w:rsidP="00D9297E">
      <w:pPr>
        <w:pStyle w:val="Bibliography"/>
      </w:pPr>
      <w:r>
        <w:t xml:space="preserve">Blanco-Míguez, A., Beghini, F., Cumbo, F., McIver, L. J., Thompson, K. N., Zolfo, M., Manghi, P., Dubois, L., Huang, K. D., Thomas, A. M., Nickols, W. A., Piccinno, G., Piperni, E., Punčochář, M., Valles-Colomer, M., Tett, A., Giordano, F., Davies, R., Wolf, J., … Segata, N. (2023b). Extending and improving metagenomic taxonomic profiling with uncharacterized species using MetaPhlAn 4. </w:t>
      </w:r>
      <w:r>
        <w:rPr>
          <w:i/>
          <w:iCs/>
        </w:rPr>
        <w:t>Nature Biotechnology</w:t>
      </w:r>
      <w:r>
        <w:t>, 1–12. https://doi.org/10.1038/s41587-023-01688-w</w:t>
      </w:r>
    </w:p>
    <w:p w14:paraId="79770672" w14:textId="77777777" w:rsidR="00D9297E" w:rsidRDefault="00D9297E" w:rsidP="00D9297E">
      <w:pPr>
        <w:pStyle w:val="Bibliography"/>
      </w:pPr>
      <w:r>
        <w:t xml:space="preserve">Bolger, A. M., Lohse, M., &amp; Usadel, B. (2014). Trimmomatic: A flexible trimmer for Illumina sequence data. </w:t>
      </w:r>
      <w:r>
        <w:rPr>
          <w:i/>
          <w:iCs/>
        </w:rPr>
        <w:t>Bioinformatics</w:t>
      </w:r>
      <w:r>
        <w:t xml:space="preserve">, </w:t>
      </w:r>
      <w:r>
        <w:rPr>
          <w:i/>
          <w:iCs/>
        </w:rPr>
        <w:t>30</w:t>
      </w:r>
      <w:r>
        <w:t>(15), 2114–2120. https://doi.org/10.1093/bioinformatics/btu170</w:t>
      </w:r>
    </w:p>
    <w:p w14:paraId="663F40C4" w14:textId="77777777" w:rsidR="00D9297E" w:rsidRDefault="00D9297E" w:rsidP="00D9297E">
      <w:pPr>
        <w:pStyle w:val="Bibliography"/>
      </w:pPr>
      <w:r>
        <w:t xml:space="preserve">Boolchandani, M., Blake, K. S., Tilley, D. H., Cabada, M. M., Schwartz, D. J., Patel, S., Morales, M. L., Meza, R., Soto, G., Isidean, S. D., Porter, C. K., Simons, M. P., &amp; Dantas, G. (2022). Impact of international travel and diarrhea on gut microbiome and resistome dynamics. </w:t>
      </w:r>
      <w:r>
        <w:rPr>
          <w:i/>
          <w:iCs/>
        </w:rPr>
        <w:t>Nature Communications</w:t>
      </w:r>
      <w:r>
        <w:t xml:space="preserve">, </w:t>
      </w:r>
      <w:r>
        <w:rPr>
          <w:i/>
          <w:iCs/>
        </w:rPr>
        <w:t>13</w:t>
      </w:r>
      <w:r>
        <w:t>(1), Article 1. https://doi.org/10.1038/s41467-022-34862-w</w:t>
      </w:r>
    </w:p>
    <w:p w14:paraId="23A49B10" w14:textId="77777777" w:rsidR="00D9297E" w:rsidRDefault="00D9297E" w:rsidP="00D9297E">
      <w:pPr>
        <w:pStyle w:val="Bibliography"/>
      </w:pPr>
      <w:r>
        <w:t xml:space="preserve">Brown, K. L. (2000). Control of bacterial spores. </w:t>
      </w:r>
      <w:r>
        <w:rPr>
          <w:i/>
          <w:iCs/>
        </w:rPr>
        <w:t>British Medical Bulletin</w:t>
      </w:r>
      <w:r>
        <w:t xml:space="preserve">, </w:t>
      </w:r>
      <w:r>
        <w:rPr>
          <w:i/>
          <w:iCs/>
        </w:rPr>
        <w:t>56</w:t>
      </w:r>
      <w:r>
        <w:t>(1), 158–171. https://doi.org/10.1258/0007142001902860</w:t>
      </w:r>
    </w:p>
    <w:p w14:paraId="7CDD71F3" w14:textId="77777777" w:rsidR="00D9297E" w:rsidRDefault="00D9297E" w:rsidP="00D9297E">
      <w:pPr>
        <w:pStyle w:val="Bibliography"/>
      </w:pPr>
      <w:r>
        <w:t xml:space="preserve">Browne, H. P., Almeida, A., Kumar, N., Vervier, K., Adoum, A. T., Viciani, E., Dawson, N. J. R., Forster, S. C., Cormie, C., Goulding, D., &amp; Lawley, T. D. (2021). Host adaptation in gut Firmicutes is associated with sporulation loss and altered transmission cycle. </w:t>
      </w:r>
      <w:r>
        <w:rPr>
          <w:i/>
          <w:iCs/>
        </w:rPr>
        <w:t>Genome Biology</w:t>
      </w:r>
      <w:r>
        <w:t xml:space="preserve">, </w:t>
      </w:r>
      <w:r>
        <w:rPr>
          <w:i/>
          <w:iCs/>
        </w:rPr>
        <w:t>22</w:t>
      </w:r>
      <w:r>
        <w:t>(1), 204. https://doi.org/10.1186/s13059-021-02428-6</w:t>
      </w:r>
    </w:p>
    <w:p w14:paraId="56697FDF" w14:textId="77777777" w:rsidR="00D9297E" w:rsidRDefault="00D9297E" w:rsidP="00D9297E">
      <w:pPr>
        <w:pStyle w:val="Bibliography"/>
      </w:pPr>
      <w:r>
        <w:t xml:space="preserve">Browne, H. P., Forster, S. C., Anonye, B. O., Kumar, N., Neville, B. A., Stares, M. D., Goulding, D., &amp; Lawley, T. D. (2016a). Culturing of ‘unculturable’ human microbiota reveals novel </w:t>
      </w:r>
      <w:r>
        <w:lastRenderedPageBreak/>
        <w:t xml:space="preserve">taxa and extensive sporulation. </w:t>
      </w:r>
      <w:r>
        <w:rPr>
          <w:i/>
          <w:iCs/>
        </w:rPr>
        <w:t>Nature</w:t>
      </w:r>
      <w:r>
        <w:t xml:space="preserve">, </w:t>
      </w:r>
      <w:r>
        <w:rPr>
          <w:i/>
          <w:iCs/>
        </w:rPr>
        <w:t>533</w:t>
      </w:r>
      <w:r>
        <w:t>(7604), 543–546. https://doi.org/10.1038/nature17645</w:t>
      </w:r>
    </w:p>
    <w:p w14:paraId="285B6CF3" w14:textId="77777777" w:rsidR="00D9297E" w:rsidRDefault="00D9297E" w:rsidP="00D9297E">
      <w:pPr>
        <w:pStyle w:val="Bibliography"/>
      </w:pPr>
      <w:r>
        <w:t xml:space="preserve">Browne, H. P., Forster, S. C., Anonye, B. O., Kumar, N., Neville, B. A., Stares, M. D., Goulding, D., &amp; Lawley, T. D. (2016b). Culturing of ‘unculturable’ human microbiota reveals novel taxa and extensive sporulation. </w:t>
      </w:r>
      <w:r>
        <w:rPr>
          <w:i/>
          <w:iCs/>
        </w:rPr>
        <w:t>Nature</w:t>
      </w:r>
      <w:r>
        <w:t xml:space="preserve">, </w:t>
      </w:r>
      <w:r>
        <w:rPr>
          <w:i/>
          <w:iCs/>
        </w:rPr>
        <w:t>533</w:t>
      </w:r>
      <w:r>
        <w:t>(7604), 543–546. https://doi.org/10.1038/nature17645</w:t>
      </w:r>
    </w:p>
    <w:p w14:paraId="566F5F12" w14:textId="77777777" w:rsidR="00D9297E" w:rsidRDefault="00D9297E" w:rsidP="00D9297E">
      <w:pPr>
        <w:pStyle w:val="Bibliography"/>
      </w:pPr>
      <w:r>
        <w:t xml:space="preserve">Browne, H. P., Neville, B. A., Forster, S. C., &amp; Lawley, T. D. (2017). Transmission of the gut microbiota: Spreading of health. </w:t>
      </w:r>
      <w:r>
        <w:rPr>
          <w:i/>
          <w:iCs/>
        </w:rPr>
        <w:t>Nature Reviews Microbiology</w:t>
      </w:r>
      <w:r>
        <w:t xml:space="preserve">, </w:t>
      </w:r>
      <w:r>
        <w:rPr>
          <w:i/>
          <w:iCs/>
        </w:rPr>
        <w:t>15</w:t>
      </w:r>
      <w:r>
        <w:t>(9), 531–543. https://doi.org/10.1038/nrmicro.2017.50</w:t>
      </w:r>
    </w:p>
    <w:p w14:paraId="099F299B" w14:textId="77777777" w:rsidR="00D9297E" w:rsidRDefault="00D9297E" w:rsidP="00D9297E">
      <w:pPr>
        <w:pStyle w:val="Bibliography"/>
      </w:pPr>
      <w:r>
        <w:t xml:space="preserve">Buchfink, B., Reuter, K., &amp; Drost, H.-G. (2021). Sensitive protein alignments at tree-of-life scale using DIAMOND. </w:t>
      </w:r>
      <w:r>
        <w:rPr>
          <w:i/>
          <w:iCs/>
        </w:rPr>
        <w:t>Nature Methods</w:t>
      </w:r>
      <w:r>
        <w:t xml:space="preserve">, </w:t>
      </w:r>
      <w:r>
        <w:rPr>
          <w:i/>
          <w:iCs/>
        </w:rPr>
        <w:t>18</w:t>
      </w:r>
      <w:r>
        <w:t>(4), 366–368. https://doi.org/10.1038/s41592-021-01101-x</w:t>
      </w:r>
    </w:p>
    <w:p w14:paraId="3A0BE0A6" w14:textId="77777777" w:rsidR="00D9297E" w:rsidRDefault="00D9297E" w:rsidP="00D9297E">
      <w:pPr>
        <w:pStyle w:val="Bibliography"/>
      </w:pPr>
      <w:r>
        <w:t xml:space="preserve">Camacho, C., Coulouris, G., Avagyan, V., Ma, N., Papadopoulos, J., Bealer, K., &amp; Madden, T. L. (2009). BLAST+: Architecture and applications. </w:t>
      </w:r>
      <w:r>
        <w:rPr>
          <w:i/>
          <w:iCs/>
        </w:rPr>
        <w:t>BMC Bioinformatics</w:t>
      </w:r>
      <w:r>
        <w:t xml:space="preserve">, </w:t>
      </w:r>
      <w:r>
        <w:rPr>
          <w:i/>
          <w:iCs/>
        </w:rPr>
        <w:t>10</w:t>
      </w:r>
      <w:r>
        <w:t>, 421. https://doi.org/10.1186/1471-2105-10-421</w:t>
      </w:r>
    </w:p>
    <w:p w14:paraId="74B602C3" w14:textId="77777777" w:rsidR="00D9297E" w:rsidRDefault="00D9297E" w:rsidP="00D9297E">
      <w:pPr>
        <w:pStyle w:val="Bibliography"/>
      </w:pPr>
      <w:r>
        <w:t xml:space="preserve">Camargo, A. P., Roux, S., Schulz, F., Babinski, M., Xu, Y., Hu, B., Chain, P. S. G., Nayfach, S., &amp; Kyrpides, N. C. (2024). Identification of mobile genetic elements with geNomad. </w:t>
      </w:r>
      <w:r>
        <w:rPr>
          <w:i/>
          <w:iCs/>
        </w:rPr>
        <w:t>Nature Biotechnology</w:t>
      </w:r>
      <w:r>
        <w:t xml:space="preserve">, </w:t>
      </w:r>
      <w:r>
        <w:rPr>
          <w:i/>
          <w:iCs/>
        </w:rPr>
        <w:t>42</w:t>
      </w:r>
      <w:r>
        <w:t>(8), 1303–1312. https://doi.org/10.1038/s41587-023-01953-y</w:t>
      </w:r>
    </w:p>
    <w:p w14:paraId="0594F778" w14:textId="77777777" w:rsidR="00D9297E" w:rsidRDefault="00D9297E" w:rsidP="00D9297E">
      <w:pPr>
        <w:pStyle w:val="Bibliography"/>
      </w:pPr>
      <w:r>
        <w:t xml:space="preserve">Caporaso, J. G., Lauber, C. L., Costello, E. K., Berg-Lyons, D., Gonzalez, A., Stombaugh, J., Knights, D., Gajer, P., Ravel, J., Fierer, N., Gordon, J. I., &amp; Knight, R. (2011). Moving pictures of the human microbiome. </w:t>
      </w:r>
      <w:r>
        <w:rPr>
          <w:i/>
          <w:iCs/>
        </w:rPr>
        <w:t>Genome Biology</w:t>
      </w:r>
      <w:r>
        <w:t xml:space="preserve">, </w:t>
      </w:r>
      <w:r>
        <w:rPr>
          <w:i/>
          <w:iCs/>
        </w:rPr>
        <w:t>12</w:t>
      </w:r>
      <w:r>
        <w:t>(5), R50. https://doi.org/10.1186/gb-2011-12-5-r50</w:t>
      </w:r>
    </w:p>
    <w:p w14:paraId="3EE65730" w14:textId="77777777" w:rsidR="00D9297E" w:rsidRDefault="00D9297E" w:rsidP="00D9297E">
      <w:pPr>
        <w:pStyle w:val="Bibliography"/>
      </w:pPr>
      <w:r>
        <w:lastRenderedPageBreak/>
        <w:t xml:space="preserve">Chen, L., Wang, D., Garmaeva, S., Kurilshikov, A., Vich Vila, A., Gacesa, R., Sinha, T., Segal, E., Weersma, R. K., Wijmenga, C., Zhernakova, A., &amp; Fu, J. (2021). The long-term genetic stability and individual specificity of the human gut microbiome. </w:t>
      </w:r>
      <w:r>
        <w:rPr>
          <w:i/>
          <w:iCs/>
        </w:rPr>
        <w:t>Cell</w:t>
      </w:r>
      <w:r>
        <w:t xml:space="preserve">, </w:t>
      </w:r>
      <w:r>
        <w:rPr>
          <w:i/>
          <w:iCs/>
        </w:rPr>
        <w:t>184</w:t>
      </w:r>
      <w:r>
        <w:t>(9), 2302-2315.e12. https://doi.org/10.1016/j.cell.2021.03.024</w:t>
      </w:r>
    </w:p>
    <w:p w14:paraId="25ABA6CE" w14:textId="77777777" w:rsidR="00D9297E" w:rsidRDefault="00D9297E" w:rsidP="00D9297E">
      <w:pPr>
        <w:pStyle w:val="Bibliography"/>
      </w:pPr>
      <w:r>
        <w:t xml:space="preserve">Chen, Yuxin, Chen, Yongsheng, Shi, C., Huang, Z., Zhang, Y., Li, S., Li, Y., Ye, J., Yu, C., Li, Z., Zhang, X., Wang, J., Yang, H., Fang, L., &amp; Chen, Q. (2018). SOAPnuke: A MapReduce acceleration-supported software for integrated quality control and preprocessing of high-throughput sequencing data. </w:t>
      </w:r>
      <w:r>
        <w:rPr>
          <w:i/>
          <w:iCs/>
        </w:rPr>
        <w:t>GigaScience</w:t>
      </w:r>
      <w:r>
        <w:t xml:space="preserve">, </w:t>
      </w:r>
      <w:r>
        <w:rPr>
          <w:i/>
          <w:iCs/>
        </w:rPr>
        <w:t>7</w:t>
      </w:r>
      <w:r>
        <w:t>(1), gix120. https://doi.org/10.1093/gigascience/gix120</w:t>
      </w:r>
    </w:p>
    <w:p w14:paraId="452AE28F" w14:textId="77777777" w:rsidR="00D9297E" w:rsidRDefault="00D9297E" w:rsidP="00D9297E">
      <w:pPr>
        <w:pStyle w:val="Bibliography"/>
      </w:pPr>
      <w:r>
        <w:t xml:space="preserve">Chen-Liaw, A., Aggarwala, V., Mogno, I., Haifer, C., Li, Z., Eggers, J., Helmus, D., Hart, A., Wehkamp, J., Lamousé-Smith, E. S. N., Kerby, R. L., Rey, F. E., Colombel, J. F., Kamm, M. A., Olle, B., Norman, J. M., Menon, R., Watson, A. R., Crossette, E., … Faith, J. J. (2025). Gut microbiota strain richness is species specific and affects engraftment. </w:t>
      </w:r>
      <w:r>
        <w:rPr>
          <w:i/>
          <w:iCs/>
        </w:rPr>
        <w:t>Nature</w:t>
      </w:r>
      <w:r>
        <w:t xml:space="preserve">, </w:t>
      </w:r>
      <w:r>
        <w:rPr>
          <w:i/>
          <w:iCs/>
        </w:rPr>
        <w:t>637</w:t>
      </w:r>
      <w:r>
        <w:t>(8045), 422–429. https://doi.org/10.1038/s41586-024-08242-x</w:t>
      </w:r>
    </w:p>
    <w:p w14:paraId="19426ADB" w14:textId="77777777" w:rsidR="00D9297E" w:rsidRDefault="00D9297E" w:rsidP="00D9297E">
      <w:pPr>
        <w:pStyle w:val="Bibliography"/>
      </w:pPr>
      <w:r>
        <w:t xml:space="preserve">Claesson, M. J., Cusack, S., O’Sullivan, O., Greene-Diniz, R., de Weerd, H., Flannery, E., Marchesi, J. R., Falush, D., Dinan, T., Fitzgerald, G., Stanton, C., van Sinderen, D., O’Connor, M., Harnedy, N., O’Connor, K., Henry, C., O’Mahony, D., Fitzgerald, A. P., Shanahan, F., … O’Toole, P. W. (2011). Composition, variability, and temporal stability of the intestinal microbiota of the elderly. </w:t>
      </w:r>
      <w:r>
        <w:rPr>
          <w:i/>
          <w:iCs/>
        </w:rPr>
        <w:t>Proceedings of the National Academy of Sciences</w:t>
      </w:r>
      <w:r>
        <w:t xml:space="preserve">, </w:t>
      </w:r>
      <w:r>
        <w:rPr>
          <w:i/>
          <w:iCs/>
        </w:rPr>
        <w:t>108</w:t>
      </w:r>
      <w:r>
        <w:t>(supplement_1), 4586–4591. (world). https://doi.org/10.1073/pnas.1000097107</w:t>
      </w:r>
    </w:p>
    <w:p w14:paraId="240A2469" w14:textId="77777777" w:rsidR="00D9297E" w:rsidRDefault="00D9297E" w:rsidP="00D9297E">
      <w:pPr>
        <w:pStyle w:val="Bibliography"/>
      </w:pPr>
      <w:r>
        <w:t xml:space="preserve">Clooney, A. G., Eckenberger, J., Laserna-Mendieta, E., Sexton, K. A., Bernstein, M. T., Vagianos, K., Sargent, M., Ryan, F. J., Moran, C., Sheehan, D., Sleator, R. D., Targownik, L. E., </w:t>
      </w:r>
      <w:r>
        <w:lastRenderedPageBreak/>
        <w:t xml:space="preserve">Bernstein, C. N., Shanahan, F., &amp; Claesson, M. J. (2021). Ranking microbiome variance in inflammatory bowel disease: A large longitudinal intercontinental study. </w:t>
      </w:r>
      <w:r>
        <w:rPr>
          <w:i/>
          <w:iCs/>
        </w:rPr>
        <w:t>Gut</w:t>
      </w:r>
      <w:r>
        <w:t xml:space="preserve">, </w:t>
      </w:r>
      <w:r>
        <w:rPr>
          <w:i/>
          <w:iCs/>
        </w:rPr>
        <w:t>70</w:t>
      </w:r>
      <w:r>
        <w:t>(3), 499–510. https://doi.org/10.1136/gutjnl-2020-321106</w:t>
      </w:r>
    </w:p>
    <w:p w14:paraId="3423833F" w14:textId="77777777" w:rsidR="00D9297E" w:rsidRDefault="00D9297E" w:rsidP="00D9297E">
      <w:pPr>
        <w:pStyle w:val="Bibliography"/>
      </w:pPr>
      <w:r>
        <w:t xml:space="preserve">Clooney, A. G., Fouhy, F., Sleator, R. D., O’ Driscoll, A., Stanton, C., Cotter, P. D., &amp; Claesson, M. J. (2016). Comparing Apples and Oranges?: Next Generation Sequencing and Its Impact on Microbiome Analysis. </w:t>
      </w:r>
      <w:r>
        <w:rPr>
          <w:i/>
          <w:iCs/>
        </w:rPr>
        <w:t>PloS One</w:t>
      </w:r>
      <w:r>
        <w:t xml:space="preserve">, </w:t>
      </w:r>
      <w:r>
        <w:rPr>
          <w:i/>
          <w:iCs/>
        </w:rPr>
        <w:t>11</w:t>
      </w:r>
      <w:r>
        <w:t>(2), e0148028. https://doi.org/10.1371/journal.pone.0148028</w:t>
      </w:r>
    </w:p>
    <w:p w14:paraId="516EDD14" w14:textId="77777777" w:rsidR="00D9297E" w:rsidRDefault="00D9297E" w:rsidP="00D9297E">
      <w:pPr>
        <w:pStyle w:val="Bibliography"/>
      </w:pPr>
      <w:r>
        <w:t xml:space="preserve">Cole, J. R., Wang, Q., Fish, J. A., Chai, B., McGarrell, D. M., Sun, Y., Brown, C. T., Porras-Alfaro, A., Kuske, C. R., &amp; Tiedje, J. M. (2014). Ribosomal Database Project: Data and tools for high throughput rRNA analysis. </w:t>
      </w:r>
      <w:r>
        <w:rPr>
          <w:i/>
          <w:iCs/>
        </w:rPr>
        <w:t>Nucleic Acids Research</w:t>
      </w:r>
      <w:r>
        <w:t xml:space="preserve">, </w:t>
      </w:r>
      <w:r>
        <w:rPr>
          <w:i/>
          <w:iCs/>
        </w:rPr>
        <w:t>42</w:t>
      </w:r>
      <w:r>
        <w:t>(Database issue), D633–D642. https://doi.org/10.1093/nar/gkt1244</w:t>
      </w:r>
    </w:p>
    <w:p w14:paraId="25243643" w14:textId="77777777" w:rsidR="00D9297E" w:rsidRDefault="00D9297E" w:rsidP="00D9297E">
      <w:pPr>
        <w:pStyle w:val="Bibliography"/>
      </w:pPr>
      <w:r>
        <w:t xml:space="preserve">Costello, E. K., Lauber, C. L., Hamady, M., Fierer, N., Gordon, J. I., &amp; Knight, R. (2009). Bacterial Community Variation in Human Body Habitats Across Space and Time. </w:t>
      </w:r>
      <w:r>
        <w:rPr>
          <w:i/>
          <w:iCs/>
        </w:rPr>
        <w:t>Science</w:t>
      </w:r>
      <w:r>
        <w:t xml:space="preserve">, </w:t>
      </w:r>
      <w:r>
        <w:rPr>
          <w:i/>
          <w:iCs/>
        </w:rPr>
        <w:t>326</w:t>
      </w:r>
      <w:r>
        <w:t>(5960), 1694–1697. https://doi.org/10.1126/science.1177486</w:t>
      </w:r>
    </w:p>
    <w:p w14:paraId="794274B0" w14:textId="77777777" w:rsidR="00D9297E" w:rsidRDefault="00D9297E" w:rsidP="00D9297E">
      <w:pPr>
        <w:pStyle w:val="Bibliography"/>
      </w:pPr>
      <w:r>
        <w:t xml:space="preserve">Croucher, N. J., Page, A. J., Connor, T. R., Delaney, A. J., Keane, J. A., Bentley, S. D., Parkhill, J., &amp; Harris, S. R. (2015). Rapid phylogenetic analysis of large samples of recombinant bacterial whole genome sequences using Gubbins. </w:t>
      </w:r>
      <w:r>
        <w:rPr>
          <w:i/>
          <w:iCs/>
        </w:rPr>
        <w:t>Nucleic Acids Research</w:t>
      </w:r>
      <w:r>
        <w:t xml:space="preserve">, </w:t>
      </w:r>
      <w:r>
        <w:rPr>
          <w:i/>
          <w:iCs/>
        </w:rPr>
        <w:t>43</w:t>
      </w:r>
      <w:r>
        <w:t>(3), e15. https://doi.org/10.1093/nar/gku1196</w:t>
      </w:r>
    </w:p>
    <w:p w14:paraId="058387AA" w14:textId="77777777" w:rsidR="00D9297E" w:rsidRDefault="00D9297E" w:rsidP="00D9297E">
      <w:pPr>
        <w:pStyle w:val="Bibliography"/>
      </w:pPr>
      <w:r>
        <w:t xml:space="preserve">Dapa, T., Wong, D. P., Vasquez, K. S., Xavier, K. B., Huang, K. C., &amp; Good, B. H. (2023). Within-host evolution of the gut microbiome. </w:t>
      </w:r>
      <w:r>
        <w:rPr>
          <w:i/>
          <w:iCs/>
        </w:rPr>
        <w:t>Current Opinion in Microbiology</w:t>
      </w:r>
      <w:r>
        <w:t xml:space="preserve">, </w:t>
      </w:r>
      <w:r>
        <w:rPr>
          <w:i/>
          <w:iCs/>
        </w:rPr>
        <w:t>71</w:t>
      </w:r>
      <w:r>
        <w:t>, 102258. https://doi.org/10.1016/j.mib.2022.102258</w:t>
      </w:r>
    </w:p>
    <w:p w14:paraId="21F844D3" w14:textId="77777777" w:rsidR="00D9297E" w:rsidRDefault="00D9297E" w:rsidP="00D9297E">
      <w:pPr>
        <w:pStyle w:val="Bibliography"/>
      </w:pPr>
      <w:r>
        <w:lastRenderedPageBreak/>
        <w:t xml:space="preserve">David, L. A., Materna, A. C., Friedman, J., Campos-Baptista, M. I., Blackburn, M. C., Perrotta, A., Erdman, S. E., &amp; Alm, E. J. (2014). Host lifestyle affects human microbiota on daily timescales. </w:t>
      </w:r>
      <w:r>
        <w:rPr>
          <w:i/>
          <w:iCs/>
        </w:rPr>
        <w:t>Genome Biology</w:t>
      </w:r>
      <w:r>
        <w:t xml:space="preserve">, </w:t>
      </w:r>
      <w:r>
        <w:rPr>
          <w:i/>
          <w:iCs/>
        </w:rPr>
        <w:t>15</w:t>
      </w:r>
      <w:r>
        <w:t>(7), R89. https://doi.org/10.1186/gb-2014-15-7-r89</w:t>
      </w:r>
    </w:p>
    <w:p w14:paraId="4C7511BE" w14:textId="77777777" w:rsidR="00D9297E" w:rsidRDefault="00D9297E" w:rsidP="00D9297E">
      <w:pPr>
        <w:pStyle w:val="Bibliography"/>
      </w:pPr>
      <w:r>
        <w:t xml:space="preserve">De Coster, W., D’Hert, S., Schultz, D. T., Cruts, M., &amp; Van Broeckhoven, C. (2018). NanoPack: Visualizing and processing long-read sequencing data. </w:t>
      </w:r>
      <w:r>
        <w:rPr>
          <w:i/>
          <w:iCs/>
        </w:rPr>
        <w:t>Bioinformatics</w:t>
      </w:r>
      <w:r>
        <w:t xml:space="preserve">, </w:t>
      </w:r>
      <w:r>
        <w:rPr>
          <w:i/>
          <w:iCs/>
        </w:rPr>
        <w:t>34</w:t>
      </w:r>
      <w:r>
        <w:t>(15), 2666–2669. https://doi.org/10.1093/bioinformatics/bty149</w:t>
      </w:r>
    </w:p>
    <w:p w14:paraId="42367D9D" w14:textId="77777777" w:rsidR="00D9297E" w:rsidRDefault="00D9297E" w:rsidP="00D9297E">
      <w:pPr>
        <w:pStyle w:val="Bibliography"/>
      </w:pPr>
      <w:r>
        <w:t xml:space="preserve">De Coster, W., &amp; Rademakers, R. (2023). NanoPack2: Population-scale evaluation of long-read sequencing data. </w:t>
      </w:r>
      <w:r>
        <w:rPr>
          <w:i/>
          <w:iCs/>
        </w:rPr>
        <w:t>Bioinformatics</w:t>
      </w:r>
      <w:r>
        <w:t xml:space="preserve">, </w:t>
      </w:r>
      <w:r>
        <w:rPr>
          <w:i/>
          <w:iCs/>
        </w:rPr>
        <w:t>39</w:t>
      </w:r>
      <w:r>
        <w:t>(5), btad311. https://doi.org/10.1093/bioinformatics/btad311</w:t>
      </w:r>
    </w:p>
    <w:p w14:paraId="3F7DD6D6" w14:textId="77777777" w:rsidR="00D9297E" w:rsidRDefault="00D9297E" w:rsidP="00D9297E">
      <w:pPr>
        <w:pStyle w:val="Bibliography"/>
      </w:pPr>
      <w:r>
        <w:t xml:space="preserve">Deatherage, D. E., &amp; Barrick, J. E. (2014). Identification of mutations in laboratory evolved microbes from next-generation sequencing data using breseq. </w:t>
      </w:r>
      <w:r>
        <w:rPr>
          <w:i/>
          <w:iCs/>
        </w:rPr>
        <w:t>Methods in Molecular Biology (Clifton, N.J.)</w:t>
      </w:r>
      <w:r>
        <w:t xml:space="preserve">, </w:t>
      </w:r>
      <w:r>
        <w:rPr>
          <w:i/>
          <w:iCs/>
        </w:rPr>
        <w:t>1151</w:t>
      </w:r>
      <w:r>
        <w:t>, 165–188. https://doi.org/10.1007/978-1-4939-0554-6_12</w:t>
      </w:r>
    </w:p>
    <w:p w14:paraId="59A7B1AC" w14:textId="77777777" w:rsidR="00D9297E" w:rsidRDefault="00D9297E" w:rsidP="00D9297E">
      <w:pPr>
        <w:pStyle w:val="Bibliography"/>
      </w:pPr>
      <w:r>
        <w:t xml:space="preserve">Dobovišek, U. (2021). </w:t>
      </w:r>
      <w:r>
        <w:rPr>
          <w:i/>
          <w:iCs/>
        </w:rPr>
        <w:t>Optimizacija metod za osamitev sporogenih bakterij iz fecesa človeka</w:t>
      </w:r>
      <w:r>
        <w:t xml:space="preserve"> [Thesis, Univerza v Ljubljani, Biotehniška fakulteta]. https://repozitorij.uni-lj.si/IzpisGradiva.php?id=131236</w:t>
      </w:r>
    </w:p>
    <w:p w14:paraId="1157FCD6" w14:textId="77777777" w:rsidR="00D9297E" w:rsidRDefault="00D9297E" w:rsidP="00D9297E">
      <w:pPr>
        <w:pStyle w:val="Bibliography"/>
      </w:pPr>
      <w:r>
        <w:t xml:space="preserve">Donelli, G., Vuotto, C., Cardines, R., &amp; Mastrantonio, P. (2012). Biofilm-growing intestinal anaerobic bacteria. </w:t>
      </w:r>
      <w:r>
        <w:rPr>
          <w:i/>
          <w:iCs/>
        </w:rPr>
        <w:t>FEMS Immunology and Medical Microbiology</w:t>
      </w:r>
      <w:r>
        <w:t xml:space="preserve">, </w:t>
      </w:r>
      <w:r>
        <w:rPr>
          <w:i/>
          <w:iCs/>
        </w:rPr>
        <w:t>65</w:t>
      </w:r>
      <w:r>
        <w:t>(2), 318–325. https://doi.org/10.1111/j.1574-695X.2012.00962.x</w:t>
      </w:r>
    </w:p>
    <w:p w14:paraId="778B600D" w14:textId="77777777" w:rsidR="00D9297E" w:rsidRDefault="00D9297E" w:rsidP="00D9297E">
      <w:pPr>
        <w:pStyle w:val="Bibliography"/>
      </w:pPr>
      <w:r>
        <w:t xml:space="preserve">Dubois, G., Girard, C., Lapointe, F.-J., &amp; Shapiro, B. J. (2017). The Inuit gut microbiome is dynamic over time and shaped by traditional foods. </w:t>
      </w:r>
      <w:r>
        <w:rPr>
          <w:i/>
          <w:iCs/>
        </w:rPr>
        <w:t>Microbiome</w:t>
      </w:r>
      <w:r>
        <w:t xml:space="preserve">, </w:t>
      </w:r>
      <w:r>
        <w:rPr>
          <w:i/>
          <w:iCs/>
        </w:rPr>
        <w:t>5</w:t>
      </w:r>
      <w:r>
        <w:t>(1), 151. https://doi.org/10.1186/s40168-017-0370-7</w:t>
      </w:r>
    </w:p>
    <w:p w14:paraId="38F0C969" w14:textId="77777777" w:rsidR="00D9297E" w:rsidRDefault="00D9297E" w:rsidP="00D9297E">
      <w:pPr>
        <w:pStyle w:val="Bibliography"/>
      </w:pPr>
      <w:r>
        <w:t xml:space="preserve">Duytschaever, G., Huys, G., Bekaert, M., Boulanger, L., De Boeck, K., &amp; Vandamme, P. (2011). Cross-sectional and longitudinal comparisons of the predominant fecal microbiota </w:t>
      </w:r>
      <w:r>
        <w:lastRenderedPageBreak/>
        <w:t xml:space="preserve">compositions of a group of pediatric patients with cystic fibrosis and their healthy siblings. </w:t>
      </w:r>
      <w:r>
        <w:rPr>
          <w:i/>
          <w:iCs/>
        </w:rPr>
        <w:t>Applied and Environmental Microbiology</w:t>
      </w:r>
      <w:r>
        <w:t xml:space="preserve">, </w:t>
      </w:r>
      <w:r>
        <w:rPr>
          <w:i/>
          <w:iCs/>
        </w:rPr>
        <w:t>77</w:t>
      </w:r>
      <w:r>
        <w:t>(22), 8015–8024. https://doi.org/10.1128/AEM.05933-11</w:t>
      </w:r>
    </w:p>
    <w:p w14:paraId="086B9033" w14:textId="77777777" w:rsidR="00D9297E" w:rsidRDefault="00D9297E" w:rsidP="00D9297E">
      <w:pPr>
        <w:pStyle w:val="Bibliography"/>
      </w:pPr>
      <w:r>
        <w:t xml:space="preserve">Edgar, R. C. (2016). </w:t>
      </w:r>
      <w:r>
        <w:rPr>
          <w:i/>
          <w:iCs/>
        </w:rPr>
        <w:t>UCHIME2: Improved chimera prediction for amplicon sequencing</w:t>
      </w:r>
      <w:r>
        <w:t xml:space="preserve"> (p. 074252). bioRxiv. https://doi.org/10.1101/074252</w:t>
      </w:r>
    </w:p>
    <w:p w14:paraId="218799D8" w14:textId="77777777" w:rsidR="00D9297E" w:rsidRDefault="00D9297E" w:rsidP="00D9297E">
      <w:pPr>
        <w:pStyle w:val="Bibliography"/>
      </w:pPr>
      <w:r>
        <w:t xml:space="preserve">Edgar, R. C., Haas, B. J., Clemente, J. C., Quince, C., &amp; Knight, R. (2011). UCHIME improves sensitivity and speed of chimera detection. </w:t>
      </w:r>
      <w:r>
        <w:rPr>
          <w:i/>
          <w:iCs/>
        </w:rPr>
        <w:t>Bioinformatics</w:t>
      </w:r>
      <w:r>
        <w:t xml:space="preserve">, </w:t>
      </w:r>
      <w:r>
        <w:rPr>
          <w:i/>
          <w:iCs/>
        </w:rPr>
        <w:t>27</w:t>
      </w:r>
      <w:r>
        <w:t>(16), 2194–2200. https://doi.org/10.1093/bioinformatics/btr381</w:t>
      </w:r>
    </w:p>
    <w:p w14:paraId="6A25B87A" w14:textId="77777777" w:rsidR="00D9297E" w:rsidRDefault="00D9297E" w:rsidP="00D9297E">
      <w:pPr>
        <w:pStyle w:val="Bibliography"/>
      </w:pPr>
      <w:r>
        <w:t xml:space="preserve">Egan, M., Dempsey, E., Ryan, C. A., Ross, R. P., &amp; Stanton, C. (2021). The Sporobiota of the Human Gut. </w:t>
      </w:r>
      <w:r>
        <w:rPr>
          <w:i/>
          <w:iCs/>
        </w:rPr>
        <w:t>Gut Microbes</w:t>
      </w:r>
      <w:r>
        <w:t xml:space="preserve">, </w:t>
      </w:r>
      <w:r>
        <w:rPr>
          <w:i/>
          <w:iCs/>
        </w:rPr>
        <w:t>13</w:t>
      </w:r>
      <w:r>
        <w:t>(1), 1863134. https://doi.org/10.1080/19490976.2020.1863134</w:t>
      </w:r>
    </w:p>
    <w:p w14:paraId="44230553" w14:textId="77777777" w:rsidR="00D9297E" w:rsidRDefault="00D9297E" w:rsidP="00D9297E">
      <w:pPr>
        <w:pStyle w:val="Bibliography"/>
      </w:pPr>
      <w:r>
        <w:t xml:space="preserve">Faith, J. J., Guruge, J. L., Charbonneau, M., Subramanian, S., Seedorf, H., Goodman, A. L., Clemente, J. C., Knight, R., Heath, A. C., Leibel, R. L., Rosenbaum, M., &amp; Gordon, J. I. (2013). The long-term stability of the human gut microbiota. </w:t>
      </w:r>
      <w:r>
        <w:rPr>
          <w:i/>
          <w:iCs/>
        </w:rPr>
        <w:t>Science (New York, N.Y.)</w:t>
      </w:r>
      <w:r>
        <w:t xml:space="preserve">, </w:t>
      </w:r>
      <w:r>
        <w:rPr>
          <w:i/>
          <w:iCs/>
        </w:rPr>
        <w:t>341</w:t>
      </w:r>
      <w:r>
        <w:t>(6141), 1237439. https://doi.org/10.1126/science.1237439</w:t>
      </w:r>
    </w:p>
    <w:p w14:paraId="0E90154D" w14:textId="77777777" w:rsidR="00D9297E" w:rsidRDefault="00D9297E" w:rsidP="00D9297E">
      <w:pPr>
        <w:pStyle w:val="Bibliography"/>
      </w:pPr>
      <w:r>
        <w:t xml:space="preserve">Fakhry, S., Sorrentini, I., Ricca, E., De Felice, M., &amp; Baccigalupi, L. (2008). Characterization of spore forming Bacilli isolated from the human gastrointestinal tract. </w:t>
      </w:r>
      <w:r>
        <w:rPr>
          <w:i/>
          <w:iCs/>
        </w:rPr>
        <w:t>Journal of Applied Microbiology</w:t>
      </w:r>
      <w:r>
        <w:t xml:space="preserve">, </w:t>
      </w:r>
      <w:r>
        <w:rPr>
          <w:i/>
          <w:iCs/>
        </w:rPr>
        <w:t>105</w:t>
      </w:r>
      <w:r>
        <w:t>(6), 2178–2186. https://doi.org/10.1111/j.1365-2672.2008.03934.x</w:t>
      </w:r>
    </w:p>
    <w:p w14:paraId="488DDDC6" w14:textId="77777777" w:rsidR="00D9297E" w:rsidRDefault="00D9297E" w:rsidP="00D9297E">
      <w:pPr>
        <w:pStyle w:val="Bibliography"/>
      </w:pPr>
      <w:r>
        <w:t xml:space="preserve">Feldgarden, M., Brover, V., Gonzalez-Escalona, N., Frye, J. G., Haendiges, J., Haft, D. H., Hoffmann, M., Pettengill, J. B., Prasad, A. B., Tillman, G. E., Tyson, G. H., &amp; Klimke, W. (2021). AMRFinderPlus and the Reference Gene Catalog facilitate examination of the genomic links among antimicrobial resistance, stress response, and virulence. </w:t>
      </w:r>
      <w:r>
        <w:rPr>
          <w:i/>
          <w:iCs/>
        </w:rPr>
        <w:t>Scientific Reports</w:t>
      </w:r>
      <w:r>
        <w:t xml:space="preserve">, </w:t>
      </w:r>
      <w:r>
        <w:rPr>
          <w:i/>
          <w:iCs/>
        </w:rPr>
        <w:t>11</w:t>
      </w:r>
      <w:r>
        <w:t>(1), 12728. https://doi.org/10.1038/s41598-021-91456-0</w:t>
      </w:r>
    </w:p>
    <w:p w14:paraId="0581D49E" w14:textId="77777777" w:rsidR="00D9297E" w:rsidRDefault="00D9297E" w:rsidP="00D9297E">
      <w:pPr>
        <w:pStyle w:val="Bibliography"/>
      </w:pPr>
      <w:r>
        <w:lastRenderedPageBreak/>
        <w:t xml:space="preserve">Feldgarden, M., Brover, V., Haft, D. H., Prasad, A. B., Slotta, D. J., Tolstoy, I., Tyson, G. H., Zhao, S., Hsu, C.-H., McDermott, P. F., Tadesse, D. A., Morales, C., Simmons, M., Tillman, G., Wasilenko, J., Folster, J. P., &amp; Klimke, W. (2019). Validating the AMRFinder Tool and Resistance Gene Database by Using Antimicrobial Resistance Genotype-Phenotype Correlations in a Collection of Isolates. </w:t>
      </w:r>
      <w:r>
        <w:rPr>
          <w:i/>
          <w:iCs/>
        </w:rPr>
        <w:t>Antimicrobial Agents and Chemotherapy</w:t>
      </w:r>
      <w:r>
        <w:t xml:space="preserve">, </w:t>
      </w:r>
      <w:r>
        <w:rPr>
          <w:i/>
          <w:iCs/>
        </w:rPr>
        <w:t>63</w:t>
      </w:r>
      <w:r>
        <w:t>(11), e00483-19. https://doi.org/10.1128/AAC.00483-19</w:t>
      </w:r>
    </w:p>
    <w:p w14:paraId="60C66326" w14:textId="77777777" w:rsidR="00D9297E" w:rsidRDefault="00D9297E" w:rsidP="00D9297E">
      <w:pPr>
        <w:pStyle w:val="Bibliography"/>
      </w:pPr>
      <w:r>
        <w:t xml:space="preserve">Figueroa, I., Johnson, S., Sambol, S. P., Goldstein, E. J. C., Citron, D. M., &amp; Gerding, D. N. (2012). Relapse versus reinfection: Recurrent Clostridium difficile infection following treatment with fidaxomicin or vancomycin. </w:t>
      </w:r>
      <w:r>
        <w:rPr>
          <w:i/>
          <w:iCs/>
        </w:rPr>
        <w:t>Clinical Infectious Diseases: An Official Publication of the Infectious Diseases Society of America</w:t>
      </w:r>
      <w:r>
        <w:t xml:space="preserve">, </w:t>
      </w:r>
      <w:r>
        <w:rPr>
          <w:i/>
          <w:iCs/>
        </w:rPr>
        <w:t>55 Suppl 2</w:t>
      </w:r>
      <w:r>
        <w:t>(Suppl 2), S104-109. https://doi.org/10.1093/cid/cis357</w:t>
      </w:r>
    </w:p>
    <w:p w14:paraId="35D69A06" w14:textId="77777777" w:rsidR="00D9297E" w:rsidRDefault="00D9297E" w:rsidP="00D9297E">
      <w:pPr>
        <w:pStyle w:val="Bibliography"/>
      </w:pPr>
      <w:r>
        <w:t xml:space="preserve">Flores, G. E., Caporaso, J. G., Henley, J. B., Rideout, J. R., Domogala, D., Chase, J., Leff, J. W., Vázquez-Baeza, Y., Gonzalez, A., Knight, R., Dunn, R. R., &amp; Fierer, N. (2014). Temporal variability is a personalized feature of the human microbiome. </w:t>
      </w:r>
      <w:r>
        <w:rPr>
          <w:i/>
          <w:iCs/>
        </w:rPr>
        <w:t>Genome Biology</w:t>
      </w:r>
      <w:r>
        <w:t xml:space="preserve">, </w:t>
      </w:r>
      <w:r>
        <w:rPr>
          <w:i/>
          <w:iCs/>
        </w:rPr>
        <w:t>15</w:t>
      </w:r>
      <w:r>
        <w:t>(12), 531. https://doi.org/10.1186/s13059-014-0531-y</w:t>
      </w:r>
    </w:p>
    <w:p w14:paraId="04DF9D44" w14:textId="77777777" w:rsidR="00D9297E" w:rsidRDefault="00D9297E" w:rsidP="00D9297E">
      <w:pPr>
        <w:pStyle w:val="Bibliography"/>
      </w:pPr>
      <w:r>
        <w:t xml:space="preserve">Fu, B. C., Randolph, T. W., Lim, U., Monroe, K. R., Cheng, I., Wilkens, L. R., Le Marchand, L., Lampe, J. W., &amp; Hullar, M. A. J. (2019). Temporal Variability and Stability of the Fecal Microbiome: The Multiethnic Cohort Study. </w:t>
      </w:r>
      <w:r>
        <w:rPr>
          <w:i/>
          <w:iCs/>
        </w:rPr>
        <w:t>Cancer Epidemiology, Biomarkers &amp; Prevention: A Publication of the American Association for Cancer Research, Cosponsored by the American Society of Preventive Oncology</w:t>
      </w:r>
      <w:r>
        <w:t xml:space="preserve">, </w:t>
      </w:r>
      <w:r>
        <w:rPr>
          <w:i/>
          <w:iCs/>
        </w:rPr>
        <w:t>28</w:t>
      </w:r>
      <w:r>
        <w:t>(1), 154–162. https://doi.org/10.1158/1055-9965.EPI-18-0348</w:t>
      </w:r>
    </w:p>
    <w:p w14:paraId="11A0FF51" w14:textId="77777777" w:rsidR="00D9297E" w:rsidRDefault="00D9297E" w:rsidP="00D9297E">
      <w:pPr>
        <w:pStyle w:val="Bibliography"/>
      </w:pPr>
      <w:r>
        <w:lastRenderedPageBreak/>
        <w:t xml:space="preserve">Gall-David, S. L., Boudry, G., &amp; Buffet-Bataillon, S. (2023). Comparison of Four DNA Extraction Kits Efficiency for 16SrDNA Microbiota Profiling of Diverse Human Samples. </w:t>
      </w:r>
      <w:r>
        <w:rPr>
          <w:i/>
          <w:iCs/>
        </w:rPr>
        <w:t>Future Science OA</w:t>
      </w:r>
      <w:r>
        <w:t xml:space="preserve">, </w:t>
      </w:r>
      <w:r>
        <w:rPr>
          <w:i/>
          <w:iCs/>
        </w:rPr>
        <w:t>9</w:t>
      </w:r>
      <w:r>
        <w:t>(1), FSO837. https://doi.org/10.2144/fsoa-2022-0072</w:t>
      </w:r>
    </w:p>
    <w:p w14:paraId="686F7015" w14:textId="77777777" w:rsidR="00D9297E" w:rsidRDefault="00D9297E" w:rsidP="00D9297E">
      <w:pPr>
        <w:pStyle w:val="Bibliography"/>
      </w:pPr>
      <w:r>
        <w:t xml:space="preserve">Galperin, M. Y. (2013). Genome Diversity of Spore-Forming Firmicutes. </w:t>
      </w:r>
      <w:r>
        <w:rPr>
          <w:i/>
          <w:iCs/>
        </w:rPr>
        <w:t>Microbiology Spectrum</w:t>
      </w:r>
      <w:r>
        <w:t xml:space="preserve">, </w:t>
      </w:r>
      <w:r>
        <w:rPr>
          <w:i/>
          <w:iCs/>
        </w:rPr>
        <w:t>1</w:t>
      </w:r>
      <w:r>
        <w:t>(2), TBS-0015-2012. https://doi.org/10.1128/microbiolspectrum.TBS-0015-2012</w:t>
      </w:r>
    </w:p>
    <w:p w14:paraId="162BD589" w14:textId="77777777" w:rsidR="00D9297E" w:rsidRDefault="00D9297E" w:rsidP="00D9297E">
      <w:pPr>
        <w:pStyle w:val="Bibliography"/>
      </w:pPr>
      <w:r>
        <w:t xml:space="preserve">Galperin, M. Y., Yutin, N., Wolf, Y. I., Vera Alvarez, R., &amp; Koonin, E. V. (2022). Conservation and Evolution of the Sporulation Gene Set in Diverse Members of the </w:t>
      </w:r>
      <w:r>
        <w:rPr>
          <w:i/>
          <w:iCs/>
        </w:rPr>
        <w:t>Firmicutes</w:t>
      </w:r>
      <w:r>
        <w:t xml:space="preserve">. </w:t>
      </w:r>
      <w:r>
        <w:rPr>
          <w:i/>
          <w:iCs/>
        </w:rPr>
        <w:t>Journal of Bacteriology</w:t>
      </w:r>
      <w:r>
        <w:t xml:space="preserve">, </w:t>
      </w:r>
      <w:r>
        <w:rPr>
          <w:i/>
          <w:iCs/>
        </w:rPr>
        <w:t>204</w:t>
      </w:r>
      <w:r>
        <w:t>(6), e00079-22. https://doi.org/10.1128/jb.00079-22</w:t>
      </w:r>
    </w:p>
    <w:p w14:paraId="2AAB9E92" w14:textId="77777777" w:rsidR="00D9297E" w:rsidRDefault="00D9297E" w:rsidP="00D9297E">
      <w:pPr>
        <w:pStyle w:val="Bibliography"/>
      </w:pPr>
      <w:r>
        <w:t xml:space="preserve">Garud, N. R., Good, B. H., Hallatschek, O., &amp; Pollard, K. S. (2019). Evolutionary dynamics of bacteria in the gut microbiome within and across hosts. </w:t>
      </w:r>
      <w:r>
        <w:rPr>
          <w:i/>
          <w:iCs/>
        </w:rPr>
        <w:t>PLOS Biology</w:t>
      </w:r>
      <w:r>
        <w:t xml:space="preserve">, </w:t>
      </w:r>
      <w:r>
        <w:rPr>
          <w:i/>
          <w:iCs/>
        </w:rPr>
        <w:t>17</w:t>
      </w:r>
      <w:r>
        <w:t>(1), e3000102. https://doi.org/10.1371/journal.pbio.3000102</w:t>
      </w:r>
    </w:p>
    <w:p w14:paraId="14EF0A8D" w14:textId="77777777" w:rsidR="00D9297E" w:rsidRDefault="00D9297E" w:rsidP="00D9297E">
      <w:pPr>
        <w:pStyle w:val="Bibliography"/>
      </w:pPr>
      <w:r>
        <w:t xml:space="preserve">Garud, N. R., &amp; Pollard, K. S. (2020). Population Genetics in the Human Microbiome. </w:t>
      </w:r>
      <w:r>
        <w:rPr>
          <w:i/>
          <w:iCs/>
        </w:rPr>
        <w:t>Trends in Genetics</w:t>
      </w:r>
      <w:r>
        <w:t xml:space="preserve">, </w:t>
      </w:r>
      <w:r>
        <w:rPr>
          <w:i/>
          <w:iCs/>
        </w:rPr>
        <w:t>36</w:t>
      </w:r>
      <w:r>
        <w:t>(1), 53–67. https://doi.org/10.1016/j.tig.2019.10.010</w:t>
      </w:r>
    </w:p>
    <w:p w14:paraId="31748FF3" w14:textId="77777777" w:rsidR="00D9297E" w:rsidRDefault="00D9297E" w:rsidP="00D9297E">
      <w:pPr>
        <w:pStyle w:val="Bibliography"/>
      </w:pPr>
      <w:r>
        <w:rPr>
          <w:i/>
          <w:iCs/>
        </w:rPr>
        <w:t>Ggplot2 Based Publication Ready Plots</w:t>
      </w:r>
      <w:r>
        <w:t>. (n.d.). Retrieved November 7, 2025, from https://rpkgs.datanovia.com/ggpubr/</w:t>
      </w:r>
    </w:p>
    <w:p w14:paraId="5FC3371D" w14:textId="77777777" w:rsidR="00D9297E" w:rsidRDefault="00D9297E" w:rsidP="00D9297E">
      <w:pPr>
        <w:pStyle w:val="Bibliography"/>
      </w:pPr>
      <w:r>
        <w:t xml:space="preserve">Grimm, V., &amp; Wissel, C. (1996). Babel, or The Ecological Stability Discussions: An Inventory and Analysis of Terminology and A Guide for Avoiding Confusion. </w:t>
      </w:r>
      <w:r>
        <w:rPr>
          <w:i/>
          <w:iCs/>
        </w:rPr>
        <w:t>Oecologia</w:t>
      </w:r>
      <w:r>
        <w:t xml:space="preserve">, </w:t>
      </w:r>
      <w:r>
        <w:rPr>
          <w:i/>
          <w:iCs/>
        </w:rPr>
        <w:t>109</w:t>
      </w:r>
      <w:r>
        <w:t>, 323–334. https://doi.org/10.1007/s004420050090</w:t>
      </w:r>
    </w:p>
    <w:p w14:paraId="5F264B92" w14:textId="77777777" w:rsidR="00D9297E" w:rsidRDefault="00D9297E" w:rsidP="00D9297E">
      <w:pPr>
        <w:pStyle w:val="Bibliography"/>
      </w:pPr>
      <w:r>
        <w:t xml:space="preserve">Gurevich, A., Saveliev, V., Vyahhi, N., &amp; Tesler, G. (2013). QUAST: Quality assessment tool for genome assemblies. </w:t>
      </w:r>
      <w:r>
        <w:rPr>
          <w:i/>
          <w:iCs/>
        </w:rPr>
        <w:t>Bioinformatics</w:t>
      </w:r>
      <w:r>
        <w:t xml:space="preserve">, </w:t>
      </w:r>
      <w:r>
        <w:rPr>
          <w:i/>
          <w:iCs/>
        </w:rPr>
        <w:t>29</w:t>
      </w:r>
      <w:r>
        <w:t>(8), 1072–1075. https://doi.org/10.1093/bioinformatics/btt086</w:t>
      </w:r>
    </w:p>
    <w:p w14:paraId="5B2DF96D" w14:textId="77777777" w:rsidR="00D9297E" w:rsidRDefault="00D9297E" w:rsidP="00D9297E">
      <w:pPr>
        <w:pStyle w:val="Bibliography"/>
      </w:pPr>
      <w:r>
        <w:lastRenderedPageBreak/>
        <w:t xml:space="preserve">Hadfield, J., Croucher, N. J., Goater, R. J., Abudahab, K., Aanensen, D. M., &amp; Harris, S. R. (2018). Phandango: An interactive viewer for bacterial population genomics. </w:t>
      </w:r>
      <w:r>
        <w:rPr>
          <w:i/>
          <w:iCs/>
        </w:rPr>
        <w:t>Bioinformatics</w:t>
      </w:r>
      <w:r>
        <w:t xml:space="preserve">, </w:t>
      </w:r>
      <w:r>
        <w:rPr>
          <w:i/>
          <w:iCs/>
        </w:rPr>
        <w:t>34</w:t>
      </w:r>
      <w:r>
        <w:t>(2), 292–293. https://doi.org/10.1093/bioinformatics/btx610</w:t>
      </w:r>
    </w:p>
    <w:p w14:paraId="0DC6BF31" w14:textId="77777777" w:rsidR="00D9297E" w:rsidRDefault="00D9297E" w:rsidP="00D9297E">
      <w:pPr>
        <w:pStyle w:val="Bibliography"/>
      </w:pPr>
      <w:r>
        <w:t xml:space="preserve">Hao, Z., Li, L., Fu, Y., &amp; Liu, H. (2018). The influence of bioregenerative life-support system dietary structure and lifestyle on the gut microbiota: A 105-day ground-based space simulation in Lunar Palace 1. </w:t>
      </w:r>
      <w:r>
        <w:rPr>
          <w:i/>
          <w:iCs/>
        </w:rPr>
        <w:t>Environmental Microbiology</w:t>
      </w:r>
      <w:r>
        <w:t xml:space="preserve">, </w:t>
      </w:r>
      <w:r>
        <w:rPr>
          <w:i/>
          <w:iCs/>
        </w:rPr>
        <w:t>20</w:t>
      </w:r>
      <w:r>
        <w:t>(10), 3643–3656. https://doi.org/10.1111/1462-2920.14358</w:t>
      </w:r>
    </w:p>
    <w:p w14:paraId="1CA16031" w14:textId="77777777" w:rsidR="00D9297E" w:rsidRDefault="00D9297E" w:rsidP="00D9297E">
      <w:pPr>
        <w:pStyle w:val="Bibliography"/>
      </w:pPr>
      <w:r>
        <w:t xml:space="preserve">Heidrich, V., Valles-Colomer, M., &amp; Segata, N. (2025). Human microbiome acquisition and transmission. </w:t>
      </w:r>
      <w:r>
        <w:rPr>
          <w:i/>
          <w:iCs/>
        </w:rPr>
        <w:t>Nature Reviews Microbiology</w:t>
      </w:r>
      <w:r>
        <w:t xml:space="preserve">, </w:t>
      </w:r>
      <w:r>
        <w:rPr>
          <w:i/>
          <w:iCs/>
        </w:rPr>
        <w:t>23</w:t>
      </w:r>
      <w:r>
        <w:t>(9), 568–584. https://doi.org/10.1038/s41579-025-01166-x</w:t>
      </w:r>
    </w:p>
    <w:p w14:paraId="75F403C6" w14:textId="77777777" w:rsidR="00D9297E" w:rsidRDefault="00D9297E" w:rsidP="00D9297E">
      <w:pPr>
        <w:pStyle w:val="Bibliography"/>
      </w:pPr>
      <w:r>
        <w:t xml:space="preserve">Hisada, T., Endoh, K., &amp; Kuriki, K. (2015). Inter- and intra-individual variations in seasonal and daily stabilities of the human gut microbiota in Japanese. </w:t>
      </w:r>
      <w:r>
        <w:rPr>
          <w:i/>
          <w:iCs/>
        </w:rPr>
        <w:t>Archives of Microbiology</w:t>
      </w:r>
      <w:r>
        <w:t xml:space="preserve">, </w:t>
      </w:r>
      <w:r>
        <w:rPr>
          <w:i/>
          <w:iCs/>
        </w:rPr>
        <w:t>197</w:t>
      </w:r>
      <w:r>
        <w:t>(7), 919–934. https://doi.org/10.1007/s00203-015-1125-0</w:t>
      </w:r>
    </w:p>
    <w:p w14:paraId="2D41CA2D" w14:textId="77777777" w:rsidR="00D9297E" w:rsidRDefault="00D9297E" w:rsidP="00D9297E">
      <w:pPr>
        <w:pStyle w:val="Bibliography"/>
      </w:pPr>
      <w:r>
        <w:t xml:space="preserve">Ho, J., Yeoh, Y. K., Barua, N., Chen, Z., Lui, G., Wong, S. H., Yang, X., Chan, M. C., Chan, P. K., Hawkey, P. M., &amp; Ip, M. (2020). Systematic review of human gut resistome studies revealed variable definitions and approaches. </w:t>
      </w:r>
      <w:r>
        <w:rPr>
          <w:i/>
          <w:iCs/>
        </w:rPr>
        <w:t>Gut Microbes</w:t>
      </w:r>
      <w:r>
        <w:t xml:space="preserve">, </w:t>
      </w:r>
      <w:r>
        <w:rPr>
          <w:i/>
          <w:iCs/>
        </w:rPr>
        <w:t>12</w:t>
      </w:r>
      <w:r>
        <w:t>(1), 1700755. https://doi.org/10.1080/19490976.2019.1700755</w:t>
      </w:r>
    </w:p>
    <w:p w14:paraId="4FF5F4F1" w14:textId="77777777" w:rsidR="00D9297E" w:rsidRDefault="00D9297E" w:rsidP="00D9297E">
      <w:pPr>
        <w:pStyle w:val="Bibliography"/>
      </w:pPr>
      <w:r>
        <w:t xml:space="preserve">Hodgkinson, K., El Abbar, F., Dobranowski, P., Manoogian, J., Butcher, J., Figeys, D., Mack, D., &amp; Stintzi, A. (2023). Butyrate’s role in human health and the current progress towards its clinical application to treat gastrointestinal disease. </w:t>
      </w:r>
      <w:r>
        <w:rPr>
          <w:i/>
          <w:iCs/>
        </w:rPr>
        <w:t>Clinical Nutrition</w:t>
      </w:r>
      <w:r>
        <w:t xml:space="preserve">, </w:t>
      </w:r>
      <w:r>
        <w:rPr>
          <w:i/>
          <w:iCs/>
        </w:rPr>
        <w:t>42</w:t>
      </w:r>
      <w:r>
        <w:t>(2), 61–75. https://doi.org/10.1016/j.clnu.2022.10.024</w:t>
      </w:r>
    </w:p>
    <w:p w14:paraId="29C29E2A" w14:textId="77777777" w:rsidR="00D9297E" w:rsidRDefault="00D9297E" w:rsidP="00D9297E">
      <w:pPr>
        <w:pStyle w:val="Bibliography"/>
      </w:pPr>
      <w:r>
        <w:lastRenderedPageBreak/>
        <w:t xml:space="preserve">Hua, X., Cao, Y., Morgan, D. M., Miller, K., Chin, S. M., Bellavance, D., &amp; Khalili, H. 2022. (n.d.). Longitudinal analysis of the impact of oral contraceptive use on the gut microbiome. </w:t>
      </w:r>
      <w:r>
        <w:rPr>
          <w:i/>
          <w:iCs/>
        </w:rPr>
        <w:t>Journal of Medical Microbiology</w:t>
      </w:r>
      <w:r>
        <w:t xml:space="preserve">, </w:t>
      </w:r>
      <w:r>
        <w:rPr>
          <w:i/>
          <w:iCs/>
        </w:rPr>
        <w:t>71</w:t>
      </w:r>
      <w:r>
        <w:t>(4), 001512. https://doi.org/10.1099/jmm.0.001512</w:t>
      </w:r>
    </w:p>
    <w:p w14:paraId="2A3A7837" w14:textId="77777777" w:rsidR="00D9297E" w:rsidRDefault="00D9297E" w:rsidP="00D9297E">
      <w:pPr>
        <w:pStyle w:val="Bibliography"/>
      </w:pPr>
      <w:r>
        <w:t xml:space="preserve">Huang, Y., Sheth, R. U., Zhao, S., Cohen, L. A., Dabaghi, K., Moody, T., Sun, Y., Ricaurte, D., Richardson, M., Velez-Cortes, F., Blazejewski, T., Kaufman, A., Ronda, C., &amp; Wang, H. H. (2023). High-throughput microbial culturomics using automation and machine learning. </w:t>
      </w:r>
      <w:r>
        <w:rPr>
          <w:i/>
          <w:iCs/>
        </w:rPr>
        <w:t>Nature Biotechnology</w:t>
      </w:r>
      <w:r>
        <w:t xml:space="preserve">, </w:t>
      </w:r>
      <w:r>
        <w:rPr>
          <w:i/>
          <w:iCs/>
        </w:rPr>
        <w:t>41</w:t>
      </w:r>
      <w:r>
        <w:t>(10), 1424–1433. https://doi.org/10.1038/s41587-023-01674-2</w:t>
      </w:r>
    </w:p>
    <w:p w14:paraId="2022B059" w14:textId="77777777" w:rsidR="00D9297E" w:rsidRDefault="00D9297E" w:rsidP="00D9297E">
      <w:pPr>
        <w:pStyle w:val="Bibliography"/>
      </w:pPr>
      <w:r>
        <w:t xml:space="preserve">Hutchison, E. A., Miller, D. A., &amp; Angert, E. R. (2014). Sporulation in Bacteria: Beyond the Standard Model. </w:t>
      </w:r>
      <w:r>
        <w:rPr>
          <w:i/>
          <w:iCs/>
        </w:rPr>
        <w:t>Microbiology Spectrum</w:t>
      </w:r>
      <w:r>
        <w:t>. (Washington, DC). https://doi.org/10.1128/microbiolspec.TBS-0013-2012</w:t>
      </w:r>
    </w:p>
    <w:p w14:paraId="6DD3FC0E" w14:textId="77777777" w:rsidR="00D9297E" w:rsidRDefault="00D9297E" w:rsidP="00D9297E">
      <w:pPr>
        <w:pStyle w:val="Bibliography"/>
      </w:pPr>
      <w:r>
        <w:rPr>
          <w:i/>
          <w:iCs/>
        </w:rPr>
        <w:t>Igraph – Network analysis software</w:t>
      </w:r>
      <w:r>
        <w:t>. (n.d.). Igraph – the Network Analysis Package. Retrieved November 26, 2025, from https://igraph.org/</w:t>
      </w:r>
    </w:p>
    <w:p w14:paraId="787987FD" w14:textId="77777777" w:rsidR="00D9297E" w:rsidRDefault="00D9297E" w:rsidP="00D9297E">
      <w:pPr>
        <w:pStyle w:val="Bibliography"/>
      </w:pPr>
      <w:r>
        <w:t xml:space="preserve">Jalanka-Tuovinen, J., Salonen, A., Nikkilä, J., Immonen, O., Kekkonen, R., Lahti, L., Palva, A., &amp; de Vos, W. M. (2011). Intestinal microbiota in healthy adults: Temporal analysis reveals individual and common core and relation to intestinal symptoms. </w:t>
      </w:r>
      <w:r>
        <w:rPr>
          <w:i/>
          <w:iCs/>
        </w:rPr>
        <w:t>PloS One</w:t>
      </w:r>
      <w:r>
        <w:t xml:space="preserve">, </w:t>
      </w:r>
      <w:r>
        <w:rPr>
          <w:i/>
          <w:iCs/>
        </w:rPr>
        <w:t>6</w:t>
      </w:r>
      <w:r>
        <w:t>(7), e23035. https://doi.org/10.1371/journal.pone.0023035</w:t>
      </w:r>
    </w:p>
    <w:p w14:paraId="6962EC1E" w14:textId="77777777" w:rsidR="00D9297E" w:rsidRDefault="00D9297E" w:rsidP="00D9297E">
      <w:pPr>
        <w:pStyle w:val="Bibliography"/>
      </w:pPr>
      <w:r>
        <w:t xml:space="preserve">Jayasinghe, T. N., Hilton, C., Tsai, P., Apple, B., Shepherd, P., Cutfield, W. S., &amp; O’Sullivan, J. M. (2017). Long-term stability in the gut microbiome over 46 years in the life of Billy Apple®. </w:t>
      </w:r>
      <w:r>
        <w:rPr>
          <w:i/>
          <w:iCs/>
        </w:rPr>
        <w:t>Human Microbiome Journal</w:t>
      </w:r>
      <w:r>
        <w:t xml:space="preserve">, </w:t>
      </w:r>
      <w:r>
        <w:rPr>
          <w:i/>
          <w:iCs/>
        </w:rPr>
        <w:t>5–6</w:t>
      </w:r>
      <w:r>
        <w:t>, 7–10. https://doi.org/10.1016/j.humic.2017.09.001</w:t>
      </w:r>
    </w:p>
    <w:p w14:paraId="13093ACE" w14:textId="77777777" w:rsidR="00D9297E" w:rsidRDefault="00D9297E" w:rsidP="00D9297E">
      <w:pPr>
        <w:pStyle w:val="Bibliography"/>
      </w:pPr>
      <w:r>
        <w:t xml:space="preserve">Jokela, R., Ponsero, A. J., Dikareva, E., Wei, X., Kolho, K.-L., Korpela, K., De Vos, W. M., &amp; Salonen, A. (2023). Sources of gut microbiota variation in a large longitudinal Finnish infant cohort. </w:t>
      </w:r>
      <w:r>
        <w:rPr>
          <w:i/>
          <w:iCs/>
        </w:rPr>
        <w:t>eBioMedicine</w:t>
      </w:r>
      <w:r>
        <w:t xml:space="preserve">, </w:t>
      </w:r>
      <w:r>
        <w:rPr>
          <w:i/>
          <w:iCs/>
        </w:rPr>
        <w:t>94</w:t>
      </w:r>
      <w:r>
        <w:t>, 104695. https://doi.org/10.1016/j.ebiom.2023.104695</w:t>
      </w:r>
    </w:p>
    <w:p w14:paraId="6421A6A2" w14:textId="77777777" w:rsidR="00D9297E" w:rsidRDefault="00D9297E" w:rsidP="00D9297E">
      <w:pPr>
        <w:pStyle w:val="Bibliography"/>
      </w:pPr>
      <w:r>
        <w:lastRenderedPageBreak/>
        <w:t xml:space="preserve">Jovel, J., Patterson, J., Wang, W., Hotte, N., O’Keefe, S., Mitchel, T., Perry, T., Kao, D., Mason, A. L., Madsen, K. L., &amp; Wong, G. K.-S. (2016). Characterization of the Gut Microbiome Using 16S or Shotgun Metagenomics. </w:t>
      </w:r>
      <w:r>
        <w:rPr>
          <w:i/>
          <w:iCs/>
        </w:rPr>
        <w:t>Frontiers in Microbiology</w:t>
      </w:r>
      <w:r>
        <w:t xml:space="preserve">, </w:t>
      </w:r>
      <w:r>
        <w:rPr>
          <w:i/>
          <w:iCs/>
        </w:rPr>
        <w:t>7</w:t>
      </w:r>
      <w:r>
        <w:t>, 459. https://doi.org/10.3389/fmicb.2016.00459</w:t>
      </w:r>
    </w:p>
    <w:p w14:paraId="7A027EB9" w14:textId="77777777" w:rsidR="00D9297E" w:rsidRDefault="00D9297E" w:rsidP="00D9297E">
      <w:pPr>
        <w:pStyle w:val="Bibliography"/>
      </w:pPr>
      <w:r>
        <w:t xml:space="preserve">Kapinusova, G., Lopez Marin, M. A., &amp; Uhlik, O. (2023). Reaching unreachables: Obstacles and successes of microbial cultivation and their reasons. </w:t>
      </w:r>
      <w:r>
        <w:rPr>
          <w:i/>
          <w:iCs/>
        </w:rPr>
        <w:t>Frontiers in Microbiology</w:t>
      </w:r>
      <w:r>
        <w:t xml:space="preserve">, </w:t>
      </w:r>
      <w:r>
        <w:rPr>
          <w:i/>
          <w:iCs/>
        </w:rPr>
        <w:t>14</w:t>
      </w:r>
      <w:r>
        <w:t>, 1089630. https://doi.org/10.3389/fmicb.2023.1089630</w:t>
      </w:r>
    </w:p>
    <w:p w14:paraId="4CC4724C" w14:textId="77777777" w:rsidR="00D9297E" w:rsidRDefault="00D9297E" w:rsidP="00D9297E">
      <w:pPr>
        <w:pStyle w:val="Bibliography"/>
      </w:pPr>
      <w:r>
        <w:t xml:space="preserve">Kearney, S. M., Gibbons, S. M., Poyet, M., Gurry, T., Bullock, K., Allegretti, J. R., Clish, C. B., &amp; Alm, E. J. (2018). Endospores and other lysis-resistant bacteria comprise a widely shared core community within the human microbiota. </w:t>
      </w:r>
      <w:r>
        <w:rPr>
          <w:i/>
          <w:iCs/>
        </w:rPr>
        <w:t>The ISME Journal</w:t>
      </w:r>
      <w:r>
        <w:t xml:space="preserve">, </w:t>
      </w:r>
      <w:r>
        <w:rPr>
          <w:i/>
          <w:iCs/>
        </w:rPr>
        <w:t>12</w:t>
      </w:r>
      <w:r>
        <w:t>(10), 2403–2416. https://doi.org/10.1038/s41396-018-0192-z</w:t>
      </w:r>
    </w:p>
    <w:p w14:paraId="2761A773" w14:textId="77777777" w:rsidR="00D9297E" w:rsidRDefault="00D9297E" w:rsidP="00D9297E">
      <w:pPr>
        <w:pStyle w:val="Bibliography"/>
      </w:pPr>
      <w:r>
        <w:t xml:space="preserve">Klindworth, A., Pruesse, E., Schweer, T., Peplies, J., Quast, C., Horn, M., &amp; Glöckner, F. O. (2013). Evaluation of general 16S ribosomal RNA gene PCR primers for classical and next-generation sequencing-based diversity studies. </w:t>
      </w:r>
      <w:r>
        <w:rPr>
          <w:i/>
          <w:iCs/>
        </w:rPr>
        <w:t>Nucleic Acids Research</w:t>
      </w:r>
      <w:r>
        <w:t xml:space="preserve">, </w:t>
      </w:r>
      <w:r>
        <w:rPr>
          <w:i/>
          <w:iCs/>
        </w:rPr>
        <w:t>41</w:t>
      </w:r>
      <w:r>
        <w:t>(1), e1. https://doi.org/10.1093/nar/gks808</w:t>
      </w:r>
    </w:p>
    <w:p w14:paraId="6861B872" w14:textId="77777777" w:rsidR="00D9297E" w:rsidRDefault="00D9297E" w:rsidP="00D9297E">
      <w:pPr>
        <w:pStyle w:val="Bibliography"/>
      </w:pPr>
      <w:r>
        <w:t xml:space="preserve">Kolmogorov, M., Yuan, J., Lin, Y., &amp; Pevzner, P. A. (2019). Assembly of long, error-prone reads using repeat graphs. </w:t>
      </w:r>
      <w:r>
        <w:rPr>
          <w:i/>
          <w:iCs/>
        </w:rPr>
        <w:t>Nature Biotechnology</w:t>
      </w:r>
      <w:r>
        <w:t xml:space="preserve">, </w:t>
      </w:r>
      <w:r>
        <w:rPr>
          <w:i/>
          <w:iCs/>
        </w:rPr>
        <w:t>37</w:t>
      </w:r>
      <w:r>
        <w:t>(5), 540–546. https://doi.org/10.1038/s41587-019-0072-8</w:t>
      </w:r>
    </w:p>
    <w:p w14:paraId="07EDED2C" w14:textId="77777777" w:rsidR="00D9297E" w:rsidRDefault="00D9297E" w:rsidP="00D9297E">
      <w:pPr>
        <w:pStyle w:val="Bibliography"/>
      </w:pPr>
      <w:r>
        <w:t xml:space="preserve">Koopman, N., Remijas, L., Seppen, J., Setlow, P., &amp; Brul, S. (2022). Mechanisms and Applications of Bacterial Sporulation and Germination in the Intestine. </w:t>
      </w:r>
      <w:r>
        <w:rPr>
          <w:i/>
          <w:iCs/>
        </w:rPr>
        <w:t>International Journal of Molecular Sciences</w:t>
      </w:r>
      <w:r>
        <w:t xml:space="preserve">, </w:t>
      </w:r>
      <w:r>
        <w:rPr>
          <w:i/>
          <w:iCs/>
        </w:rPr>
        <w:t>23</w:t>
      </w:r>
      <w:r>
        <w:t>(6), 3405. https://doi.org/10.3390/ijms23063405</w:t>
      </w:r>
    </w:p>
    <w:p w14:paraId="4DB058D9" w14:textId="77777777" w:rsidR="00D9297E" w:rsidRDefault="00D9297E" w:rsidP="00D9297E">
      <w:pPr>
        <w:pStyle w:val="Bibliography"/>
      </w:pPr>
      <w:r>
        <w:lastRenderedPageBreak/>
        <w:t xml:space="preserve">Koransky, J. R., Allen, S. D., &amp; Dowell, V. R. (1978). Use of ethanol for selective isolation of sporeforming microorganisms. </w:t>
      </w:r>
      <w:r>
        <w:rPr>
          <w:i/>
          <w:iCs/>
        </w:rPr>
        <w:t>Applied and Environmental Microbiology</w:t>
      </w:r>
      <w:r>
        <w:t xml:space="preserve">, </w:t>
      </w:r>
      <w:r>
        <w:rPr>
          <w:i/>
          <w:iCs/>
        </w:rPr>
        <w:t>35</w:t>
      </w:r>
      <w:r>
        <w:t>(4), 762–765. https://doi.org/10.1128/aem.35.4.762-765.1978</w:t>
      </w:r>
    </w:p>
    <w:p w14:paraId="014D4897" w14:textId="77777777" w:rsidR="00D9297E" w:rsidRDefault="00D9297E" w:rsidP="00D9297E">
      <w:pPr>
        <w:pStyle w:val="Bibliography"/>
      </w:pPr>
      <w:r>
        <w:t xml:space="preserve">Korpela, K., Costea, P., Coelho, L. P., Kandels-Lewis, S., Willemsen, G., Boomsma, D. I., Segata, N., &amp; Bork, P. (2018). Selective maternal seeding and environment shape the human gut microbiome. </w:t>
      </w:r>
      <w:r>
        <w:rPr>
          <w:i/>
          <w:iCs/>
        </w:rPr>
        <w:t>Genome Research</w:t>
      </w:r>
      <w:r>
        <w:t xml:space="preserve">, </w:t>
      </w:r>
      <w:r>
        <w:rPr>
          <w:i/>
          <w:iCs/>
        </w:rPr>
        <w:t>28</w:t>
      </w:r>
      <w:r>
        <w:t>(4), 561–568. https://doi.org/10.1101/gr.233940.117</w:t>
      </w:r>
    </w:p>
    <w:p w14:paraId="0CE66E79" w14:textId="77777777" w:rsidR="00D9297E" w:rsidRDefault="00D9297E" w:rsidP="00D9297E">
      <w:pPr>
        <w:pStyle w:val="Bibliography"/>
      </w:pPr>
      <w:r>
        <w:t xml:space="preserve">Lagier, J.-C., Dubourg, G., Million, M., Cadoret, F., Bilen, M., Fenollar, F., Levasseur, A., Rolain, J.-M., Fournier, P.-E., &amp; Raoult, D. (2018). Culturing the human microbiota and culturomics. </w:t>
      </w:r>
      <w:r>
        <w:rPr>
          <w:i/>
          <w:iCs/>
        </w:rPr>
        <w:t>Nature Reviews Microbiology</w:t>
      </w:r>
      <w:r>
        <w:t xml:space="preserve">, </w:t>
      </w:r>
      <w:r>
        <w:rPr>
          <w:i/>
          <w:iCs/>
        </w:rPr>
        <w:t>16</w:t>
      </w:r>
      <w:r>
        <w:t>(9), 540–550. https://doi.org/10.1038/s41579-018-0041-0</w:t>
      </w:r>
    </w:p>
    <w:p w14:paraId="7F28D279" w14:textId="77777777" w:rsidR="00D9297E" w:rsidRDefault="00D9297E" w:rsidP="00D9297E">
      <w:pPr>
        <w:pStyle w:val="Bibliography"/>
      </w:pPr>
      <w:r>
        <w:t xml:space="preserve">Langmead, B., &amp; Salzberg, S. L. (2012). Fast gapped-read alignment with Bowtie 2. </w:t>
      </w:r>
      <w:r>
        <w:rPr>
          <w:i/>
          <w:iCs/>
        </w:rPr>
        <w:t>Nature Methods</w:t>
      </w:r>
      <w:r>
        <w:t xml:space="preserve">, </w:t>
      </w:r>
      <w:r>
        <w:rPr>
          <w:i/>
          <w:iCs/>
        </w:rPr>
        <w:t>9</w:t>
      </w:r>
      <w:r>
        <w:t>(4), 357–359. https://doi.org/10.1038/nmeth.1923</w:t>
      </w:r>
    </w:p>
    <w:p w14:paraId="5C1F7257" w14:textId="77777777" w:rsidR="00D9297E" w:rsidRDefault="00D9297E" w:rsidP="00D9297E">
      <w:pPr>
        <w:pStyle w:val="Bibliography"/>
      </w:pPr>
      <w:r>
        <w:t xml:space="preserve">Lee, K., Raguideau, S., Sirén, K., Asnicar, F., Cumbo, F., Hildebrand, F., Segata, N., Cha, C.-J., &amp; Quince, C. (2023). Population-level impacts of antibiotic usage on the human gut microbiome. </w:t>
      </w:r>
      <w:r>
        <w:rPr>
          <w:i/>
          <w:iCs/>
        </w:rPr>
        <w:t>Nature Communications</w:t>
      </w:r>
      <w:r>
        <w:t xml:space="preserve">, </w:t>
      </w:r>
      <w:r>
        <w:rPr>
          <w:i/>
          <w:iCs/>
        </w:rPr>
        <w:t>14</w:t>
      </w:r>
      <w:r>
        <w:t>(1), 1191. https://doi.org/10.1038/s41467-023-36633-7</w:t>
      </w:r>
    </w:p>
    <w:p w14:paraId="3D7257EF" w14:textId="77777777" w:rsidR="00D9297E" w:rsidRDefault="00D9297E" w:rsidP="00D9297E">
      <w:pPr>
        <w:pStyle w:val="Bibliography"/>
      </w:pPr>
      <w:r>
        <w:t xml:space="preserve">Lennon, J. T., &amp; Jones, S. E. (2011). Microbial seed banks: The ecological and evolutionary implications of dormancy. </w:t>
      </w:r>
      <w:r>
        <w:rPr>
          <w:i/>
          <w:iCs/>
        </w:rPr>
        <w:t>Nature Reviews Microbiology</w:t>
      </w:r>
      <w:r>
        <w:t xml:space="preserve">, </w:t>
      </w:r>
      <w:r>
        <w:rPr>
          <w:i/>
          <w:iCs/>
        </w:rPr>
        <w:t>9</w:t>
      </w:r>
      <w:r>
        <w:t>(2), 119–130. https://doi.org/10.1038/nrmicro2504</w:t>
      </w:r>
    </w:p>
    <w:p w14:paraId="66A44DFA" w14:textId="77777777" w:rsidR="00D9297E" w:rsidRDefault="00D9297E" w:rsidP="00D9297E">
      <w:pPr>
        <w:pStyle w:val="Bibliography"/>
      </w:pPr>
      <w:r>
        <w:t xml:space="preserve">Levy, R., Magis, A. T., Earls, J. C., Manor, O., Wilmanski, T., Lovejoy, J., Gibbons, S. M., Omenn, G. S., Hood, L., &amp; Price, N. D. (2020). Longitudinal analysis reveals transition barriers between dominant ecological states in the gut microbiome. </w:t>
      </w:r>
      <w:r>
        <w:rPr>
          <w:i/>
          <w:iCs/>
        </w:rPr>
        <w:t xml:space="preserve">Proceedings of the National </w:t>
      </w:r>
      <w:r>
        <w:rPr>
          <w:i/>
          <w:iCs/>
        </w:rPr>
        <w:lastRenderedPageBreak/>
        <w:t>Academy of Sciences of the United States of America</w:t>
      </w:r>
      <w:r>
        <w:t xml:space="preserve">, </w:t>
      </w:r>
      <w:r>
        <w:rPr>
          <w:i/>
          <w:iCs/>
        </w:rPr>
        <w:t>117</w:t>
      </w:r>
      <w:r>
        <w:t>(24), 13839–13845. https://doi.org/10.1073/pnas.1922498117</w:t>
      </w:r>
    </w:p>
    <w:p w14:paraId="48506E13" w14:textId="77777777" w:rsidR="00D9297E" w:rsidRDefault="00D9297E" w:rsidP="00D9297E">
      <w:pPr>
        <w:pStyle w:val="Bibliography"/>
      </w:pPr>
      <w:r>
        <w:t xml:space="preserve">Li, H., Handsaker, B., Wysoker, A., Fennell, T., Ruan, J., Homer, N., Marth, G., Abecasis, G., Durbin, R., &amp; 1000 Genome Project Data Processing Subgroup. (2009). The Sequence Alignment/Map format and SAMtools. </w:t>
      </w:r>
      <w:r>
        <w:rPr>
          <w:i/>
          <w:iCs/>
        </w:rPr>
        <w:t>Bioinformatics</w:t>
      </w:r>
      <w:r>
        <w:t xml:space="preserve">, </w:t>
      </w:r>
      <w:r>
        <w:rPr>
          <w:i/>
          <w:iCs/>
        </w:rPr>
        <w:t>25</w:t>
      </w:r>
      <w:r>
        <w:t>(16), 2078–2079. https://doi.org/10.1093/bioinformatics/btp352</w:t>
      </w:r>
    </w:p>
    <w:p w14:paraId="509BAB37" w14:textId="77777777" w:rsidR="00D9297E" w:rsidRDefault="00D9297E" w:rsidP="00D9297E">
      <w:pPr>
        <w:pStyle w:val="Bibliography"/>
      </w:pPr>
      <w:r>
        <w:t xml:space="preserve">Li, L., Mendis, N., Trigui, H., Oliver, J. D., &amp; Faucher, S. P. (2014). The importance of the viable but non-culturable state in human bacterial pathogens. </w:t>
      </w:r>
      <w:r>
        <w:rPr>
          <w:i/>
          <w:iCs/>
        </w:rPr>
        <w:t>Frontiers in Microbiology</w:t>
      </w:r>
      <w:r>
        <w:t xml:space="preserve">, </w:t>
      </w:r>
      <w:r>
        <w:rPr>
          <w:i/>
          <w:iCs/>
        </w:rPr>
        <w:t>5</w:t>
      </w:r>
      <w:r>
        <w:t>. https://doi.org/10.3389/fmicb.2014.00258</w:t>
      </w:r>
    </w:p>
    <w:p w14:paraId="7F042E6D" w14:textId="77777777" w:rsidR="00D9297E" w:rsidRDefault="00D9297E" w:rsidP="00D9297E">
      <w:pPr>
        <w:pStyle w:val="Bibliography"/>
      </w:pPr>
      <w:r>
        <w:t xml:space="preserve">Li, X., Brejnrod, A., Thorsen, J., Zachariasen, T., Trivedi, U., Russel, J., Vestergaard, G. A., Stokholm, J., Rasmussen, M. A., &amp; Sørensen, S. J. (2023). Differential responses of the gut microbiome and resistome to antibiotic exposures in infants and adults. </w:t>
      </w:r>
      <w:r>
        <w:rPr>
          <w:i/>
          <w:iCs/>
        </w:rPr>
        <w:t>Nature Communications</w:t>
      </w:r>
      <w:r>
        <w:t xml:space="preserve">, </w:t>
      </w:r>
      <w:r>
        <w:rPr>
          <w:i/>
          <w:iCs/>
        </w:rPr>
        <w:t>14</w:t>
      </w:r>
      <w:r>
        <w:t>(1), 8526. https://doi.org/10.1038/s41467-023-44289-6</w:t>
      </w:r>
    </w:p>
    <w:p w14:paraId="5E75F672" w14:textId="77777777" w:rsidR="00D9297E" w:rsidRDefault="00D9297E" w:rsidP="00D9297E">
      <w:pPr>
        <w:pStyle w:val="Bibliography"/>
      </w:pPr>
      <w:r>
        <w:t xml:space="preserve">Lloyd-Price, J., Arze, C., Ananthakrishnan, A. N., Schirmer, M., Avila-Pacheco, J., Poon, T. W., Andrews, E., Ajami, N. J., Bonham, K. S., Brislawn, C. J., Casero, D., Courtney, H., Gonzalez, A., Graeber, T. G., Hall, A. B., Lake, K., Landers, C. J., Mallick, H., Plichta, D. R., … Huttenhower, C. (2019). Multi-omics of the gut microbial ecosystem in inflammatory bowel diseases. </w:t>
      </w:r>
      <w:r>
        <w:rPr>
          <w:i/>
          <w:iCs/>
        </w:rPr>
        <w:t>Nature</w:t>
      </w:r>
      <w:r>
        <w:t xml:space="preserve">, </w:t>
      </w:r>
      <w:r>
        <w:rPr>
          <w:i/>
          <w:iCs/>
        </w:rPr>
        <w:t>569</w:t>
      </w:r>
      <w:r>
        <w:t>(7758), Article 7758. https://doi.org/10.1038/s41586-019-1237-9</w:t>
      </w:r>
    </w:p>
    <w:p w14:paraId="6E7C4E26" w14:textId="77777777" w:rsidR="00D9297E" w:rsidRDefault="00D9297E" w:rsidP="00D9297E">
      <w:pPr>
        <w:pStyle w:val="Bibliography"/>
      </w:pPr>
      <w:r>
        <w:t xml:space="preserve">Lozupone, C. A., Stombaugh, J. I., Gordon, J. I., Jansson, J. K., &amp; Knight, R. (2012). Diversity, stability and resilience of the human gut microbiota. </w:t>
      </w:r>
      <w:r>
        <w:rPr>
          <w:i/>
          <w:iCs/>
        </w:rPr>
        <w:t>Nature</w:t>
      </w:r>
      <w:r>
        <w:t xml:space="preserve">, </w:t>
      </w:r>
      <w:r>
        <w:rPr>
          <w:i/>
          <w:iCs/>
        </w:rPr>
        <w:t>489</w:t>
      </w:r>
      <w:r>
        <w:t>(7415), Article 7415. https://doi.org/10.1038/nature11550</w:t>
      </w:r>
    </w:p>
    <w:p w14:paraId="31CF06BC" w14:textId="77777777" w:rsidR="00D9297E" w:rsidRDefault="00D9297E" w:rsidP="00D9297E">
      <w:pPr>
        <w:pStyle w:val="Bibliography"/>
      </w:pPr>
      <w:r>
        <w:lastRenderedPageBreak/>
        <w:t xml:space="preserve">Malin, J. J., von Wintersdorff, C. J. H., Penders, J., Savelkoul, P. H. M., &amp; Wolffs, P. F. G. (2023). Longitudinal fluctuations of common antimicrobial resistance genes in the gut microbiomes of healthy Dutch individuals. </w:t>
      </w:r>
      <w:r>
        <w:rPr>
          <w:i/>
          <w:iCs/>
        </w:rPr>
        <w:t>International Journal of Antimicrobial Agents</w:t>
      </w:r>
      <w:r>
        <w:t xml:space="preserve">, </w:t>
      </w:r>
      <w:r>
        <w:rPr>
          <w:i/>
          <w:iCs/>
        </w:rPr>
        <w:t>61</w:t>
      </w:r>
      <w:r>
        <w:t>(3), 106716. https://doi.org/10.1016/j.ijantimicag.2023.106716</w:t>
      </w:r>
    </w:p>
    <w:p w14:paraId="6E4228BF" w14:textId="77777777" w:rsidR="00D9297E" w:rsidRDefault="00D9297E" w:rsidP="00D9297E">
      <w:pPr>
        <w:pStyle w:val="Bibliography"/>
      </w:pPr>
      <w:r>
        <w:t xml:space="preserve">Maric, L., Janezic, S., Coia, C. W., Roer, L., &amp; Rupnik, M. (2025). Limited clonality but widespread plasmid sharing of ESBL-producing E. coli between humans and the environment of northeastern Slovenia. </w:t>
      </w:r>
      <w:r>
        <w:rPr>
          <w:i/>
          <w:iCs/>
        </w:rPr>
        <w:t>Current Research in Microbial Sciences</w:t>
      </w:r>
      <w:r>
        <w:t xml:space="preserve">, </w:t>
      </w:r>
      <w:r>
        <w:rPr>
          <w:i/>
          <w:iCs/>
        </w:rPr>
        <w:t>9</w:t>
      </w:r>
      <w:r>
        <w:t>, 100408. https://doi.org/10.1016/j.crmicr.2025.100408</w:t>
      </w:r>
    </w:p>
    <w:p w14:paraId="7B22080A" w14:textId="77777777" w:rsidR="00D9297E" w:rsidRDefault="00D9297E" w:rsidP="00D9297E">
      <w:pPr>
        <w:pStyle w:val="Bibliography"/>
      </w:pPr>
      <w:r>
        <w:t xml:space="preserve">Mars, R. A. T., Yang, Y., Ward, T., Houtti, M., Priya, S., Lekatz, H. R., Tang, X., Sun, Z., Kalari, K. R., Korem, T., Bhattarai, Y., Zheng, T., Bar, N., Frost, G., Johnson, A. J., van Treuren, W., Han, S., Ordog, T., Grover, M., … Kashyap, P. C. (2020). Longitudinal Multi-omics Reveals Subset-Specific Mechanisms Underlying Irritable Bowel Syndrome. </w:t>
      </w:r>
      <w:r>
        <w:rPr>
          <w:i/>
          <w:iCs/>
        </w:rPr>
        <w:t>Cell</w:t>
      </w:r>
      <w:r>
        <w:t xml:space="preserve">, </w:t>
      </w:r>
      <w:r>
        <w:rPr>
          <w:i/>
          <w:iCs/>
        </w:rPr>
        <w:t>182</w:t>
      </w:r>
      <w:r>
        <w:t>(6), 1460-1473.e17. https://doi.org/10.1016/j.cell.2020.08.007</w:t>
      </w:r>
    </w:p>
    <w:p w14:paraId="639B741F" w14:textId="77777777" w:rsidR="00D9297E" w:rsidRDefault="00D9297E" w:rsidP="00D9297E">
      <w:pPr>
        <w:pStyle w:val="Bibliography"/>
      </w:pPr>
      <w:r>
        <w:t xml:space="preserve">Martínez, I., Muller, C. E., &amp; Walter, J. (2013). Long-Term Temporal Analysis of the Human Fecal Microbiota Revealed a Stable Core of Dominant Bacterial Species. </w:t>
      </w:r>
      <w:r>
        <w:rPr>
          <w:i/>
          <w:iCs/>
        </w:rPr>
        <w:t>PLOS ONE</w:t>
      </w:r>
      <w:r>
        <w:t xml:space="preserve">, </w:t>
      </w:r>
      <w:r>
        <w:rPr>
          <w:i/>
          <w:iCs/>
        </w:rPr>
        <w:t>8</w:t>
      </w:r>
      <w:r>
        <w:t>(7), e69621. https://doi.org/10.1371/journal.pone.0069621</w:t>
      </w:r>
    </w:p>
    <w:p w14:paraId="5DC2B947" w14:textId="77777777" w:rsidR="00D9297E" w:rsidRDefault="00D9297E" w:rsidP="00D9297E">
      <w:pPr>
        <w:pStyle w:val="Bibliography"/>
      </w:pPr>
      <w:r>
        <w:t xml:space="preserve">Martino, C., Dilmore, A. H., Burcham, Z. M., Metcalf, J. L., Jeste, D., &amp; Knight, R. (2022). Microbiota succession throughout life from the cradle to the grave. </w:t>
      </w:r>
      <w:r>
        <w:rPr>
          <w:i/>
          <w:iCs/>
        </w:rPr>
        <w:t>Nature Reviews Microbiology</w:t>
      </w:r>
      <w:r>
        <w:t>, 1–14. https://doi.org/10.1038/s41579-022-00768-z</w:t>
      </w:r>
    </w:p>
    <w:p w14:paraId="124AC7D7" w14:textId="77777777" w:rsidR="00D9297E" w:rsidRDefault="00D9297E" w:rsidP="00D9297E">
      <w:pPr>
        <w:pStyle w:val="Bibliography"/>
      </w:pPr>
      <w:r>
        <w:t xml:space="preserve">Martinson, J. N. V., Pinkham, N. V., Peters, G. W., Cho, H., Heng, J., Rauch, M., Broadaway, S. C., &amp; Walk, S. T. (2019). Rethinking gut microbiome residency and the Enterobacteriaceae in healthy human adults. </w:t>
      </w:r>
      <w:r>
        <w:rPr>
          <w:i/>
          <w:iCs/>
        </w:rPr>
        <w:t>The ISME Journal</w:t>
      </w:r>
      <w:r>
        <w:t xml:space="preserve">, </w:t>
      </w:r>
      <w:r>
        <w:rPr>
          <w:i/>
          <w:iCs/>
        </w:rPr>
        <w:t>13</w:t>
      </w:r>
      <w:r>
        <w:t>(9), Article 9. https://doi.org/10.1038/s41396-019-0435-7</w:t>
      </w:r>
    </w:p>
    <w:p w14:paraId="59E13DEC" w14:textId="77777777" w:rsidR="00D9297E" w:rsidRDefault="00D9297E" w:rsidP="00D9297E">
      <w:pPr>
        <w:pStyle w:val="Bibliography"/>
      </w:pPr>
      <w:r>
        <w:lastRenderedPageBreak/>
        <w:t xml:space="preserve">Mehta, R. S., Abu-Ali, G. S., Drew, D. A., Lloyd-Price, J., Subramanian, A., Lochhead, P., Joshi, A. D., Ivey, K. L., Khalili, H., Brown, G. T., DuLong, C., Song, M., Nguyen, L. H., Mallick, H., Rimm, E. B., Izard, J., Huttenhower, C., &amp; Chan, A. T. (2018). Stability of the human faecal microbiome in a cohort of adult men. </w:t>
      </w:r>
      <w:r>
        <w:rPr>
          <w:i/>
          <w:iCs/>
        </w:rPr>
        <w:t>Nature Microbiology</w:t>
      </w:r>
      <w:r>
        <w:t xml:space="preserve">, </w:t>
      </w:r>
      <w:r>
        <w:rPr>
          <w:i/>
          <w:iCs/>
        </w:rPr>
        <w:t>3</w:t>
      </w:r>
      <w:r>
        <w:t>(3), Article 3. https://doi.org/10.1038/s41564-017-0096-0</w:t>
      </w:r>
    </w:p>
    <w:p w14:paraId="31117721" w14:textId="77777777" w:rsidR="00D9297E" w:rsidRDefault="00D9297E" w:rsidP="00D9297E">
      <w:pPr>
        <w:pStyle w:val="Bibliography"/>
      </w:pPr>
      <w:r>
        <w:t xml:space="preserve">Nash, A. K., Auchtung, T. A., Wong, M. C., Smith, D. P., Gesell, J. R., Ross, M. C., Stewart, C. J., Metcalf, G. A., Muzny, D. M., Gibbs, R. A., Ajami, N. J., &amp; Petrosino, J. F. (2017). The gut mycobiome of the Human Microbiome Project healthy cohort. </w:t>
      </w:r>
      <w:r>
        <w:rPr>
          <w:i/>
          <w:iCs/>
        </w:rPr>
        <w:t>Microbiome</w:t>
      </w:r>
      <w:r>
        <w:t xml:space="preserve">, </w:t>
      </w:r>
      <w:r>
        <w:rPr>
          <w:i/>
          <w:iCs/>
        </w:rPr>
        <w:t>5</w:t>
      </w:r>
      <w:r>
        <w:t>(1), 153. https://doi.org/10.1186/s40168-017-0373-4</w:t>
      </w:r>
    </w:p>
    <w:p w14:paraId="0613F227" w14:textId="77777777" w:rsidR="00D9297E" w:rsidRDefault="00D9297E" w:rsidP="00D9297E">
      <w:pPr>
        <w:pStyle w:val="Bibliography"/>
      </w:pPr>
      <w:r>
        <w:t xml:space="preserve">Nayfach, S., Rodriguez-Mueller, B., Garud, N., &amp; Pollard, K. S. (2016). An integrated metagenomics pipeline for strain profiling reveals novel patterns of bacterial transmission and biogeography. </w:t>
      </w:r>
      <w:r>
        <w:rPr>
          <w:i/>
          <w:iCs/>
        </w:rPr>
        <w:t>Genome Research</w:t>
      </w:r>
      <w:r>
        <w:t xml:space="preserve">, </w:t>
      </w:r>
      <w:r>
        <w:rPr>
          <w:i/>
          <w:iCs/>
        </w:rPr>
        <w:t>26</w:t>
      </w:r>
      <w:r>
        <w:t>(11), 1612–1625. https://doi.org/10.1101/gr.201863.115</w:t>
      </w:r>
    </w:p>
    <w:p w14:paraId="463D6862" w14:textId="77777777" w:rsidR="00D9297E" w:rsidRDefault="00D9297E" w:rsidP="00D9297E">
      <w:pPr>
        <w:pStyle w:val="Bibliography"/>
      </w:pPr>
      <w:r>
        <w:t xml:space="preserve">Normington, C., Moura, I. B., Bryant, J. A., Ewin, D. J., Clark, E. V., Kettle, M. J., Harris, H. C., Spittal, W., Davis, G., Henn, M. R., Ford, C. B., Wilcox, M. H., &amp; Buckley, A. M. (2021). Biofilms harbour Clostridioides difficile, serving as a reservoir for recurrent infection. </w:t>
      </w:r>
      <w:r>
        <w:rPr>
          <w:i/>
          <w:iCs/>
        </w:rPr>
        <w:t>Npj Biofilms and Microbiomes</w:t>
      </w:r>
      <w:r>
        <w:t xml:space="preserve">, </w:t>
      </w:r>
      <w:r>
        <w:rPr>
          <w:i/>
          <w:iCs/>
        </w:rPr>
        <w:t>7</w:t>
      </w:r>
      <w:r>
        <w:t>(1), 1–10. https://doi.org/10.1038/s41522-021-00184-w</w:t>
      </w:r>
    </w:p>
    <w:p w14:paraId="3CDA4381" w14:textId="77777777" w:rsidR="00D9297E" w:rsidRDefault="00D9297E" w:rsidP="00D9297E">
      <w:pPr>
        <w:pStyle w:val="Bibliography"/>
      </w:pPr>
      <w:r>
        <w:t xml:space="preserve">Oksanen, J. (n.d.-a). </w:t>
      </w:r>
      <w:r>
        <w:rPr>
          <w:i/>
          <w:iCs/>
        </w:rPr>
        <w:t>Multivariate Analysis of Ecological Communities in R: vegan tutorial</w:t>
      </w:r>
      <w:r>
        <w:t>. 43.</w:t>
      </w:r>
    </w:p>
    <w:p w14:paraId="1C5C85C8" w14:textId="77777777" w:rsidR="00D9297E" w:rsidRDefault="00D9297E" w:rsidP="00D9297E">
      <w:pPr>
        <w:pStyle w:val="Bibliography"/>
      </w:pPr>
      <w:r>
        <w:t xml:space="preserve">Oksanen, J. (n.d.-b). </w:t>
      </w:r>
      <w:r>
        <w:rPr>
          <w:i/>
          <w:iCs/>
        </w:rPr>
        <w:t>Vegan: An introduction to ordination</w:t>
      </w:r>
      <w:r>
        <w:t>. 12.</w:t>
      </w:r>
    </w:p>
    <w:p w14:paraId="2484FBEF" w14:textId="77777777" w:rsidR="00D9297E" w:rsidRDefault="00D9297E" w:rsidP="00D9297E">
      <w:pPr>
        <w:pStyle w:val="Bibliography"/>
      </w:pPr>
      <w:r>
        <w:t xml:space="preserve">Oksanen, J., Blanchet, F. G., Friendly, M., Kindt, R., Legendre, P., McGlinn, D., Minchin, P. R., O’Hara, R. B., Simpson, G. L., &amp; Solymos, P. (2022). </w:t>
      </w:r>
      <w:r>
        <w:rPr>
          <w:i/>
          <w:iCs/>
        </w:rPr>
        <w:t>vegan: Community Ecology Package. R package version 2.5–7. 2020</w:t>
      </w:r>
      <w:r>
        <w:t>.</w:t>
      </w:r>
    </w:p>
    <w:p w14:paraId="1CC1D518" w14:textId="77777777" w:rsidR="00D9297E" w:rsidRDefault="00D9297E" w:rsidP="00D9297E">
      <w:pPr>
        <w:pStyle w:val="Bibliography"/>
      </w:pPr>
      <w:r>
        <w:lastRenderedPageBreak/>
        <w:t xml:space="preserve">Olsson, L. M., Boulund, F., Nilsson, S., Khan, M. T., Gummesson, A., Fagerberg, L., Engstrand, L., Perkins, R., Uhlén, M., Bergström, G., Tremaroli, V., &amp; Bäckhed, F. (2022). Dynamics of the normal gut microbiota: A longitudinal one-year population study in Sweden. </w:t>
      </w:r>
      <w:r>
        <w:rPr>
          <w:i/>
          <w:iCs/>
        </w:rPr>
        <w:t>Cell Host &amp; Microbe</w:t>
      </w:r>
      <w:r>
        <w:t xml:space="preserve">, </w:t>
      </w:r>
      <w:r>
        <w:rPr>
          <w:i/>
          <w:iCs/>
        </w:rPr>
        <w:t>30</w:t>
      </w:r>
      <w:r>
        <w:t>(5), 726-739.e3. https://doi.org/10.1016/j.chom.2022.03.002</w:t>
      </w:r>
    </w:p>
    <w:p w14:paraId="5318C851" w14:textId="77777777" w:rsidR="00D9297E" w:rsidRDefault="00D9297E" w:rsidP="00D9297E">
      <w:pPr>
        <w:pStyle w:val="Bibliography"/>
      </w:pPr>
      <w:r>
        <w:t xml:space="preserve">Onizuka, S., Tanaka, M., Mishima, R., &amp; Nakayama, J. (2021). Cultivation of Spore-Forming Gut Microbes Using a Combination of Bile Acids and Amino Acids. </w:t>
      </w:r>
      <w:r>
        <w:rPr>
          <w:i/>
          <w:iCs/>
        </w:rPr>
        <w:t>Microorganisms</w:t>
      </w:r>
      <w:r>
        <w:t xml:space="preserve">, </w:t>
      </w:r>
      <w:r>
        <w:rPr>
          <w:i/>
          <w:iCs/>
        </w:rPr>
        <w:t>9</w:t>
      </w:r>
      <w:r>
        <w:t>(8), 1651. https://doi.org/10.3390/microorganisms9081651</w:t>
      </w:r>
    </w:p>
    <w:p w14:paraId="78C9BA04" w14:textId="77777777" w:rsidR="00D9297E" w:rsidRDefault="00D9297E" w:rsidP="00D9297E">
      <w:pPr>
        <w:pStyle w:val="Bibliography"/>
      </w:pPr>
      <w:r>
        <w:t xml:space="preserve">Page, A. J., Cummins, C. A., Hunt, M., Wong, V. K., Reuter, S., Holden, M. T. G., Fookes, M., Falush, D., Keane, J. A., &amp; Parkhill, J. (2015). Roary: Rapid large-scale prokaryote pan genome analysis. </w:t>
      </w:r>
      <w:r>
        <w:rPr>
          <w:i/>
          <w:iCs/>
        </w:rPr>
        <w:t>Bioinformatics (Oxford, England)</w:t>
      </w:r>
      <w:r>
        <w:t xml:space="preserve">, </w:t>
      </w:r>
      <w:r>
        <w:rPr>
          <w:i/>
          <w:iCs/>
        </w:rPr>
        <w:t>31</w:t>
      </w:r>
      <w:r>
        <w:t>(22), 3691–3693. https://doi.org/10.1093/bioinformatics/btv421</w:t>
      </w:r>
    </w:p>
    <w:p w14:paraId="6DF22F8D" w14:textId="77777777" w:rsidR="00D9297E" w:rsidRDefault="00D9297E" w:rsidP="00D9297E">
      <w:pPr>
        <w:pStyle w:val="Bibliography"/>
      </w:pPr>
      <w:r>
        <w:t xml:space="preserve">Peng, H., Andreu-Sanchez, S., Ruiz-Moreno, A. J., Fernández-Pato, A., Wu, J., Gacesa, R., Zhernakova, A., Wang, D., &amp; Fu, J. (2025). Longitudinal gut microbiota tracking reveals the dynamics of horizontal gene transfer. </w:t>
      </w:r>
      <w:r>
        <w:rPr>
          <w:i/>
          <w:iCs/>
        </w:rPr>
        <w:t>Nature Communications</w:t>
      </w:r>
      <w:r>
        <w:t xml:space="preserve">, </w:t>
      </w:r>
      <w:r>
        <w:rPr>
          <w:i/>
          <w:iCs/>
        </w:rPr>
        <w:t>16</w:t>
      </w:r>
      <w:r>
        <w:t>(1), 11543. https://doi.org/10.1038/s41467-025-66612-z</w:t>
      </w:r>
    </w:p>
    <w:p w14:paraId="7F17170D" w14:textId="77777777" w:rsidR="00D9297E" w:rsidRDefault="00D9297E" w:rsidP="00D9297E">
      <w:pPr>
        <w:pStyle w:val="Bibliography"/>
      </w:pPr>
      <w:r>
        <w:t xml:space="preserve">Poyet, M., Groussin, M., Gibbons, S. M., Avila-Pacheco, J., Jiang, X., Kearney, S. M., Perrotta, A. R., Berdy, B., Zhao, S., Lieberman, T. D., Swanson, P. K., Smith, M., Roesemann, S., Alexander, J. E., Rich, S. A., Livny, J., Vlamakis, H., Clish, C., Bullock, K., … Alm, E. J. (2019). A library of human gut bacterial isolates paired with longitudinal multiomics data enables mechanistic microbiome research. </w:t>
      </w:r>
      <w:r>
        <w:rPr>
          <w:i/>
          <w:iCs/>
        </w:rPr>
        <w:t>Nature Medicine</w:t>
      </w:r>
      <w:r>
        <w:t xml:space="preserve">, </w:t>
      </w:r>
      <w:r>
        <w:rPr>
          <w:i/>
          <w:iCs/>
        </w:rPr>
        <w:t>25</w:t>
      </w:r>
      <w:r>
        <w:t>(9), 1442–1452. https://doi.org/10.1038/s41591-019-0559-3</w:t>
      </w:r>
    </w:p>
    <w:p w14:paraId="33DC3E0B" w14:textId="77777777" w:rsidR="00D9297E" w:rsidRDefault="00D9297E" w:rsidP="00D9297E">
      <w:pPr>
        <w:pStyle w:val="Bibliography"/>
      </w:pPr>
      <w:r>
        <w:lastRenderedPageBreak/>
        <w:t xml:space="preserve">Pritchard, L., Glover, R. H., Humphris, S., Elphinstone, J. G., &amp; Toth, I. K. (2015). Genomics and taxonomy in diagnostics for food security: Soft-rotting enterobacterial plant pathogens. </w:t>
      </w:r>
      <w:r>
        <w:rPr>
          <w:i/>
          <w:iCs/>
        </w:rPr>
        <w:t>Analytical Methods</w:t>
      </w:r>
      <w:r>
        <w:t xml:space="preserve">, </w:t>
      </w:r>
      <w:r>
        <w:rPr>
          <w:i/>
          <w:iCs/>
        </w:rPr>
        <w:t>8</w:t>
      </w:r>
      <w:r>
        <w:t>(1), 12–24. https://doi.org/10.1039/C5AY02550H</w:t>
      </w:r>
    </w:p>
    <w:p w14:paraId="2344EA43" w14:textId="77777777" w:rsidR="00D9297E" w:rsidRDefault="00D9297E" w:rsidP="00D9297E">
      <w:pPr>
        <w:pStyle w:val="Bibliography"/>
      </w:pPr>
      <w:r>
        <w:t xml:space="preserve">Prjibelski, A., Antipov, D., Meleshko, D., Lapidus, A., &amp; Korobeynikov, A. (2020). Using SPAdes De Novo Assembler. </w:t>
      </w:r>
      <w:r>
        <w:rPr>
          <w:i/>
          <w:iCs/>
        </w:rPr>
        <w:t>Current Protocols in Bioinformatics</w:t>
      </w:r>
      <w:r>
        <w:t xml:space="preserve">, </w:t>
      </w:r>
      <w:r>
        <w:rPr>
          <w:i/>
          <w:iCs/>
        </w:rPr>
        <w:t>70</w:t>
      </w:r>
      <w:r>
        <w:t>(1), e102. https://doi.org/10.1002/cpbi.102</w:t>
      </w:r>
    </w:p>
    <w:p w14:paraId="25DBE402" w14:textId="77777777" w:rsidR="00D9297E" w:rsidRDefault="00D9297E" w:rsidP="00D9297E">
      <w:pPr>
        <w:pStyle w:val="Bibliography"/>
      </w:pPr>
      <w:r>
        <w:rPr>
          <w:i/>
          <w:iCs/>
        </w:rPr>
        <w:t>Project Environments</w:t>
      </w:r>
      <w:r>
        <w:t>. (n.d.). Retrieved November 7, 2025, from https://rstudio.github.io/renv/</w:t>
      </w:r>
    </w:p>
    <w:p w14:paraId="7FC6E821" w14:textId="77777777" w:rsidR="00D9297E" w:rsidRDefault="00D9297E" w:rsidP="00D9297E">
      <w:pPr>
        <w:pStyle w:val="Bibliography"/>
      </w:pPr>
      <w:r>
        <w:t xml:space="preserve">Pruesse, E., Quast, C., Knittel, K., Fuchs, B. M., Ludwig, W., Peplies, J., &amp; Glöckner, F. O. (2007). SILVA: A comprehensive online resource for quality checked and aligned ribosomal RNA sequence data compatible with ARB. </w:t>
      </w:r>
      <w:r>
        <w:rPr>
          <w:i/>
          <w:iCs/>
        </w:rPr>
        <w:t>Nucleic Acids Research</w:t>
      </w:r>
      <w:r>
        <w:t xml:space="preserve">, </w:t>
      </w:r>
      <w:r>
        <w:rPr>
          <w:i/>
          <w:iCs/>
        </w:rPr>
        <w:t>35</w:t>
      </w:r>
      <w:r>
        <w:t>(21), 7188–7196. https://doi.org/10.1093/nar/gkm864</w:t>
      </w:r>
    </w:p>
    <w:p w14:paraId="0CC43E2A" w14:textId="77777777" w:rsidR="00D9297E" w:rsidRDefault="00D9297E" w:rsidP="00D9297E">
      <w:pPr>
        <w:pStyle w:val="Bibliography"/>
      </w:pPr>
      <w:r>
        <w:rPr>
          <w:i/>
          <w:iCs/>
        </w:rPr>
        <w:t>Quinlan AR and Hall IM, 2010. BEDTools: A flexible suite of utilities for comparing genomic features. Bioinformatics. 26, 6, pp. 841–842. - Google Search</w:t>
      </w:r>
      <w:r>
        <w:t>. (n.d.). Retrieved November 10, 2025, from 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w:t>
      </w:r>
    </w:p>
    <w:p w14:paraId="5F91949E" w14:textId="77777777" w:rsidR="00D9297E" w:rsidRDefault="00D9297E" w:rsidP="00D9297E">
      <w:pPr>
        <w:pStyle w:val="Bibliography"/>
      </w:pPr>
      <w:r>
        <w:rPr>
          <w:i/>
          <w:iCs/>
        </w:rPr>
        <w:t>R: The R Project for Statistical Computing</w:t>
      </w:r>
      <w:r>
        <w:t>. (n.d.). Retrieved October 21, 2025, from https://www.r-project.org/</w:t>
      </w:r>
    </w:p>
    <w:p w14:paraId="6EFF568D" w14:textId="77777777" w:rsidR="00D9297E" w:rsidRDefault="00D9297E" w:rsidP="00D9297E">
      <w:pPr>
        <w:pStyle w:val="Bibliography"/>
      </w:pPr>
      <w:r>
        <w:lastRenderedPageBreak/>
        <w:t xml:space="preserve">Rajilić-Stojanović, M., &amp; de Vos, W. M. (2014). The first 1000 cultured species of the human gastrointestinal microbiota. </w:t>
      </w:r>
      <w:r>
        <w:rPr>
          <w:i/>
          <w:iCs/>
        </w:rPr>
        <w:t>FEMS Microbiology Reviews</w:t>
      </w:r>
      <w:r>
        <w:t xml:space="preserve">, </w:t>
      </w:r>
      <w:r>
        <w:rPr>
          <w:i/>
          <w:iCs/>
        </w:rPr>
        <w:t>38</w:t>
      </w:r>
      <w:r>
        <w:t>(5), 996–1047. https://doi.org/10.1111/1574-6976.12075</w:t>
      </w:r>
    </w:p>
    <w:p w14:paraId="54A8414E" w14:textId="77777777" w:rsidR="00D9297E" w:rsidRDefault="00D9297E" w:rsidP="00D9297E">
      <w:pPr>
        <w:pStyle w:val="Bibliography"/>
      </w:pPr>
      <w:r>
        <w:t xml:space="preserve">Rajilić-Stojanović, M., Heilig, H. G. H. J., Tims, S., Zoetendal, E. G., &amp; de Vos, W. M. (2013). Long-term monitoring of the human intestinal microbiota composition. </w:t>
      </w:r>
      <w:r>
        <w:rPr>
          <w:i/>
          <w:iCs/>
        </w:rPr>
        <w:t>Environmental Microbiology</w:t>
      </w:r>
      <w:r>
        <w:t xml:space="preserve">, </w:t>
      </w:r>
      <w:r>
        <w:rPr>
          <w:i/>
          <w:iCs/>
        </w:rPr>
        <w:t>15</w:t>
      </w:r>
      <w:r>
        <w:t>(4), 1146–1159. https://doi.org/10.1111/1462-2920.12023</w:t>
      </w:r>
    </w:p>
    <w:p w14:paraId="55DE1E55" w14:textId="77777777" w:rsidR="00D9297E" w:rsidRDefault="00D9297E" w:rsidP="00D9297E">
      <w:pPr>
        <w:pStyle w:val="Bibliography"/>
      </w:pPr>
      <w:r>
        <w:t xml:space="preserve">Ramos-Silva, P., Serrano, M., &amp; Henriques, A. O. (2019). From Root to Tips: Sporulation Evolution and Specialization in Bacillus subtilis and the Intestinal Pathogen Clostridioides difficile. </w:t>
      </w:r>
      <w:r>
        <w:rPr>
          <w:i/>
          <w:iCs/>
        </w:rPr>
        <w:t>Molecular Biology and Evolution</w:t>
      </w:r>
      <w:r>
        <w:t xml:space="preserve">, </w:t>
      </w:r>
      <w:r>
        <w:rPr>
          <w:i/>
          <w:iCs/>
        </w:rPr>
        <w:t>36</w:t>
      </w:r>
      <w:r>
        <w:t>(12), 2714–2736. https://doi.org/10.1093/molbev/msz175</w:t>
      </w:r>
    </w:p>
    <w:p w14:paraId="453E8A48" w14:textId="77777777" w:rsidR="00D9297E" w:rsidRDefault="00D9297E" w:rsidP="00D9297E">
      <w:pPr>
        <w:pStyle w:val="Bibliography"/>
      </w:pPr>
      <w:r>
        <w:t xml:space="preserve">Rampelli, S., Schnorr, S. L., Consolandi, C., Turroni, S., Severgnini, M., Peano, C., Brigidi, P., Crittenden, A. N., Henry, A. G., &amp; Candela, M. (2015). Metagenome Sequencing of the Hadza Hunter-Gatherer Gut Microbiota. </w:t>
      </w:r>
      <w:r>
        <w:rPr>
          <w:i/>
          <w:iCs/>
        </w:rPr>
        <w:t>Current Biology</w:t>
      </w:r>
      <w:r>
        <w:t xml:space="preserve">, </w:t>
      </w:r>
      <w:r>
        <w:rPr>
          <w:i/>
          <w:iCs/>
        </w:rPr>
        <w:t>25</w:t>
      </w:r>
      <w:r>
        <w:t>(13), 1682–1693. https://doi.org/10.1016/j.cub.2015.04.055</w:t>
      </w:r>
    </w:p>
    <w:p w14:paraId="0B4BB91C" w14:textId="77777777" w:rsidR="00D9297E" w:rsidRDefault="00D9297E" w:rsidP="00D9297E">
      <w:pPr>
        <w:pStyle w:val="Bibliography"/>
      </w:pPr>
      <w:r>
        <w:rPr>
          <w:i/>
          <w:iCs/>
        </w:rPr>
        <w:t>Read Excel Files</w:t>
      </w:r>
      <w:r>
        <w:t>. (n.d.). Retrieved November 7, 2025, from https://readxl.tidyverse.org/</w:t>
      </w:r>
    </w:p>
    <w:p w14:paraId="73092F8D" w14:textId="77777777" w:rsidR="00D9297E" w:rsidRDefault="00D9297E" w:rsidP="00D9297E">
      <w:pPr>
        <w:pStyle w:val="Bibliography"/>
      </w:pPr>
      <w:r>
        <w:t xml:space="preserve">Sayers, E. W., Beck, J., Bolton, E. E., Brister, J. R., Chan, J., Connor, R., Feldgarden, M., Fine, A. M., Funk, K., Hoffman, J., Kannan, S., Kelly, C., Klimke, W., Kim, S., Lathrop, S., Marchler-Bauer, A., Murphy, T. D., O’Sullivan, C., Schmieder, E., … Pruitt, K. D. (2024). Database resources of the National Center for Biotechnology Information in 2025. </w:t>
      </w:r>
      <w:r>
        <w:rPr>
          <w:i/>
          <w:iCs/>
        </w:rPr>
        <w:t>Nucleic Acids Research</w:t>
      </w:r>
      <w:r>
        <w:t xml:space="preserve">, </w:t>
      </w:r>
      <w:r>
        <w:rPr>
          <w:i/>
          <w:iCs/>
        </w:rPr>
        <w:t>53</w:t>
      </w:r>
      <w:r>
        <w:t>(D1), D20–D29. https://doi.org/10.1093/nar/gkae979</w:t>
      </w:r>
    </w:p>
    <w:p w14:paraId="42721FE5" w14:textId="77777777" w:rsidR="00D9297E" w:rsidRDefault="00D9297E" w:rsidP="00D9297E">
      <w:pPr>
        <w:pStyle w:val="Bibliography"/>
      </w:pPr>
      <w:r>
        <w:rPr>
          <w:i/>
          <w:iCs/>
        </w:rPr>
        <w:t>Scale Functions for Visualization</w:t>
      </w:r>
      <w:r>
        <w:t>. (n.d.). Retrieved November 7, 2025, from https://scales.r-lib.org/</w:t>
      </w:r>
    </w:p>
    <w:p w14:paraId="2F3E6EC8" w14:textId="77777777" w:rsidR="00D9297E" w:rsidRDefault="00D9297E" w:rsidP="00D9297E">
      <w:pPr>
        <w:pStyle w:val="Bibliography"/>
      </w:pPr>
      <w:r>
        <w:lastRenderedPageBreak/>
        <w:t xml:space="preserve">Schlomann, B. H., &amp; Parthasarathy, R. (2019). Timescales of gut microbiome dynamics. </w:t>
      </w:r>
      <w:r>
        <w:rPr>
          <w:i/>
          <w:iCs/>
        </w:rPr>
        <w:t>Current Opinion in Microbiology, Microbiota</w:t>
      </w:r>
      <w:r>
        <w:t xml:space="preserve">, </w:t>
      </w:r>
      <w:r>
        <w:rPr>
          <w:i/>
          <w:iCs/>
        </w:rPr>
        <w:t>50</w:t>
      </w:r>
      <w:r>
        <w:t>, 56–63. https://doi.org/10.1016/j.mib.2019.09.011</w:t>
      </w:r>
    </w:p>
    <w:p w14:paraId="092CB94A" w14:textId="77777777" w:rsidR="00D9297E" w:rsidRDefault="00D9297E" w:rsidP="00D9297E">
      <w:pPr>
        <w:pStyle w:val="Bibliography"/>
      </w:pPr>
      <w:r>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Pr>
          <w:i/>
          <w:iCs/>
        </w:rPr>
        <w:t>Applied and Environmental Microbiology</w:t>
      </w:r>
      <w:r>
        <w:t xml:space="preserve">, </w:t>
      </w:r>
      <w:r>
        <w:rPr>
          <w:i/>
          <w:iCs/>
        </w:rPr>
        <w:t>75</w:t>
      </w:r>
      <w:r>
        <w:t>(23), 7537–7541. https://doi.org/10.1128/AEM.01541-09</w:t>
      </w:r>
    </w:p>
    <w:p w14:paraId="13CCFC11" w14:textId="77777777" w:rsidR="00D9297E" w:rsidRDefault="00D9297E" w:rsidP="00D9297E">
      <w:pPr>
        <w:pStyle w:val="Bibliography"/>
      </w:pPr>
      <w:r>
        <w:t xml:space="preserve">Seemann, T. (2014). Prokka: Rapid prokaryotic genome annotation. </w:t>
      </w:r>
      <w:r>
        <w:rPr>
          <w:i/>
          <w:iCs/>
        </w:rPr>
        <w:t>Bioinformatics</w:t>
      </w:r>
      <w:r>
        <w:t xml:space="preserve">, </w:t>
      </w:r>
      <w:r>
        <w:rPr>
          <w:i/>
          <w:iCs/>
        </w:rPr>
        <w:t>30</w:t>
      </w:r>
      <w:r>
        <w:t>(14), 2068–2069. https://doi.org/10.1093/bioinformatics/btu153</w:t>
      </w:r>
    </w:p>
    <w:p w14:paraId="39EEC3C9" w14:textId="77777777" w:rsidR="00D9297E" w:rsidRDefault="00D9297E" w:rsidP="00D9297E">
      <w:pPr>
        <w:pStyle w:val="Bibliography"/>
      </w:pPr>
      <w:r>
        <w:t xml:space="preserve">Seemann, T. (2022). </w:t>
      </w:r>
      <w:r>
        <w:rPr>
          <w:i/>
          <w:iCs/>
        </w:rPr>
        <w:t>Snippy</w:t>
      </w:r>
      <w:r>
        <w:t xml:space="preserve"> [Perl]. https://github.com/tseemann/snippy (Original work published 2014)</w:t>
      </w:r>
    </w:p>
    <w:p w14:paraId="17D9C4EC" w14:textId="77777777" w:rsidR="00D9297E" w:rsidRDefault="00D9297E" w:rsidP="00D9297E">
      <w:pPr>
        <w:pStyle w:val="Bibliography"/>
      </w:pPr>
      <w:r>
        <w:t xml:space="preserve">Setlow, P. (2003). Spore germination. </w:t>
      </w:r>
      <w:r>
        <w:rPr>
          <w:i/>
          <w:iCs/>
        </w:rPr>
        <w:t>Current Opinion in Microbiology</w:t>
      </w:r>
      <w:r>
        <w:t xml:space="preserve">, </w:t>
      </w:r>
      <w:r>
        <w:rPr>
          <w:i/>
          <w:iCs/>
        </w:rPr>
        <w:t>6</w:t>
      </w:r>
      <w:r>
        <w:t>(6), 550–556. https://doi.org/10.1016/j.mib.2003.10.001</w:t>
      </w:r>
    </w:p>
    <w:p w14:paraId="18644F7A" w14:textId="77777777" w:rsidR="00D9297E" w:rsidRDefault="00D9297E" w:rsidP="00D9297E">
      <w:pPr>
        <w:pStyle w:val="Bibliography"/>
      </w:pPr>
      <w:r>
        <w:t xml:space="preserve">Setlow, P. (2014). Spore Resistance Properties. </w:t>
      </w:r>
      <w:r>
        <w:rPr>
          <w:i/>
          <w:iCs/>
        </w:rPr>
        <w:t>Microbiology Spectrum</w:t>
      </w:r>
      <w:r>
        <w:t xml:space="preserve">, </w:t>
      </w:r>
      <w:r>
        <w:rPr>
          <w:i/>
          <w:iCs/>
        </w:rPr>
        <w:t>2</w:t>
      </w:r>
      <w:r>
        <w:t>(5), 10.1128/microbiolspec.tbs-0003–2012. https://doi.org/10.1128/microbiolspec.tbs-0003-2012</w:t>
      </w:r>
    </w:p>
    <w:p w14:paraId="5B49C892" w14:textId="77777777" w:rsidR="00D9297E" w:rsidRDefault="00D9297E" w:rsidP="00D9297E">
      <w:pPr>
        <w:pStyle w:val="Bibliography"/>
      </w:pPr>
      <w:r>
        <w:t xml:space="preserve">Setlow, P., Wang, S., &amp; Li, Y.-Q. (2017). Germination of Spores of the Orders Bacillales and Clostridiales. </w:t>
      </w:r>
      <w:r>
        <w:rPr>
          <w:i/>
          <w:iCs/>
        </w:rPr>
        <w:t>Annual Review of Microbiology</w:t>
      </w:r>
      <w:r>
        <w:t xml:space="preserve">, </w:t>
      </w:r>
      <w:r>
        <w:rPr>
          <w:i/>
          <w:iCs/>
        </w:rPr>
        <w:t>71</w:t>
      </w:r>
      <w:r>
        <w:t>, 459–477. https://doi.org/10.1146/annurev-micro-090816-093558</w:t>
      </w:r>
    </w:p>
    <w:p w14:paraId="38A06D4B" w14:textId="77777777" w:rsidR="00D9297E" w:rsidRDefault="00D9297E" w:rsidP="00D9297E">
      <w:pPr>
        <w:pStyle w:val="Bibliography"/>
      </w:pPr>
      <w:r>
        <w:t xml:space="preserve">Shade, A., Peter, H., Allison, S. D., Baho, D., Berga, M., Buergmann, H., Huber, D. H., Langenheder, S., Lennon, J. T., Martiny, J. B., Matulich, K. L., Schmidt, T. M., &amp; </w:t>
      </w:r>
      <w:r>
        <w:lastRenderedPageBreak/>
        <w:t xml:space="preserve">Handelsman, J. (2012). Fundamentals of Microbial Community Resistance and Resilience. </w:t>
      </w:r>
      <w:r>
        <w:rPr>
          <w:i/>
          <w:iCs/>
        </w:rPr>
        <w:t>Frontiers in Microbiology</w:t>
      </w:r>
      <w:r>
        <w:t xml:space="preserve">, </w:t>
      </w:r>
      <w:r>
        <w:rPr>
          <w:i/>
          <w:iCs/>
        </w:rPr>
        <w:t>3</w:t>
      </w:r>
      <w:r>
        <w:t>. https://doi.org/10.3389/fmicb.2012.00417</w:t>
      </w:r>
    </w:p>
    <w:p w14:paraId="7D8DB16E" w14:textId="77777777" w:rsidR="00D9297E" w:rsidRDefault="00D9297E" w:rsidP="00D9297E">
      <w:pPr>
        <w:pStyle w:val="Bibliography"/>
      </w:pPr>
      <w:r>
        <w:t xml:space="preserve">Sinha, T., Vich Vila, A., Garmaeva, S., Jankipersadsing, S. A., Imhann, F., Collij, V., Bonder, M. J., Jiang, X., Gurry, T., Alm, E. J., D’Amato, M., Weersma, R. K., Scherjon, S., Wijmenga, C., Fu, J., Kurilshikov, A., &amp; Zhernakova, A. (2018). Analysis of 1135 gut metagenomes identifies sex-specific resistome profiles. </w:t>
      </w:r>
      <w:r>
        <w:rPr>
          <w:i/>
          <w:iCs/>
        </w:rPr>
        <w:t>Gut Microbes</w:t>
      </w:r>
      <w:r>
        <w:t xml:space="preserve">, </w:t>
      </w:r>
      <w:r>
        <w:rPr>
          <w:i/>
          <w:iCs/>
        </w:rPr>
        <w:t>10</w:t>
      </w:r>
      <w:r>
        <w:t>(3), 358–366. https://doi.org/10.1080/19490976.2018.1528822</w:t>
      </w:r>
    </w:p>
    <w:p w14:paraId="3FDCCB56" w14:textId="77777777" w:rsidR="00D9297E" w:rsidRDefault="00D9297E" w:rsidP="00D9297E">
      <w:pPr>
        <w:pStyle w:val="Bibliography"/>
      </w:pPr>
      <w:r>
        <w:rPr>
          <w:i/>
          <w:iCs/>
        </w:rPr>
        <w:t>Slovenia: National One Health strategy for the management of microbial resistance 2019-2024 (Slovenian)</w:t>
      </w:r>
      <w:r>
        <w:t>. (n.d.). Retrieved January 19, 2026, from https://www.who.int/publications/m/item/slovenia-national-one-health-strategy-for-the-management-of-microbial-resistance-2019-2024</w:t>
      </w:r>
    </w:p>
    <w:p w14:paraId="14717E2F" w14:textId="77777777" w:rsidR="00D9297E" w:rsidRDefault="00D9297E" w:rsidP="00D9297E">
      <w:pPr>
        <w:pStyle w:val="Bibliography"/>
      </w:pPr>
      <w:r>
        <w:t xml:space="preserve">Soavelomandroso, A. P., Gaudin, F., Hoys, S., Nicolas, V., Vedantam, G., Janoir, C., &amp; Bouttier, S. (2017). Biofilm Structures in a Mono-Associated Mouse Model of Clostridium difficile Infection. </w:t>
      </w:r>
      <w:r>
        <w:rPr>
          <w:i/>
          <w:iCs/>
        </w:rPr>
        <w:t>Frontiers in Microbiology</w:t>
      </w:r>
      <w:r>
        <w:t xml:space="preserve">, </w:t>
      </w:r>
      <w:r>
        <w:rPr>
          <w:i/>
          <w:iCs/>
        </w:rPr>
        <w:t>8</w:t>
      </w:r>
      <w:r>
        <w:t>, 2086. https://doi.org/10.3389/fmicb.2017.02086</w:t>
      </w:r>
    </w:p>
    <w:p w14:paraId="61027FAE" w14:textId="77777777" w:rsidR="00D9297E" w:rsidRDefault="00D9297E" w:rsidP="00D9297E">
      <w:pPr>
        <w:pStyle w:val="Bibliography"/>
      </w:pPr>
      <w:r>
        <w:t xml:space="preserve">Song, H. S., Kim, Y. B., Kim, J. Y., Roh, S. W., &amp; Whon, T. W. (2024). </w:t>
      </w:r>
      <w:r>
        <w:rPr>
          <w:i/>
          <w:iCs/>
        </w:rPr>
        <w:t>Advances in Culturomics Research on the Human Gut Microbiome: Optimizing Medium Composition and Culture Techniques for Enhanced Microbial Discovery</w:t>
      </w:r>
      <w:r>
        <w:t xml:space="preserve">. </w:t>
      </w:r>
      <w:r>
        <w:rPr>
          <w:i/>
          <w:iCs/>
        </w:rPr>
        <w:t>34</w:t>
      </w:r>
      <w:r>
        <w:t>(4), 757–764. https://doi.org/10.4014/jmb.2311.11024</w:t>
      </w:r>
    </w:p>
    <w:p w14:paraId="37E90F4D" w14:textId="77777777" w:rsidR="00D9297E" w:rsidRDefault="00D9297E" w:rsidP="00D9297E">
      <w:pPr>
        <w:pStyle w:val="Bibliography"/>
      </w:pPr>
      <w:r>
        <w:t xml:space="preserve">Swick, M. C., Koehler, T. M., &amp; Driks, A. (2016). Surviving Between Hosts: Sporulation and Transmission. </w:t>
      </w:r>
      <w:r>
        <w:rPr>
          <w:i/>
          <w:iCs/>
        </w:rPr>
        <w:t>Microbiology Spectrum</w:t>
      </w:r>
      <w:r>
        <w:t xml:space="preserve">, </w:t>
      </w:r>
      <w:r>
        <w:rPr>
          <w:i/>
          <w:iCs/>
        </w:rPr>
        <w:t>4</w:t>
      </w:r>
      <w:r>
        <w:t>(4), 10.1128/microbiolspec.VMBF-0029–2015. https://doi.org/10.1128/microbiolspec.VMBF-0029-2015</w:t>
      </w:r>
    </w:p>
    <w:p w14:paraId="02FCD5B1" w14:textId="77777777" w:rsidR="00D9297E" w:rsidRDefault="00D9297E" w:rsidP="00D9297E">
      <w:pPr>
        <w:pStyle w:val="Bibliography"/>
      </w:pPr>
      <w:r>
        <w:lastRenderedPageBreak/>
        <w:t xml:space="preserve">Tamames, J., &amp; Puente-Sánchez, F. (2019). SqueezeMeta, A Highly Portable, Fully Automatic Metagenomic Analysis Pipeline. </w:t>
      </w:r>
      <w:r>
        <w:rPr>
          <w:i/>
          <w:iCs/>
        </w:rPr>
        <w:t>Frontiers in Microbiology</w:t>
      </w:r>
      <w:r>
        <w:t xml:space="preserve">, </w:t>
      </w:r>
      <w:r>
        <w:rPr>
          <w:i/>
          <w:iCs/>
        </w:rPr>
        <w:t>9</w:t>
      </w:r>
      <w:r>
        <w:t>. https://doi.org/10.3389/fmicb.2018.03349</w:t>
      </w:r>
    </w:p>
    <w:p w14:paraId="389E9D2D" w14:textId="77777777" w:rsidR="00D9297E" w:rsidRDefault="00D9297E" w:rsidP="00D9297E">
      <w:pPr>
        <w:pStyle w:val="Bibliography"/>
      </w:pPr>
      <w:r>
        <w:t xml:space="preserve">Tamura, K., Stecher, G., &amp; Kumar, S. (2021). MEGA11: Molecular Evolutionary Genetics Analysis Version 11. </w:t>
      </w:r>
      <w:r>
        <w:rPr>
          <w:i/>
          <w:iCs/>
        </w:rPr>
        <w:t>Molecular Biology and Evolution</w:t>
      </w:r>
      <w:r>
        <w:t xml:space="preserve">, </w:t>
      </w:r>
      <w:r>
        <w:rPr>
          <w:i/>
          <w:iCs/>
        </w:rPr>
        <w:t>38</w:t>
      </w:r>
      <w:r>
        <w:t>(7), 3022–3027. https://doi.org/10.1093/molbev/msab120</w:t>
      </w:r>
    </w:p>
    <w:p w14:paraId="380091D4" w14:textId="77777777" w:rsidR="00D9297E" w:rsidRDefault="00D9297E" w:rsidP="00D9297E">
      <w:pPr>
        <w:pStyle w:val="Bibliography"/>
      </w:pPr>
      <w:r>
        <w:t xml:space="preserve">Tanaka, M., Onizuka, S., Mishima, R., &amp; Nakayama, J. (2020). Cultural isolation of spore-forming bacteria in human feces using bile acids. </w:t>
      </w:r>
      <w:r>
        <w:rPr>
          <w:i/>
          <w:iCs/>
        </w:rPr>
        <w:t>Scientific Reports</w:t>
      </w:r>
      <w:r>
        <w:t xml:space="preserve">, </w:t>
      </w:r>
      <w:r>
        <w:rPr>
          <w:i/>
          <w:iCs/>
        </w:rPr>
        <w:t>10</w:t>
      </w:r>
      <w:r>
        <w:t>, 15041. https://doi.org/10.1038/s41598-020-71883-1</w:t>
      </w:r>
    </w:p>
    <w:p w14:paraId="08E751A1" w14:textId="77777777" w:rsidR="00D9297E" w:rsidRDefault="00D9297E" w:rsidP="00D9297E">
      <w:pPr>
        <w:pStyle w:val="Bibliography"/>
      </w:pPr>
      <w:r>
        <w:t xml:space="preserve">Tetz, G., &amp; Tetz, V. (2017). Introducing the sporobiota and sporobiome. </w:t>
      </w:r>
      <w:r>
        <w:rPr>
          <w:i/>
          <w:iCs/>
        </w:rPr>
        <w:t>Gut Pathogens</w:t>
      </w:r>
      <w:r>
        <w:t xml:space="preserve">, </w:t>
      </w:r>
      <w:r>
        <w:rPr>
          <w:i/>
          <w:iCs/>
        </w:rPr>
        <w:t>9</w:t>
      </w:r>
      <w:r>
        <w:t>(1), 38. https://doi.org/10.1186/s13099-017-0187-8</w:t>
      </w:r>
    </w:p>
    <w:p w14:paraId="2D333846" w14:textId="77777777" w:rsidR="00D9297E" w:rsidRDefault="00D9297E" w:rsidP="00D9297E">
      <w:pPr>
        <w:pStyle w:val="Bibliography"/>
      </w:pPr>
      <w:r>
        <w:t xml:space="preserve">Thursby, E., &amp; Juge, N. (2017). Introduction to the human gut microbiota. </w:t>
      </w:r>
      <w:r>
        <w:rPr>
          <w:i/>
          <w:iCs/>
        </w:rPr>
        <w:t>Biochemical Journal</w:t>
      </w:r>
      <w:r>
        <w:t xml:space="preserve">, </w:t>
      </w:r>
      <w:r>
        <w:rPr>
          <w:i/>
          <w:iCs/>
        </w:rPr>
        <w:t>474</w:t>
      </w:r>
      <w:r>
        <w:t>(11), 1823–1836. https://doi.org/10.1042/BCJ20160510</w:t>
      </w:r>
    </w:p>
    <w:p w14:paraId="2102A468" w14:textId="77777777" w:rsidR="00D9297E" w:rsidRDefault="00D9297E" w:rsidP="00D9297E">
      <w:pPr>
        <w:pStyle w:val="Bibliography"/>
      </w:pPr>
      <w:r>
        <w:t xml:space="preserve">Tidjani Alou, M., Naud, S., Khelaifia, S., Bonnet, M., Lagier, J.-C., &amp; Raoult, D. (2020). State of the Art in the Culture of the Human Microbiota: New Interests and Strategies. </w:t>
      </w:r>
      <w:r>
        <w:rPr>
          <w:i/>
          <w:iCs/>
        </w:rPr>
        <w:t>Clinical Microbiology Reviews</w:t>
      </w:r>
      <w:r>
        <w:t xml:space="preserve">, </w:t>
      </w:r>
      <w:r>
        <w:rPr>
          <w:i/>
          <w:iCs/>
        </w:rPr>
        <w:t>34</w:t>
      </w:r>
      <w:r>
        <w:t>(1), 10.1128/cmr.00129-19. https://doi.org/10.1128/cmr.00129-19</w:t>
      </w:r>
    </w:p>
    <w:p w14:paraId="7D69EE7D" w14:textId="77777777" w:rsidR="00D9297E" w:rsidRDefault="00D9297E" w:rsidP="00D9297E">
      <w:pPr>
        <w:pStyle w:val="Bibliography"/>
      </w:pPr>
      <w:r>
        <w:t xml:space="preserve">tidyverse. (2025). </w:t>
      </w:r>
      <w:r>
        <w:rPr>
          <w:i/>
          <w:iCs/>
        </w:rPr>
        <w:t>Tidyverse/glue</w:t>
      </w:r>
      <w:r>
        <w:t xml:space="preserve"> [R]. https://github.com/tidyverse/glue (Original work published 2016)</w:t>
      </w:r>
    </w:p>
    <w:p w14:paraId="63EF20E7" w14:textId="77777777" w:rsidR="00D9297E" w:rsidRDefault="00D9297E" w:rsidP="00D9297E">
      <w:pPr>
        <w:pStyle w:val="Bibliography"/>
      </w:pPr>
      <w:r>
        <w:t xml:space="preserve">Turroni, S., Rampelli, S., Biagi, E., Consolandi, C., Severgnini, M., Peano, C., Quercia, S., Soverini, M., Carbonero, F. G., Bianconi, G., Rettberg, P., Canganella, F., Brigidi, P., &amp; Candela, M. (2017). Temporal dynamics of the gut microbiota in people sharing a confined </w:t>
      </w:r>
      <w:r>
        <w:lastRenderedPageBreak/>
        <w:t xml:space="preserve">environment, a 520-day ground-based space simulation, MARS500. </w:t>
      </w:r>
      <w:r>
        <w:rPr>
          <w:i/>
          <w:iCs/>
        </w:rPr>
        <w:t>Microbiome</w:t>
      </w:r>
      <w:r>
        <w:t xml:space="preserve">, </w:t>
      </w:r>
      <w:r>
        <w:rPr>
          <w:i/>
          <w:iCs/>
        </w:rPr>
        <w:t>5</w:t>
      </w:r>
      <w:r>
        <w:t>(1), 39. https://doi.org/10.1186/s40168-017-0256-8</w:t>
      </w:r>
    </w:p>
    <w:p w14:paraId="67CE228B" w14:textId="77777777" w:rsidR="00D9297E" w:rsidRDefault="00D9297E" w:rsidP="00D9297E">
      <w:pPr>
        <w:pStyle w:val="Bibliography"/>
      </w:pPr>
      <w:r>
        <w:t xml:space="preserve">Valles-Colomer, M., Blanco-Míguez, A., Manghi, P., Asnicar, F., Dubois, L., Golzato, D., Armanini, F., Cumbo, F., Huang, K. D., Manara, S., Masetti, G., Pinto, F., Piperni, E., Punčochář, M., Ricci, L., Zolfo, M., Farrant, O., Goncalves, A., Selma-Royo, M., … Segata, N. (2023). The person-to-person transmission landscape of the gut and oral microbiomes. </w:t>
      </w:r>
      <w:r>
        <w:rPr>
          <w:i/>
          <w:iCs/>
        </w:rPr>
        <w:t>Nature</w:t>
      </w:r>
      <w:r>
        <w:t xml:space="preserve">, </w:t>
      </w:r>
      <w:r>
        <w:rPr>
          <w:i/>
          <w:iCs/>
        </w:rPr>
        <w:t>614</w:t>
      </w:r>
      <w:r>
        <w:t>(7946), Article 7946. https://doi.org/10.1038/s41586-022-05620-1</w:t>
      </w:r>
    </w:p>
    <w:p w14:paraId="6A102C86" w14:textId="77777777" w:rsidR="00D9297E" w:rsidRDefault="00D9297E" w:rsidP="00D9297E">
      <w:pPr>
        <w:pStyle w:val="Bibliography"/>
      </w:pPr>
      <w:r>
        <w:t xml:space="preserve">Van Rossum, T., Ferretti, P., Maistrenko, O. M., &amp; Bork, P. (2020). Diversity within species: Interpreting strains in microbiomes. </w:t>
      </w:r>
      <w:r>
        <w:rPr>
          <w:i/>
          <w:iCs/>
        </w:rPr>
        <w:t>Nature Reviews Microbiology</w:t>
      </w:r>
      <w:r>
        <w:t xml:space="preserve">, </w:t>
      </w:r>
      <w:r>
        <w:rPr>
          <w:i/>
          <w:iCs/>
        </w:rPr>
        <w:t>18</w:t>
      </w:r>
      <w:r>
        <w:t>(9), 491–506. https://doi.org/10.1038/s41579-020-0368-1</w:t>
      </w:r>
    </w:p>
    <w:p w14:paraId="0988FE74" w14:textId="77777777" w:rsidR="00D9297E" w:rsidRDefault="00D9297E" w:rsidP="00D9297E">
      <w:pPr>
        <w:pStyle w:val="Bibliography"/>
      </w:pPr>
      <w:r>
        <w:t xml:space="preserve">Wickham, H., Averick, M., Bryan, J., Chang, W., McGowan, L., François, R., Grolemund, G., Hayes, A., Henry, L., Hester, J., Kuhn, M., Pedersen, T., Miller, E., Bache, S., Müller, K., Ooms, J., Robinson, D., Seidel, D., Spinu, V., … Yutani, H. (2019). Welcome to the Tidyverse. </w:t>
      </w:r>
      <w:r>
        <w:rPr>
          <w:i/>
          <w:iCs/>
        </w:rPr>
        <w:t>Journal of Open Source Software</w:t>
      </w:r>
      <w:r>
        <w:t xml:space="preserve">, </w:t>
      </w:r>
      <w:r>
        <w:rPr>
          <w:i/>
          <w:iCs/>
        </w:rPr>
        <w:t>4</w:t>
      </w:r>
      <w:r>
        <w:t>(43), 1686. https://doi.org/10.21105/joss.01686</w:t>
      </w:r>
    </w:p>
    <w:p w14:paraId="67965F96" w14:textId="77777777" w:rsidR="00D9297E" w:rsidRDefault="00D9297E" w:rsidP="00D9297E">
      <w:pPr>
        <w:pStyle w:val="Bibliography"/>
      </w:pPr>
      <w:r>
        <w:t xml:space="preserve">Willmann, M., Vehreschild, M. J. G. T., Biehl, L. M., Vogel, W., Dörfel, D., Hamprecht, A., Seifert, H., Autenrieth, I. B., &amp; Peter, S. (2019). Distinct impact of antibiotics on the gut microbiome and resistome: A longitudinal multicenter cohort study. </w:t>
      </w:r>
      <w:r>
        <w:rPr>
          <w:i/>
          <w:iCs/>
        </w:rPr>
        <w:t>BMC Biology</w:t>
      </w:r>
      <w:r>
        <w:t xml:space="preserve">, </w:t>
      </w:r>
      <w:r>
        <w:rPr>
          <w:i/>
          <w:iCs/>
        </w:rPr>
        <w:t>17</w:t>
      </w:r>
      <w:r>
        <w:t>(1), 76. https://doi.org/10.1186/s12915-019-0692-y</w:t>
      </w:r>
    </w:p>
    <w:p w14:paraId="0EDDE738" w14:textId="77777777" w:rsidR="00D9297E" w:rsidRDefault="00D9297E" w:rsidP="00D9297E">
      <w:pPr>
        <w:pStyle w:val="Bibliography"/>
      </w:pPr>
      <w:r>
        <w:t xml:space="preserve">Wolff, R., Shoemaker, W., &amp; Garud, N. (2023). Ecological Stability Emerges at the Level of Strains in the Human Gut Microbiome. </w:t>
      </w:r>
      <w:r>
        <w:rPr>
          <w:i/>
          <w:iCs/>
        </w:rPr>
        <w:t>mBio</w:t>
      </w:r>
      <w:r>
        <w:t xml:space="preserve">, </w:t>
      </w:r>
      <w:r>
        <w:rPr>
          <w:i/>
          <w:iCs/>
        </w:rPr>
        <w:t>14</w:t>
      </w:r>
      <w:r>
        <w:t>(2), e02502-22. https://doi.org/10.1128/mbio.02502-22</w:t>
      </w:r>
    </w:p>
    <w:p w14:paraId="71FC0E22" w14:textId="77777777" w:rsidR="00D9297E" w:rsidRDefault="00D9297E" w:rsidP="00D9297E">
      <w:pPr>
        <w:pStyle w:val="Bibliography"/>
      </w:pPr>
      <w:r>
        <w:lastRenderedPageBreak/>
        <w:t xml:space="preserve">Worby, C. J., Schreiber, H. L., Straub, T. J., van Dijk, L. R., Bronson, R. A., Olson, B. S., Pinkner, J. S., Obernuefemann, C. L. P., Muñoz, V. L., Paharik, A. E., Azimzadeh, P. N., Walker, B. J., Desjardins, C. A., Chou, W.-C., Bergeron, K., Chapman, S. B., Klim, A., Manson, A. L., Hannan, T. J., … Earl, A. M. (2022). Longitudinal multi-omics analyses link gut microbiome dysbiosis with recurrent urinary tract infections in women. </w:t>
      </w:r>
      <w:r>
        <w:rPr>
          <w:i/>
          <w:iCs/>
        </w:rPr>
        <w:t>Nature Microbiology</w:t>
      </w:r>
      <w:r>
        <w:t xml:space="preserve">, </w:t>
      </w:r>
      <w:r>
        <w:rPr>
          <w:i/>
          <w:iCs/>
        </w:rPr>
        <w:t>7</w:t>
      </w:r>
      <w:r>
        <w:t>(5), Article 5. https://doi.org/10.1038/s41564-022-01107-x</w:t>
      </w:r>
    </w:p>
    <w:p w14:paraId="6DB7106E" w14:textId="77777777" w:rsidR="00D9297E" w:rsidRDefault="00D9297E" w:rsidP="00D9297E">
      <w:pPr>
        <w:pStyle w:val="Bibliography"/>
      </w:pPr>
      <w:r>
        <w:t xml:space="preserve">Wuethrich, I., W. Pelzer, B., Khodamoradi, Y., &amp; Vehreschild, M. J. G. T. (2021). The role of the human gut microbiota in colonization and infection with multidrug-resistant bacteria. </w:t>
      </w:r>
      <w:r>
        <w:rPr>
          <w:i/>
          <w:iCs/>
        </w:rPr>
        <w:t>Gut Microbes</w:t>
      </w:r>
      <w:r>
        <w:t xml:space="preserve">, </w:t>
      </w:r>
      <w:r>
        <w:rPr>
          <w:i/>
          <w:iCs/>
        </w:rPr>
        <w:t>13</w:t>
      </w:r>
      <w:r>
        <w:t>(1), 1911279. https://doi.org/10.1080/19490976.2021.1911279</w:t>
      </w:r>
    </w:p>
    <w:p w14:paraId="22FE4353" w14:textId="77777777" w:rsidR="00D9297E" w:rsidRDefault="00D9297E" w:rsidP="00D9297E">
      <w:pPr>
        <w:pStyle w:val="Bibliography"/>
      </w:pPr>
      <w:r>
        <w:t xml:space="preserve">Xia, Y., Zhu, Y., Li, Q., &amp; Lu, J. (2019). Human gut resistome can be country-specific. </w:t>
      </w:r>
      <w:r>
        <w:rPr>
          <w:i/>
          <w:iCs/>
        </w:rPr>
        <w:t>PeerJ</w:t>
      </w:r>
      <w:r>
        <w:t xml:space="preserve">, </w:t>
      </w:r>
      <w:r>
        <w:rPr>
          <w:i/>
          <w:iCs/>
        </w:rPr>
        <w:t>7</w:t>
      </w:r>
      <w:r>
        <w:t>, e6389. https://doi.org/10.7717/peerj.6389</w:t>
      </w:r>
    </w:p>
    <w:p w14:paraId="0F698845" w14:textId="77777777" w:rsidR="00D9297E" w:rsidRDefault="00D9297E" w:rsidP="00D9297E">
      <w:pPr>
        <w:pStyle w:val="Bibliography"/>
      </w:pPr>
      <w:r>
        <w:t xml:space="preserve">Yassour, M., Jason, E., Hogstrom, L. J., Arthur, T. D., Tripathi, S., Siljander, H., Selvenius, J., Oikarinen, S., Hyöty, H., Virtanen, S. M., Ilonen, J., Ferretti, P., Pasolli, E., Tett, A., Asnicar, F., Segata, N., Vlamakis, H., Lander, E. S., Huttenhower, C., … Xavier, R. J. (2018). Strain-Level Analysis of Mother-to-Child Bacterial Transmission during the First Few Months of Life. </w:t>
      </w:r>
      <w:r>
        <w:rPr>
          <w:i/>
          <w:iCs/>
        </w:rPr>
        <w:t>Cell Host &amp; Microbe</w:t>
      </w:r>
      <w:r>
        <w:t xml:space="preserve">, </w:t>
      </w:r>
      <w:r>
        <w:rPr>
          <w:i/>
          <w:iCs/>
        </w:rPr>
        <w:t>24</w:t>
      </w:r>
      <w:r>
        <w:t>(1), 146-154.e4. https://doi.org/10.1016/j.chom.2018.06.007</w:t>
      </w:r>
    </w:p>
    <w:p w14:paraId="5E9D6C9F" w14:textId="77777777" w:rsidR="00D9297E" w:rsidRDefault="00D9297E" w:rsidP="00D9297E">
      <w:pPr>
        <w:pStyle w:val="Bibliography"/>
      </w:pPr>
      <w:r>
        <w:t xml:space="preserve">Zeevi, D., Korem, T., Zmora, N., Israeli, D., Rothschild, D., Weinberger, A., Ben-Yacov, O., Lador, D., Avnit-Sagi, T., Lotan-Pompan, M., Suez, J., Mahdi, J. A., Matot, E., Malka, G., Kosower, N., Rein, M., Zilberman-Schapira, G., Dohnalová, L., Pevsner-Fischer, M., … Segal, E. (2015). Personalized Nutrition by Prediction of Glycemic Responses. </w:t>
      </w:r>
      <w:r>
        <w:rPr>
          <w:i/>
          <w:iCs/>
        </w:rPr>
        <w:t>Cell</w:t>
      </w:r>
      <w:r>
        <w:t xml:space="preserve">, </w:t>
      </w:r>
      <w:r>
        <w:rPr>
          <w:i/>
          <w:iCs/>
        </w:rPr>
        <w:t>163</w:t>
      </w:r>
      <w:r>
        <w:t>(5), 1079–1094. https://doi.org/10.1016/j.cell.2015.11.001</w:t>
      </w:r>
    </w:p>
    <w:p w14:paraId="585CFA62" w14:textId="77777777" w:rsidR="00D9297E" w:rsidRDefault="00D9297E" w:rsidP="00D9297E">
      <w:pPr>
        <w:pStyle w:val="Bibliography"/>
      </w:pPr>
      <w:r>
        <w:lastRenderedPageBreak/>
        <w:t xml:space="preserve">Zhou, X., Shen, X., Johnson, J. S., Spakowicz, D. J., Agnello, M., Zhou, W., Avina, M., Honkala, A., Chleilat, F., Chen, S. J., Cha, K., Leopold, S., Zhu, C., Chen, L., Lyu, L., Hornburg, D., Wu, S., Zhang, X., Jiang, C., … Snyder, Michael P. (2024). Longitudinal profiling of the microbiome at four body sites reveals core stability and individualized dynamics during health and disease. </w:t>
      </w:r>
      <w:r>
        <w:rPr>
          <w:i/>
          <w:iCs/>
        </w:rPr>
        <w:t>Cell Host &amp; Microbe</w:t>
      </w:r>
      <w:r>
        <w:t xml:space="preserve">, </w:t>
      </w:r>
      <w:r>
        <w:rPr>
          <w:i/>
          <w:iCs/>
        </w:rPr>
        <w:t>32</w:t>
      </w:r>
      <w:r>
        <w:t>(4), 506-526.e9. https://doi.org/10.1016/j.chom.2024.02.012</w:t>
      </w:r>
    </w:p>
    <w:p w14:paraId="553D497D" w14:textId="18C1504D" w:rsidR="00A24687" w:rsidRPr="00DA42F5" w:rsidRDefault="001B10A8" w:rsidP="0045642B">
      <w:pPr>
        <w:spacing w:line="240" w:lineRule="auto"/>
        <w:rPr>
          <w:szCs w:val="24"/>
        </w:rPr>
      </w:pPr>
      <w:r w:rsidRPr="00DA42F5">
        <w:rPr>
          <w:szCs w:val="24"/>
        </w:rPr>
        <w:fldChar w:fldCharType="end"/>
      </w:r>
    </w:p>
    <w:sectPr w:rsidR="00A24687" w:rsidRPr="00DA42F5" w:rsidSect="00336811">
      <w:footerReference w:type="default" r:id="rId3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Maja Rupnik" w:date="2025-12-12T09:47:00Z" w:initials="MR">
    <w:p w14:paraId="3B2526BE" w14:textId="0EC1B525" w:rsidR="00E95D46" w:rsidRDefault="00E95D46" w:rsidP="00E95D46">
      <w:pPr>
        <w:pStyle w:val="CommentText"/>
        <w:jc w:val="left"/>
      </w:pPr>
      <w:r>
        <w:rPr>
          <w:rStyle w:val="CommentReference"/>
        </w:rPr>
        <w:annotationRef/>
      </w:r>
      <w:r>
        <w:t>Lahko uporabljaš pre-determined and predefined</w:t>
      </w:r>
    </w:p>
  </w:comment>
  <w:comment w:id="42" w:author="Maja Rupnik" w:date="2026-01-08T13:07:00Z" w:initials="MR">
    <w:p w14:paraId="65EE8D7D" w14:textId="77777777" w:rsidR="00702F47" w:rsidRDefault="00702F47" w:rsidP="00702F47">
      <w:pPr>
        <w:pStyle w:val="CommentText"/>
        <w:jc w:val="left"/>
      </w:pPr>
      <w:r>
        <w:rPr>
          <w:rStyle w:val="CommentReference"/>
        </w:rPr>
        <w:annotationRef/>
      </w:r>
      <w:r>
        <w:t>To pomeni dva vzorca, vsak v duplikatu? Potem nekje dodaj 'each'</w:t>
      </w:r>
    </w:p>
    <w:p w14:paraId="0BB6CEB4" w14:textId="77777777" w:rsidR="00702F47" w:rsidRDefault="00702F47" w:rsidP="00702F47">
      <w:pPr>
        <w:pStyle w:val="CommentText"/>
        <w:jc w:val="left"/>
      </w:pPr>
    </w:p>
    <w:p w14:paraId="184CB7FF" w14:textId="77777777" w:rsidR="00702F47" w:rsidRDefault="00702F47" w:rsidP="00702F47">
      <w:pPr>
        <w:pStyle w:val="CommentText"/>
        <w:jc w:val="left"/>
      </w:pPr>
      <w:r>
        <w:t>Drugače popravi in izbriši 'Two'</w:t>
      </w:r>
    </w:p>
  </w:comment>
  <w:comment w:id="43" w:author="Maja Rupnik" w:date="2026-01-08T13:08:00Z" w:initials="MR">
    <w:p w14:paraId="6C521379" w14:textId="36083878" w:rsidR="00702F47" w:rsidRDefault="00702F47" w:rsidP="00702F47">
      <w:pPr>
        <w:pStyle w:val="CommentText"/>
        <w:jc w:val="left"/>
      </w:pPr>
      <w:r>
        <w:rPr>
          <w:rStyle w:val="CommentReference"/>
        </w:rPr>
        <w:annotationRef/>
      </w:r>
      <w:r>
        <w:t>Ali pa je samo 'duplicates' odveč?</w:t>
      </w:r>
    </w:p>
  </w:comment>
  <w:comment w:id="50" w:author="Maja Rupnik" w:date="2026-01-08T13:11:00Z" w:initials="MR">
    <w:p w14:paraId="42DF52FB" w14:textId="77777777" w:rsidR="00702F47" w:rsidRDefault="00702F47" w:rsidP="00702F47">
      <w:pPr>
        <w:pStyle w:val="CommentText"/>
        <w:jc w:val="left"/>
      </w:pPr>
      <w:r>
        <w:rPr>
          <w:rStyle w:val="CommentReference"/>
        </w:rPr>
        <w:annotationRef/>
      </w:r>
      <w:r>
        <w:t>Tu ni selekcija za microbial/nonmicrobial</w:t>
      </w:r>
    </w:p>
  </w:comment>
  <w:comment w:id="67" w:author="Maja Rupnik" w:date="2026-01-08T13:14:00Z" w:initials="MR">
    <w:p w14:paraId="4B77A110" w14:textId="77777777" w:rsidR="00306439" w:rsidRDefault="00306439" w:rsidP="00306439">
      <w:pPr>
        <w:pStyle w:val="CommentText"/>
        <w:jc w:val="left"/>
      </w:pPr>
      <w:r>
        <w:rPr>
          <w:rStyle w:val="CommentReference"/>
        </w:rPr>
        <w:annotationRef/>
      </w:r>
      <w:r>
        <w:t>Je mogoče bolje dati 'x' namesto pike?</w:t>
      </w:r>
    </w:p>
  </w:comment>
  <w:comment w:id="68" w:author="Urša Miklavčič" w:date="2026-01-21T09:41:00Z" w:initials="UM">
    <w:p w14:paraId="4EDAFAAD" w14:textId="77777777" w:rsidR="00DA42F5" w:rsidRDefault="00DA42F5" w:rsidP="00DA42F5">
      <w:pPr>
        <w:pStyle w:val="CommentText"/>
        <w:jc w:val="left"/>
      </w:pPr>
      <w:r>
        <w:rPr>
          <w:rStyle w:val="CommentReference"/>
        </w:rPr>
        <w:annotationRef/>
      </w:r>
      <w:r>
        <w:t xml:space="preserve">Navodila BF navajajo uporabo pike v enačbah, kjer se ne množijo vektorji. </w:t>
      </w:r>
    </w:p>
  </w:comment>
  <w:comment w:id="84" w:author="Maja Rupnik" w:date="2026-01-08T13:18:00Z" w:initials="MR">
    <w:p w14:paraId="30CD4DA9" w14:textId="59714A15" w:rsidR="00227E0D" w:rsidRDefault="00227E0D" w:rsidP="00227E0D">
      <w:pPr>
        <w:pStyle w:val="CommentText"/>
        <w:jc w:val="left"/>
      </w:pPr>
      <w:r>
        <w:rPr>
          <w:rStyle w:val="CommentReference"/>
        </w:rPr>
        <w:annotationRef/>
      </w:r>
      <w:r>
        <w:t>Sem to prav popravila?</w:t>
      </w:r>
    </w:p>
  </w:comment>
  <w:comment w:id="90" w:author="Urša Miklavčič [2]" w:date="2025-12-09T14:48:00Z" w:initials="UM">
    <w:p w14:paraId="33CC4299" w14:textId="57B1AD8A" w:rsidR="00BB6D0F" w:rsidRDefault="00BB6D0F" w:rsidP="00BB6D0F">
      <w:pPr>
        <w:pStyle w:val="CommentText"/>
        <w:jc w:val="left"/>
      </w:pPr>
      <w:r>
        <w:rPr>
          <w:rStyle w:val="CommentReference"/>
        </w:rPr>
        <w:annotationRef/>
      </w:r>
      <w:r>
        <w:t xml:space="preserve">Trenutno je repozitorij še privaten, ga odprem ko oddam doktorat zaradi podatkov. </w:t>
      </w:r>
    </w:p>
  </w:comment>
  <w:comment w:id="99" w:author="Maja Rupnik" w:date="2026-01-08T13:27:00Z" w:initials="MR">
    <w:p w14:paraId="59768302" w14:textId="77777777" w:rsidR="00227E0D" w:rsidRDefault="00227E0D" w:rsidP="00227E0D">
      <w:pPr>
        <w:pStyle w:val="CommentText"/>
        <w:jc w:val="left"/>
      </w:pPr>
      <w:r>
        <w:rPr>
          <w:rStyle w:val="CommentReference"/>
        </w:rPr>
        <w:annotationRef/>
      </w:r>
      <w:r>
        <w:t>Predlagam, da tekst tukaj in tudi drugje malo razčleniš na odstavke, ker je potem lažje slediti.</w:t>
      </w:r>
    </w:p>
    <w:p w14:paraId="0996C0BF" w14:textId="77777777" w:rsidR="00227E0D" w:rsidRDefault="00227E0D" w:rsidP="00227E0D">
      <w:pPr>
        <w:pStyle w:val="CommentText"/>
        <w:jc w:val="left"/>
      </w:pPr>
      <w:r>
        <w:t>Tukaj sem že jaz naredila odstavke, drugje jih prosim dodaj ti.</w:t>
      </w:r>
    </w:p>
  </w:comment>
  <w:comment w:id="107" w:author="Maja Rupnik" w:date="2026-01-08T13:25:00Z" w:initials="MR">
    <w:p w14:paraId="64962785" w14:textId="5CDB2F23" w:rsidR="00227E0D" w:rsidRDefault="00227E0D" w:rsidP="00227E0D">
      <w:pPr>
        <w:pStyle w:val="CommentText"/>
        <w:jc w:val="left"/>
      </w:pPr>
      <w:r>
        <w:rPr>
          <w:rStyle w:val="CommentReference"/>
        </w:rPr>
        <w:annotationRef/>
      </w:r>
      <w:r>
        <w:t>Je tukaj 'and' ali 'or'?</w:t>
      </w:r>
    </w:p>
    <w:p w14:paraId="44A14786" w14:textId="77777777" w:rsidR="00227E0D" w:rsidRDefault="00227E0D" w:rsidP="00227E0D">
      <w:pPr>
        <w:pStyle w:val="CommentText"/>
        <w:jc w:val="left"/>
      </w:pPr>
      <w:r>
        <w:t>Glede na to, da imaš pod 2) še pogoj, da je kriterij 1) moral biti izpolnjen</w:t>
      </w:r>
    </w:p>
  </w:comment>
  <w:comment w:id="108" w:author="Urša Miklavčič" w:date="2026-01-21T09:42:00Z" w:initials="UM">
    <w:p w14:paraId="7ADB3F4F" w14:textId="77777777" w:rsidR="00DA42F5" w:rsidRDefault="00DA42F5" w:rsidP="00DA42F5">
      <w:pPr>
        <w:pStyle w:val="CommentText"/>
        <w:jc w:val="left"/>
      </w:pPr>
      <w:r>
        <w:rPr>
          <w:rStyle w:val="CommentReference"/>
        </w:rPr>
        <w:annotationRef/>
      </w:r>
      <w:r>
        <w:t xml:space="preserve">And je tu pravilno, saj je pod 2) pogoj 5%, kjer 1) velja. </w:t>
      </w:r>
    </w:p>
  </w:comment>
  <w:comment w:id="151" w:author="Maja Rupnik" w:date="2026-01-08T13:35:00Z" w:initials="MR">
    <w:p w14:paraId="323EC4B6" w14:textId="77777777" w:rsidR="00242307" w:rsidRDefault="00242307" w:rsidP="00242307">
      <w:pPr>
        <w:pStyle w:val="CommentText"/>
        <w:jc w:val="left"/>
      </w:pPr>
      <w:r>
        <w:rPr>
          <w:rStyle w:val="CommentReference"/>
        </w:rPr>
        <w:annotationRef/>
      </w:r>
      <w:r>
        <w:t>With mixing or without?</w:t>
      </w:r>
    </w:p>
  </w:comment>
  <w:comment w:id="190" w:author="Maja Rupnik" w:date="2026-01-08T13:40:00Z" w:initials="MR">
    <w:p w14:paraId="536B54A1" w14:textId="77777777" w:rsidR="003031E8" w:rsidRDefault="003031E8" w:rsidP="003031E8">
      <w:pPr>
        <w:pStyle w:val="CommentText"/>
        <w:jc w:val="left"/>
      </w:pPr>
      <w:r>
        <w:rPr>
          <w:rStyle w:val="CommentReference"/>
        </w:rPr>
        <w:annotationRef/>
      </w:r>
      <w:r>
        <w:t>Predlagam, da je ta nivo naslovov tudi v krepki pisavi</w:t>
      </w:r>
    </w:p>
  </w:comment>
  <w:comment w:id="191" w:author="Urša Miklavčič" w:date="2026-01-21T09:49:00Z" w:initials="UM">
    <w:p w14:paraId="090CA2B4" w14:textId="77777777" w:rsidR="00494014" w:rsidRDefault="00494014" w:rsidP="00494014">
      <w:pPr>
        <w:pStyle w:val="CommentText"/>
        <w:jc w:val="left"/>
      </w:pPr>
      <w:r>
        <w:rPr>
          <w:rStyle w:val="CommentReference"/>
        </w:rPr>
        <w:annotationRef/>
      </w:r>
      <w:r>
        <w:t xml:space="preserve">Tu se držim navodil za oblikovanje zaključnih del BF. </w:t>
      </w:r>
    </w:p>
  </w:comment>
  <w:comment w:id="192" w:author="Maja Rupnik" w:date="2026-01-15T10:15:00Z" w:initials="MR">
    <w:p w14:paraId="597F50D7" w14:textId="13D34713" w:rsidR="0024495C" w:rsidRDefault="0024495C" w:rsidP="0024495C">
      <w:pPr>
        <w:pStyle w:val="CommentText"/>
        <w:jc w:val="left"/>
      </w:pPr>
      <w:r>
        <w:rPr>
          <w:rStyle w:val="CommentReference"/>
        </w:rPr>
        <w:annotationRef/>
      </w:r>
      <w:r>
        <w:t>Tabele ni v poslani verziji datoteke s suplementom</w:t>
      </w:r>
    </w:p>
  </w:comment>
  <w:comment w:id="193" w:author="Maja Rupnik" w:date="2026-01-15T10:16:00Z" w:initials="MR">
    <w:p w14:paraId="73199B79" w14:textId="77777777" w:rsidR="0024495C" w:rsidRDefault="0024495C" w:rsidP="0024495C">
      <w:pPr>
        <w:pStyle w:val="CommentText"/>
        <w:jc w:val="left"/>
      </w:pPr>
      <w:r>
        <w:rPr>
          <w:rStyle w:val="CommentReference"/>
        </w:rPr>
        <w:annotationRef/>
      </w:r>
      <w:r>
        <w:t>Ali je mišljena Suppl Table 3?</w:t>
      </w:r>
    </w:p>
  </w:comment>
  <w:comment w:id="206" w:author="Urša Miklavčič [2]" w:date="2025-12-09T14:47:00Z" w:initials="UM">
    <w:p w14:paraId="174370B8" w14:textId="77777777" w:rsidR="003E5633" w:rsidRDefault="003E5633" w:rsidP="003E5633">
      <w:pPr>
        <w:pStyle w:val="CommentText"/>
        <w:jc w:val="left"/>
      </w:pPr>
      <w:r>
        <w:rPr>
          <w:rStyle w:val="CommentReference"/>
        </w:rPr>
        <w:annotationRef/>
      </w:r>
      <w:r>
        <w:t xml:space="preserve">Vse te informacije se nahajajo tudi v Supplement Table 1. </w:t>
      </w:r>
    </w:p>
  </w:comment>
  <w:comment w:id="207" w:author="Maja Rupnik" w:date="2026-01-08T12:41:00Z" w:initials="MR">
    <w:p w14:paraId="1147F413" w14:textId="77777777" w:rsidR="003E5633" w:rsidRDefault="003E5633" w:rsidP="003E5633">
      <w:pPr>
        <w:pStyle w:val="CommentText"/>
        <w:jc w:val="left"/>
      </w:pPr>
      <w:r>
        <w:rPr>
          <w:rStyle w:val="CommentReference"/>
        </w:rPr>
        <w:annotationRef/>
      </w:r>
      <w:r>
        <w:t>Mogoče tudi premakniti v Rezultate, ker se že našteva, kaj so oni poročali</w:t>
      </w:r>
    </w:p>
  </w:comment>
  <w:comment w:id="209" w:author="Maja Rupnik" w:date="2026-01-20T14:54:00Z" w:initials="MR">
    <w:p w14:paraId="0172E3E3" w14:textId="77777777" w:rsidR="0041006B" w:rsidRDefault="0041006B" w:rsidP="0041006B">
      <w:pPr>
        <w:pStyle w:val="CommentText"/>
        <w:jc w:val="left"/>
      </w:pPr>
      <w:r>
        <w:rPr>
          <w:rStyle w:val="CommentReference"/>
        </w:rPr>
        <w:annotationRef/>
      </w:r>
      <w:r>
        <w:t>Tukaj bi lahko zamenjala, da imaš v oklepaju zmeraj tip mikrobiote: bulk microbota in ethanol resistant fraction;</w:t>
      </w:r>
    </w:p>
    <w:p w14:paraId="25E970D9" w14:textId="77777777" w:rsidR="0041006B" w:rsidRDefault="0041006B" w:rsidP="0041006B">
      <w:pPr>
        <w:pStyle w:val="CommentText"/>
        <w:jc w:val="left"/>
      </w:pPr>
      <w:r>
        <w:t>V aktualni verziji pa imaš v oklepaju enkrat mikrobtioto in enkar način tretiranja vzorca</w:t>
      </w:r>
    </w:p>
  </w:comment>
  <w:comment w:id="210" w:author="Maja Rupnik" w:date="2026-01-20T14:56:00Z" w:initials="MR">
    <w:p w14:paraId="07AFD971" w14:textId="77777777" w:rsidR="0041006B" w:rsidRDefault="0041006B" w:rsidP="0041006B">
      <w:pPr>
        <w:pStyle w:val="CommentText"/>
        <w:jc w:val="left"/>
      </w:pPr>
      <w:r>
        <w:rPr>
          <w:rStyle w:val="CommentReference"/>
        </w:rPr>
        <w:annotationRef/>
      </w:r>
      <w:r>
        <w:t>Tukaj ne da posebej gliv?</w:t>
      </w:r>
    </w:p>
  </w:comment>
  <w:comment w:id="220" w:author="Maja Rupnik" w:date="2026-01-20T15:06:00Z" w:initials="MR">
    <w:p w14:paraId="09324A54" w14:textId="77777777" w:rsidR="00962877" w:rsidRDefault="00962877" w:rsidP="00962877">
      <w:pPr>
        <w:pStyle w:val="CommentText"/>
        <w:jc w:val="left"/>
      </w:pPr>
      <w:r>
        <w:rPr>
          <w:rStyle w:val="CommentReference"/>
        </w:rPr>
        <w:annotationRef/>
      </w:r>
      <w:r>
        <w:t>Zelo malo imaš o evkariontih. Tudi gliv je presenetljivo malo.</w:t>
      </w:r>
    </w:p>
    <w:p w14:paraId="26C6BCB8" w14:textId="77777777" w:rsidR="00962877" w:rsidRDefault="00962877" w:rsidP="00962877">
      <w:pPr>
        <w:pStyle w:val="CommentText"/>
        <w:jc w:val="left"/>
      </w:pPr>
      <w:r>
        <w:t>Tukaj predlagam število različnih zaznanih vrst gliv skupaj v vseh vzorcih in potem variacije v posameznikih. Potem pa še isto za ostale evkarionte.</w:t>
      </w:r>
    </w:p>
  </w:comment>
  <w:comment w:id="221" w:author="Maja Rupnik" w:date="2026-01-20T15:08:00Z" w:initials="MR">
    <w:p w14:paraId="6F9E13A6" w14:textId="77777777" w:rsidR="00962877" w:rsidRDefault="00962877" w:rsidP="00962877">
      <w:pPr>
        <w:pStyle w:val="CommentText"/>
        <w:jc w:val="left"/>
      </w:pPr>
      <w:r>
        <w:rPr>
          <w:rStyle w:val="CommentReference"/>
        </w:rPr>
        <w:annotationRef/>
      </w:r>
      <w:r>
        <w:t>V bistvu bi si za evkarionte predstavljala nekaj podobnega kot imaš spodaj za bakterije.</w:t>
      </w:r>
    </w:p>
  </w:comment>
  <w:comment w:id="222" w:author="Urša Miklavčič" w:date="2026-01-28T15:40:00Z" w:initials="UM">
    <w:p w14:paraId="27C6399D" w14:textId="77777777" w:rsidR="00F950DC" w:rsidRDefault="00F950DC" w:rsidP="00F950DC">
      <w:pPr>
        <w:pStyle w:val="CommentText"/>
        <w:jc w:val="left"/>
      </w:pPr>
      <w:r>
        <w:rPr>
          <w:rStyle w:val="CommentReference"/>
        </w:rPr>
        <w:annotationRef/>
      </w:r>
      <w:r>
        <w:t xml:space="preserve">Shotgun metagenomsko sekvenciranje je slabo za glive, ker so prisotne v tako malem deležu črevesne mikrobiote jih le to tudi pogosto spregleda (10.1186/s40168-017-0373-4), kljub uporabi specializiranih databaz in orodij direktno za glive in ostale evkarionte (10.1186/s40168-025-02048-3).. </w:t>
      </w:r>
    </w:p>
  </w:comment>
  <w:comment w:id="288" w:author="Maja Rupnik" w:date="2026-01-20T15:19:00Z" w:initials="MR">
    <w:p w14:paraId="32DDEAC0" w14:textId="77777777" w:rsidR="00A459B8" w:rsidRDefault="00A459B8" w:rsidP="00A459B8">
      <w:pPr>
        <w:pStyle w:val="CommentText"/>
        <w:jc w:val="left"/>
      </w:pPr>
      <w:r>
        <w:rPr>
          <w:rStyle w:val="CommentReference"/>
        </w:rPr>
        <w:annotationRef/>
      </w:r>
      <w:r>
        <w:t>Tukaj bi bilo dobro dodati povezavo do poglavja, kjer je ta definicija razložena</w:t>
      </w:r>
    </w:p>
  </w:comment>
  <w:comment w:id="297" w:author="Maja Rupnik" w:date="2026-01-20T15:50:00Z" w:initials="MR">
    <w:p w14:paraId="42FF996A" w14:textId="77777777" w:rsidR="00CC6D8A" w:rsidRDefault="00CC6D8A" w:rsidP="00CC6D8A">
      <w:pPr>
        <w:pStyle w:val="CommentText"/>
        <w:jc w:val="left"/>
      </w:pPr>
      <w:r>
        <w:rPr>
          <w:rStyle w:val="CommentReference"/>
        </w:rPr>
        <w:annotationRef/>
      </w:r>
      <w:r>
        <w:t>Zdaj ko spet berem ta tekst nisem več prepričana, če so to artefakti.</w:t>
      </w:r>
    </w:p>
    <w:p w14:paraId="493C290A" w14:textId="77777777" w:rsidR="00CC6D8A" w:rsidRDefault="00CC6D8A" w:rsidP="00CC6D8A">
      <w:pPr>
        <w:pStyle w:val="CommentText"/>
        <w:jc w:val="left"/>
      </w:pPr>
      <w:r>
        <w:t>Mogoče pa se je pri tretiranju z etanolom tako znižala celokupna količina DNA, da so te bakterije, ki jih je zelo malo, lahko bile posekvencirane. Vem, da ne zveni zelo logično. Bom razložila. Ker me malo moti, da bi bilo toliko OTUjev kot artefakt.</w:t>
      </w:r>
    </w:p>
  </w:comment>
  <w:comment w:id="313" w:author="Maja Rupnik" w:date="2026-01-20T16:15:00Z" w:initials="MR">
    <w:p w14:paraId="1AD2E250" w14:textId="00065637" w:rsidR="002A3EFB" w:rsidRDefault="002A3EFB" w:rsidP="002A3EFB">
      <w:pPr>
        <w:pStyle w:val="CommentText"/>
        <w:jc w:val="left"/>
      </w:pPr>
      <w:r>
        <w:rPr>
          <w:rStyle w:val="CommentReference"/>
        </w:rPr>
        <w:annotationRef/>
      </w:r>
      <w:r>
        <w:t>Ali hočeš s tem stavkom povedati, da si sporobioto analizirala na dva načina. Enkrat si jo definirala glede na vrste (???) iz amplikon sekvenciranja  (ln 776-780) in enkrat glede na gene za sporulacijo (ln 770-775)? - to sprašujem glede na tekst v zadnjem odstavku (781-784)</w:t>
      </w:r>
    </w:p>
  </w:comment>
  <w:comment w:id="314" w:author="Maja Rupnik" w:date="2026-01-20T16:06:00Z" w:initials="MR">
    <w:p w14:paraId="1C5E5C86" w14:textId="1ECD0157" w:rsidR="00D6164D" w:rsidRDefault="00D6164D" w:rsidP="00D6164D">
      <w:pPr>
        <w:pStyle w:val="CommentText"/>
        <w:jc w:val="left"/>
      </w:pPr>
      <w:r>
        <w:rPr>
          <w:rStyle w:val="CommentReference"/>
        </w:rPr>
        <w:annotationRef/>
      </w:r>
      <w:r>
        <w:t>Enkrat imaš z besedo in enkrat s kratico, poenoti; meni kratice niso všeč, pa predlagam, da imaš povsod z besedo.</w:t>
      </w:r>
    </w:p>
  </w:comment>
  <w:comment w:id="315" w:author="Urša Miklavčič" w:date="2026-01-21T10:19:00Z" w:initials="UM">
    <w:p w14:paraId="459E09A6" w14:textId="77777777" w:rsidR="006A4086" w:rsidRDefault="006A4086" w:rsidP="006A4086">
      <w:pPr>
        <w:pStyle w:val="CommentText"/>
        <w:jc w:val="left"/>
      </w:pPr>
      <w:r>
        <w:rPr>
          <w:rStyle w:val="CommentReference"/>
        </w:rPr>
        <w:annotationRef/>
      </w:r>
      <w:r>
        <w:t xml:space="preserve">Načeloma je SGB tako uveljavljena kratica kot OTU, lahko vedno uporabim besedo vendar je kar dolga, tu sem jo uporabila ker je novo poglavje in ker se ne vsi izmed komisije ukvarjajo s shotgun metagenomskimi podatki. </w:t>
      </w:r>
    </w:p>
  </w:comment>
  <w:comment w:id="317" w:author="Maja Rupnik" w:date="2026-01-20T16:07:00Z" w:initials="MR">
    <w:p w14:paraId="4FB41BD4" w14:textId="40AF2BA6" w:rsidR="00D6164D" w:rsidRDefault="00D6164D" w:rsidP="00D6164D">
      <w:pPr>
        <w:pStyle w:val="CommentText"/>
        <w:jc w:val="left"/>
      </w:pPr>
      <w:r>
        <w:rPr>
          <w:rStyle w:val="CommentReference"/>
        </w:rPr>
        <w:annotationRef/>
      </w:r>
      <w:r>
        <w:t>Sem prepričana, da bo kdo od recenzentov vprašal, kaj je bil tukaj kriterij</w:t>
      </w:r>
    </w:p>
  </w:comment>
  <w:comment w:id="318" w:author="Urša Miklavčič" w:date="2026-01-21T10:23:00Z" w:initials="UM">
    <w:p w14:paraId="3572D7B7" w14:textId="77777777" w:rsidR="00ED1AE6" w:rsidRDefault="00ED1AE6" w:rsidP="00ED1AE6">
      <w:pPr>
        <w:pStyle w:val="CommentText"/>
        <w:jc w:val="left"/>
      </w:pPr>
      <w:r>
        <w:rPr>
          <w:rStyle w:val="CommentReference"/>
        </w:rPr>
        <w:annotationRef/>
      </w:r>
      <w:r>
        <w:t xml:space="preserve">Torej kriterij je bila prisotnost 33/66 genov; v supp. Fig.6 se zelo jasno vidi prelom v količini genov, ki se sicer nahaja že pri ~30 genov, tako da je kriterij 33 na varni strani, da smo vzeli zares bakterije ki zmorejo sporulirati. </w:t>
      </w:r>
    </w:p>
  </w:comment>
  <w:comment w:id="338" w:author="Maja Rupnik" w:date="2026-01-20T16:12:00Z" w:initials="MR">
    <w:p w14:paraId="2187B3A4" w14:textId="711BC8D7" w:rsidR="002A3EFB" w:rsidRDefault="002A3EFB" w:rsidP="002A3EFB">
      <w:pPr>
        <w:pStyle w:val="CommentText"/>
        <w:jc w:val="left"/>
      </w:pPr>
      <w:r>
        <w:rPr>
          <w:rStyle w:val="CommentReference"/>
        </w:rPr>
        <w:annotationRef/>
      </w:r>
      <w:r>
        <w:t xml:space="preserve">32% od česa? Prvi del stavka je spet Diskusija. </w:t>
      </w:r>
    </w:p>
  </w:comment>
  <w:comment w:id="347" w:author="Maja Rupnik" w:date="2026-01-20T16:16:00Z" w:initials="MR">
    <w:p w14:paraId="14FF7D59" w14:textId="67DA2BFE" w:rsidR="002A3EFB" w:rsidRDefault="002A3EFB" w:rsidP="002A3EFB">
      <w:pPr>
        <w:pStyle w:val="CommentText"/>
        <w:jc w:val="left"/>
      </w:pPr>
      <w:r>
        <w:rPr>
          <w:rStyle w:val="CommentReference"/>
        </w:rPr>
        <w:annotationRef/>
      </w:r>
      <w:r>
        <w:t>To zdaj tukaj malo zmede</w:t>
      </w:r>
    </w:p>
  </w:comment>
  <w:comment w:id="365" w:author="Maja Rupnik" w:date="2026-01-20T16:18:00Z" w:initials="MR">
    <w:p w14:paraId="16B592E0" w14:textId="77777777" w:rsidR="002A3EFB" w:rsidRDefault="002A3EFB" w:rsidP="002A3EFB">
      <w:pPr>
        <w:pStyle w:val="CommentText"/>
        <w:jc w:val="left"/>
      </w:pPr>
      <w:r>
        <w:rPr>
          <w:rStyle w:val="CommentReference"/>
        </w:rPr>
        <w:annotationRef/>
      </w:r>
      <w:r>
        <w:t>Fino bi bilo, če je legenda obrnjena in je najprej modra, potem oranžna, tako kot je na sliki</w:t>
      </w:r>
    </w:p>
  </w:comment>
  <w:comment w:id="385" w:author="Maja Rupnik" w:date="2026-01-20T16:27:00Z" w:initials="MR">
    <w:p w14:paraId="75600F0A" w14:textId="77777777" w:rsidR="008B2A44" w:rsidRDefault="008B2A44" w:rsidP="008B2A44">
      <w:pPr>
        <w:pStyle w:val="CommentText"/>
        <w:jc w:val="left"/>
      </w:pPr>
      <w:r>
        <w:rPr>
          <w:rStyle w:val="CommentReference"/>
        </w:rPr>
        <w:annotationRef/>
      </w:r>
      <w:r>
        <w:t>Je to res? Od 87 sevov jih polovica potem ni porasla po precepljanju?</w:t>
      </w:r>
    </w:p>
  </w:comment>
  <w:comment w:id="406" w:author="Maja Rupnik" w:date="2026-01-20T16:32:00Z" w:initials="MR">
    <w:p w14:paraId="7D884B93" w14:textId="77777777" w:rsidR="00D03BA6" w:rsidRDefault="00D03BA6" w:rsidP="00D03BA6">
      <w:pPr>
        <w:pStyle w:val="CommentText"/>
        <w:jc w:val="left"/>
      </w:pPr>
      <w:r>
        <w:rPr>
          <w:rStyle w:val="CommentReference"/>
        </w:rPr>
        <w:annotationRef/>
      </w:r>
      <w:r>
        <w:t>So to sedaj strain groups ali strains?</w:t>
      </w:r>
    </w:p>
  </w:comment>
  <w:comment w:id="463" w:author="Maja Rupnik" w:date="2026-01-20T16:47:00Z" w:initials="MR">
    <w:p w14:paraId="19EE1F11" w14:textId="6BF75D3F" w:rsidR="00362926" w:rsidRDefault="00362926" w:rsidP="00362926">
      <w:pPr>
        <w:pStyle w:val="CommentText"/>
        <w:jc w:val="left"/>
      </w:pPr>
      <w:r>
        <w:rPr>
          <w:rStyle w:val="CommentReference"/>
        </w:rPr>
        <w:annotationRef/>
      </w:r>
      <w:r>
        <w:t>Kaj si tukaj mislila kot naslov - individual level?</w:t>
      </w:r>
    </w:p>
  </w:comment>
  <w:comment w:id="464" w:author="Maja Rupnik" w:date="2026-01-20T16:48:00Z" w:initials="MR">
    <w:p w14:paraId="0DCAB32C" w14:textId="77777777" w:rsidR="00362926" w:rsidRDefault="00362926" w:rsidP="00362926">
      <w:pPr>
        <w:pStyle w:val="CommentText"/>
        <w:jc w:val="left"/>
      </w:pPr>
      <w:r>
        <w:rPr>
          <w:rStyle w:val="CommentReference"/>
        </w:rPr>
        <w:annotationRef/>
      </w:r>
      <w:r>
        <w:t>Računano glede na kaj? Celokupno število pri posamezniku?</w:t>
      </w:r>
    </w:p>
  </w:comment>
  <w:comment w:id="488" w:author="Maja Rupnik" w:date="2026-01-20T15:03:00Z" w:initials="MR">
    <w:p w14:paraId="7142BB75" w14:textId="77777777" w:rsidR="009972F0" w:rsidRDefault="009972F0" w:rsidP="009972F0">
      <w:pPr>
        <w:pStyle w:val="CommentText"/>
        <w:jc w:val="left"/>
      </w:pPr>
      <w:r>
        <w:rPr>
          <w:rStyle w:val="CommentReference"/>
        </w:rPr>
        <w:annotationRef/>
      </w:r>
      <w:r>
        <w:t>Primerjave ali razlage rezultatov so Diskusija in ne Rezultati. Premakni.</w:t>
      </w:r>
    </w:p>
  </w:comment>
  <w:comment w:id="489" w:author="Maja Rupnik" w:date="2026-01-20T15:06:00Z" w:initials="MR">
    <w:p w14:paraId="281E67D3" w14:textId="77777777" w:rsidR="009972F0" w:rsidRDefault="009972F0" w:rsidP="009972F0">
      <w:pPr>
        <w:pStyle w:val="CommentText"/>
        <w:jc w:val="left"/>
      </w:pPr>
      <w:r>
        <w:rPr>
          <w:rStyle w:val="CommentReference"/>
        </w:rPr>
        <w:annotationRef/>
      </w:r>
      <w:r>
        <w:t>Velja tudi za del o blastocistisu</w:t>
      </w:r>
    </w:p>
  </w:comment>
  <w:comment w:id="497" w:author="Maja Rupnik" w:date="2026-01-20T16:28:00Z" w:initials="MR">
    <w:p w14:paraId="29908A1D" w14:textId="77777777" w:rsidR="00C65827" w:rsidRDefault="00C65827" w:rsidP="00C65827">
      <w:pPr>
        <w:pStyle w:val="CommentText"/>
        <w:jc w:val="left"/>
      </w:pPr>
      <w:r>
        <w:rPr>
          <w:rStyle w:val="CommentReference"/>
        </w:rPr>
        <w:annotationRef/>
      </w:r>
      <w:r>
        <w:t>Diskusija</w:t>
      </w:r>
    </w:p>
  </w:comment>
  <w:comment w:id="499" w:author="Maja Rupnik" w:date="2026-01-20T16:28:00Z" w:initials="MR">
    <w:p w14:paraId="290F4BFC" w14:textId="77777777" w:rsidR="00C65827" w:rsidRDefault="00C65827" w:rsidP="00C65827">
      <w:pPr>
        <w:pStyle w:val="CommentText"/>
        <w:jc w:val="left"/>
      </w:pPr>
      <w:r>
        <w:rPr>
          <w:rStyle w:val="CommentReference"/>
        </w:rPr>
        <w:annotationRef/>
      </w:r>
      <w:r>
        <w:t>Verjetno tudi diskusija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526BE" w15:done="1"/>
  <w15:commentEx w15:paraId="184CB7FF" w15:done="1"/>
  <w15:commentEx w15:paraId="6C521379" w15:paraIdParent="184CB7FF" w15:done="1"/>
  <w15:commentEx w15:paraId="42DF52FB" w15:done="1"/>
  <w15:commentEx w15:paraId="4B77A110" w15:done="1"/>
  <w15:commentEx w15:paraId="4EDAFAAD" w15:paraIdParent="4B77A110" w15:done="1"/>
  <w15:commentEx w15:paraId="30CD4DA9" w15:done="1"/>
  <w15:commentEx w15:paraId="33CC4299" w15:done="0"/>
  <w15:commentEx w15:paraId="0996C0BF" w15:done="1"/>
  <w15:commentEx w15:paraId="44A14786" w15:done="0"/>
  <w15:commentEx w15:paraId="7ADB3F4F" w15:paraIdParent="44A14786" w15:done="0"/>
  <w15:commentEx w15:paraId="323EC4B6" w15:done="1"/>
  <w15:commentEx w15:paraId="536B54A1" w15:done="1"/>
  <w15:commentEx w15:paraId="090CA2B4" w15:paraIdParent="536B54A1" w15:done="1"/>
  <w15:commentEx w15:paraId="597F50D7" w15:done="1"/>
  <w15:commentEx w15:paraId="73199B79" w15:paraIdParent="597F50D7" w15:done="1"/>
  <w15:commentEx w15:paraId="174370B8" w15:done="1"/>
  <w15:commentEx w15:paraId="1147F413" w15:done="1"/>
  <w15:commentEx w15:paraId="25E970D9" w15:done="1"/>
  <w15:commentEx w15:paraId="07AFD971" w15:done="0"/>
  <w15:commentEx w15:paraId="26C6BCB8" w15:done="0"/>
  <w15:commentEx w15:paraId="6F9E13A6" w15:paraIdParent="26C6BCB8" w15:done="0"/>
  <w15:commentEx w15:paraId="27C6399D" w15:paraIdParent="26C6BCB8" w15:done="0"/>
  <w15:commentEx w15:paraId="32DDEAC0" w15:done="1"/>
  <w15:commentEx w15:paraId="493C290A" w15:done="0"/>
  <w15:commentEx w15:paraId="1AD2E250" w15:done="1"/>
  <w15:commentEx w15:paraId="1C5E5C86" w15:done="1"/>
  <w15:commentEx w15:paraId="459E09A6" w15:paraIdParent="1C5E5C86" w15:done="1"/>
  <w15:commentEx w15:paraId="4FB41BD4" w15:done="1"/>
  <w15:commentEx w15:paraId="3572D7B7" w15:paraIdParent="4FB41BD4" w15:done="1"/>
  <w15:commentEx w15:paraId="2187B3A4" w15:done="1"/>
  <w15:commentEx w15:paraId="14FF7D59" w15:done="1"/>
  <w15:commentEx w15:paraId="16B592E0" w15:done="1"/>
  <w15:commentEx w15:paraId="75600F0A" w15:done="1"/>
  <w15:commentEx w15:paraId="7D884B93" w15:done="1"/>
  <w15:commentEx w15:paraId="19EE1F11" w15:done="1"/>
  <w15:commentEx w15:paraId="0DCAB32C" w15:done="1"/>
  <w15:commentEx w15:paraId="7142BB75" w15:done="0"/>
  <w15:commentEx w15:paraId="281E67D3" w15:paraIdParent="7142BB75" w15:done="0"/>
  <w15:commentEx w15:paraId="29908A1D" w15:done="1"/>
  <w15:commentEx w15:paraId="290F4BF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FEC30B" w16cex:dateUtc="2025-12-12T08:47:00Z"/>
  <w16cex:commentExtensible w16cex:durableId="00D1A76F" w16cex:dateUtc="2026-01-08T12:07:00Z"/>
  <w16cex:commentExtensible w16cex:durableId="1ACC92A0" w16cex:dateUtc="2026-01-08T12:08:00Z"/>
  <w16cex:commentExtensible w16cex:durableId="75C4DC14" w16cex:dateUtc="2026-01-08T12:11:00Z"/>
  <w16cex:commentExtensible w16cex:durableId="324372EF" w16cex:dateUtc="2026-01-08T12:14:00Z"/>
  <w16cex:commentExtensible w16cex:durableId="28DD9B02" w16cex:dateUtc="2026-01-21T08:41:00Z"/>
  <w16cex:commentExtensible w16cex:durableId="44F66FCA" w16cex:dateUtc="2026-01-08T12:18:00Z"/>
  <w16cex:commentExtensible w16cex:durableId="6D6F4CA2" w16cex:dateUtc="2025-12-09T13:48:00Z"/>
  <w16cex:commentExtensible w16cex:durableId="3370345C" w16cex:dateUtc="2026-01-08T12:27:00Z"/>
  <w16cex:commentExtensible w16cex:durableId="58573444" w16cex:dateUtc="2026-01-08T12:25:00Z"/>
  <w16cex:commentExtensible w16cex:durableId="19041C43" w16cex:dateUtc="2026-01-21T08:42:00Z"/>
  <w16cex:commentExtensible w16cex:durableId="1E846141" w16cex:dateUtc="2026-01-08T12:35:00Z"/>
  <w16cex:commentExtensible w16cex:durableId="27EEECB8" w16cex:dateUtc="2026-01-08T12:40:00Z"/>
  <w16cex:commentExtensible w16cex:durableId="3099319D" w16cex:dateUtc="2026-01-21T08:49:00Z"/>
  <w16cex:commentExtensible w16cex:durableId="1F94A847" w16cex:dateUtc="2026-01-15T09:15:00Z"/>
  <w16cex:commentExtensible w16cex:durableId="5C11E0B0" w16cex:dateUtc="2026-01-15T09:16:00Z"/>
  <w16cex:commentExtensible w16cex:durableId="61ACA1DE" w16cex:dateUtc="2025-12-09T13:47:00Z"/>
  <w16cex:commentExtensible w16cex:durableId="5CA2EEFE" w16cex:dateUtc="2026-01-08T11:41:00Z"/>
  <w16cex:commentExtensible w16cex:durableId="5699AA77" w16cex:dateUtc="2026-01-20T13:54:00Z"/>
  <w16cex:commentExtensible w16cex:durableId="7FF94C46" w16cex:dateUtc="2026-01-20T13:56:00Z"/>
  <w16cex:commentExtensible w16cex:durableId="6871D821" w16cex:dateUtc="2026-01-20T14:06:00Z"/>
  <w16cex:commentExtensible w16cex:durableId="7DC39BB4" w16cex:dateUtc="2026-01-20T14:08:00Z"/>
  <w16cex:commentExtensible w16cex:durableId="165078B4" w16cex:dateUtc="2026-01-28T14:40:00Z"/>
  <w16cex:commentExtensible w16cex:durableId="2A4AFFD9" w16cex:dateUtc="2026-01-20T14:19:00Z"/>
  <w16cex:commentExtensible w16cex:durableId="73F2DF18" w16cex:dateUtc="2026-01-20T14:50:00Z"/>
  <w16cex:commentExtensible w16cex:durableId="2B29F857" w16cex:dateUtc="2026-01-20T15:06:00Z"/>
  <w16cex:commentExtensible w16cex:durableId="12F985B1" w16cex:dateUtc="2026-01-21T09:19:00Z"/>
  <w16cex:commentExtensible w16cex:durableId="64EC8387" w16cex:dateUtc="2026-01-20T15:07:00Z"/>
  <w16cex:commentExtensible w16cex:durableId="6DE74BAE" w16cex:dateUtc="2026-01-21T09:23:00Z"/>
  <w16cex:commentExtensible w16cex:durableId="601928CC" w16cex:dateUtc="2026-01-20T15:12:00Z"/>
  <w16cex:commentExtensible w16cex:durableId="7C4ECC42" w16cex:dateUtc="2026-01-20T15:16:00Z"/>
  <w16cex:commentExtensible w16cex:durableId="7817546D" w16cex:dateUtc="2026-01-20T15:18:00Z"/>
  <w16cex:commentExtensible w16cex:durableId="00B1FF32" w16cex:dateUtc="2026-01-20T15:27:00Z"/>
  <w16cex:commentExtensible w16cex:durableId="2017D53C" w16cex:dateUtc="2026-01-20T15:32:00Z"/>
  <w16cex:commentExtensible w16cex:durableId="5A725A8C" w16cex:dateUtc="2026-01-20T15:47:00Z"/>
  <w16cex:commentExtensible w16cex:durableId="48CCA0FA" w16cex:dateUtc="2026-01-20T15:48:00Z"/>
  <w16cex:commentExtensible w16cex:durableId="42134AAA" w16cex:dateUtc="2026-01-20T14:03:00Z"/>
  <w16cex:commentExtensible w16cex:durableId="71FA50A6" w16cex:dateUtc="2026-01-20T14:06:00Z"/>
  <w16cex:commentExtensible w16cex:durableId="41A1BA71" w16cex:dateUtc="2026-01-20T15:28:00Z"/>
  <w16cex:commentExtensible w16cex:durableId="0529D130" w16cex:dateUtc="2026-01-20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526BE" w16cid:durableId="50FEC30B"/>
  <w16cid:commentId w16cid:paraId="184CB7FF" w16cid:durableId="00D1A76F"/>
  <w16cid:commentId w16cid:paraId="6C521379" w16cid:durableId="1ACC92A0"/>
  <w16cid:commentId w16cid:paraId="42DF52FB" w16cid:durableId="75C4DC14"/>
  <w16cid:commentId w16cid:paraId="4B77A110" w16cid:durableId="324372EF"/>
  <w16cid:commentId w16cid:paraId="4EDAFAAD" w16cid:durableId="28DD9B02"/>
  <w16cid:commentId w16cid:paraId="30CD4DA9" w16cid:durableId="44F66FCA"/>
  <w16cid:commentId w16cid:paraId="33CC4299" w16cid:durableId="6D6F4CA2"/>
  <w16cid:commentId w16cid:paraId="0996C0BF" w16cid:durableId="3370345C"/>
  <w16cid:commentId w16cid:paraId="44A14786" w16cid:durableId="58573444"/>
  <w16cid:commentId w16cid:paraId="7ADB3F4F" w16cid:durableId="19041C43"/>
  <w16cid:commentId w16cid:paraId="323EC4B6" w16cid:durableId="1E846141"/>
  <w16cid:commentId w16cid:paraId="536B54A1" w16cid:durableId="27EEECB8"/>
  <w16cid:commentId w16cid:paraId="090CA2B4" w16cid:durableId="3099319D"/>
  <w16cid:commentId w16cid:paraId="597F50D7" w16cid:durableId="1F94A847"/>
  <w16cid:commentId w16cid:paraId="73199B79" w16cid:durableId="5C11E0B0"/>
  <w16cid:commentId w16cid:paraId="174370B8" w16cid:durableId="61ACA1DE"/>
  <w16cid:commentId w16cid:paraId="1147F413" w16cid:durableId="5CA2EEFE"/>
  <w16cid:commentId w16cid:paraId="25E970D9" w16cid:durableId="5699AA77"/>
  <w16cid:commentId w16cid:paraId="07AFD971" w16cid:durableId="7FF94C46"/>
  <w16cid:commentId w16cid:paraId="26C6BCB8" w16cid:durableId="6871D821"/>
  <w16cid:commentId w16cid:paraId="6F9E13A6" w16cid:durableId="7DC39BB4"/>
  <w16cid:commentId w16cid:paraId="27C6399D" w16cid:durableId="165078B4"/>
  <w16cid:commentId w16cid:paraId="32DDEAC0" w16cid:durableId="2A4AFFD9"/>
  <w16cid:commentId w16cid:paraId="493C290A" w16cid:durableId="73F2DF18"/>
  <w16cid:commentId w16cid:paraId="1AD2E250" w16cid:durableId="1AD2E250"/>
  <w16cid:commentId w16cid:paraId="1C5E5C86" w16cid:durableId="2B29F857"/>
  <w16cid:commentId w16cid:paraId="459E09A6" w16cid:durableId="12F985B1"/>
  <w16cid:commentId w16cid:paraId="4FB41BD4" w16cid:durableId="64EC8387"/>
  <w16cid:commentId w16cid:paraId="3572D7B7" w16cid:durableId="6DE74BAE"/>
  <w16cid:commentId w16cid:paraId="2187B3A4" w16cid:durableId="601928CC"/>
  <w16cid:commentId w16cid:paraId="14FF7D59" w16cid:durableId="7C4ECC42"/>
  <w16cid:commentId w16cid:paraId="16B592E0" w16cid:durableId="7817546D"/>
  <w16cid:commentId w16cid:paraId="75600F0A" w16cid:durableId="00B1FF32"/>
  <w16cid:commentId w16cid:paraId="7D884B93" w16cid:durableId="2017D53C"/>
  <w16cid:commentId w16cid:paraId="19EE1F11" w16cid:durableId="5A725A8C"/>
  <w16cid:commentId w16cid:paraId="0DCAB32C" w16cid:durableId="48CCA0FA"/>
  <w16cid:commentId w16cid:paraId="7142BB75" w16cid:durableId="42134AAA"/>
  <w16cid:commentId w16cid:paraId="281E67D3" w16cid:durableId="71FA50A6"/>
  <w16cid:commentId w16cid:paraId="29908A1D" w16cid:durableId="41A1BA71"/>
  <w16cid:commentId w16cid:paraId="290F4BFC" w16cid:durableId="0529D1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10694" w14:textId="77777777" w:rsidR="007C0677" w:rsidRDefault="007C0677" w:rsidP="001C483B">
      <w:pPr>
        <w:spacing w:after="0" w:line="240" w:lineRule="auto"/>
      </w:pPr>
      <w:r>
        <w:separator/>
      </w:r>
    </w:p>
  </w:endnote>
  <w:endnote w:type="continuationSeparator" w:id="0">
    <w:p w14:paraId="55D89CA5" w14:textId="77777777" w:rsidR="007C0677" w:rsidRDefault="007C0677" w:rsidP="001C4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Default="00C018F8">
        <w:pPr>
          <w:pStyle w:val="Footer"/>
          <w:jc w:val="center"/>
        </w:pPr>
        <w:r>
          <w:fldChar w:fldCharType="begin"/>
        </w:r>
        <w:r>
          <w:instrText>PAGE   \* MERGEFORMAT</w:instrText>
        </w:r>
        <w:r>
          <w:fldChar w:fldCharType="separate"/>
        </w:r>
        <w:r>
          <w:rPr>
            <w:lang w:val="sl-SI"/>
          </w:rPr>
          <w:t>2</w:t>
        </w:r>
        <w:r>
          <w:fldChar w:fldCharType="end"/>
        </w:r>
      </w:p>
    </w:sdtContent>
  </w:sdt>
  <w:p w14:paraId="73C8954F" w14:textId="77777777" w:rsidR="00C018F8"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28AC2" w14:textId="77777777" w:rsidR="007C0677" w:rsidRDefault="007C0677" w:rsidP="001C483B">
      <w:pPr>
        <w:spacing w:after="0" w:line="240" w:lineRule="auto"/>
      </w:pPr>
      <w:r>
        <w:separator/>
      </w:r>
    </w:p>
  </w:footnote>
  <w:footnote w:type="continuationSeparator" w:id="0">
    <w:p w14:paraId="20D9B829" w14:textId="77777777" w:rsidR="007C0677" w:rsidRDefault="007C0677" w:rsidP="001C483B">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011"/>
    <w:multiLevelType w:val="multilevel"/>
    <w:tmpl w:val="2850F926"/>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4A002B"/>
    <w:multiLevelType w:val="hybridMultilevel"/>
    <w:tmpl w:val="71E010BC"/>
    <w:lvl w:ilvl="0" w:tplc="929E442A">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224533"/>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AC71B1A"/>
    <w:multiLevelType w:val="multilevel"/>
    <w:tmpl w:val="BA6097C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2C233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856946"/>
    <w:multiLevelType w:val="multilevel"/>
    <w:tmpl w:val="FFE2078C"/>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DFE0E16"/>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82866F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DD798D"/>
    <w:multiLevelType w:val="multilevel"/>
    <w:tmpl w:val="B978C462"/>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A1B299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AE31CA9"/>
    <w:multiLevelType w:val="multilevel"/>
    <w:tmpl w:val="4C604D8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D5916A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BB5557"/>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84D5BC9"/>
    <w:multiLevelType w:val="multilevel"/>
    <w:tmpl w:val="2EFE42F2"/>
    <w:lvl w:ilvl="0">
      <w:start w:val="1"/>
      <w:numFmt w:val="decimal"/>
      <w:lvlText w:val="%1."/>
      <w:lvlJc w:val="left"/>
      <w:pPr>
        <w:ind w:left="720" w:hanging="360"/>
      </w:pPr>
      <w:rPr>
        <w:rFonts w:hint="default"/>
        <w:b/>
        <w:bCs/>
      </w:rPr>
    </w:lvl>
    <w:lvl w:ilvl="1">
      <w:start w:val="2"/>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0EB6F63"/>
    <w:multiLevelType w:val="hybridMultilevel"/>
    <w:tmpl w:val="00BA51C6"/>
    <w:lvl w:ilvl="0" w:tplc="7F22B5D4">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Heading2"/>
      <w:lvlText w:val="%1.%2"/>
      <w:lvlJc w:val="left"/>
      <w:pPr>
        <w:ind w:left="360" w:hanging="360"/>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1" w15:restartNumberingAfterBreak="0">
    <w:nsid w:val="385C54BF"/>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ABF7FC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F6C4C7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72A6B85"/>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D2B3746"/>
    <w:multiLevelType w:val="multilevel"/>
    <w:tmpl w:val="C2CA34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1CD61D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2BA7084"/>
    <w:multiLevelType w:val="multilevel"/>
    <w:tmpl w:val="95AC4A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40451D1"/>
    <w:multiLevelType w:val="multilevel"/>
    <w:tmpl w:val="0FCEC8E8"/>
    <w:lvl w:ilvl="0">
      <w:start w:val="3"/>
      <w:numFmt w:val="decimal"/>
      <w:lvlText w:val="%1."/>
      <w:lvlJc w:val="left"/>
      <w:pPr>
        <w:ind w:left="720" w:hanging="720"/>
      </w:pPr>
      <w:rPr>
        <w:rFonts w:hint="default"/>
      </w:rPr>
    </w:lvl>
    <w:lvl w:ilvl="1">
      <w:start w:val="7"/>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7"/>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5A158E7"/>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A9D7F9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21931A0"/>
    <w:multiLevelType w:val="hybridMultilevel"/>
    <w:tmpl w:val="73DA09F0"/>
    <w:lvl w:ilvl="0" w:tplc="B32E7E16">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6AE65B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C07084C"/>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DAE01B3"/>
    <w:multiLevelType w:val="hybridMultilevel"/>
    <w:tmpl w:val="7C9E52C6"/>
    <w:lvl w:ilvl="0" w:tplc="492225FC">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0" w15:restartNumberingAfterBreak="0">
    <w:nsid w:val="70511E68"/>
    <w:multiLevelType w:val="hybridMultilevel"/>
    <w:tmpl w:val="5E16E914"/>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1" w15:restartNumberingAfterBreak="0">
    <w:nsid w:val="72626628"/>
    <w:multiLevelType w:val="hybridMultilevel"/>
    <w:tmpl w:val="CD387E5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2"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36556664">
    <w:abstractNumId w:val="20"/>
  </w:num>
  <w:num w:numId="2" w16cid:durableId="2068331157">
    <w:abstractNumId w:val="13"/>
  </w:num>
  <w:num w:numId="3" w16cid:durableId="751850073">
    <w:abstractNumId w:val="36"/>
  </w:num>
  <w:num w:numId="4" w16cid:durableId="1815561422">
    <w:abstractNumId w:val="16"/>
  </w:num>
  <w:num w:numId="5" w16cid:durableId="145782180">
    <w:abstractNumId w:val="42"/>
  </w:num>
  <w:num w:numId="6" w16cid:durableId="1917201346">
    <w:abstractNumId w:val="26"/>
  </w:num>
  <w:num w:numId="7" w16cid:durableId="1697807609">
    <w:abstractNumId w:val="24"/>
  </w:num>
  <w:num w:numId="8" w16cid:durableId="541017820">
    <w:abstractNumId w:val="17"/>
  </w:num>
  <w:num w:numId="9" w16cid:durableId="1136607289">
    <w:abstractNumId w:val="28"/>
  </w:num>
  <w:num w:numId="10" w16cid:durableId="1805078381">
    <w:abstractNumId w:val="15"/>
  </w:num>
  <w:num w:numId="11" w16cid:durableId="1412192349">
    <w:abstractNumId w:val="0"/>
  </w:num>
  <w:num w:numId="12" w16cid:durableId="1489053751">
    <w:abstractNumId w:val="29"/>
  </w:num>
  <w:num w:numId="13" w16cid:durableId="468018104">
    <w:abstractNumId w:val="10"/>
  </w:num>
  <w:num w:numId="14" w16cid:durableId="1315643350">
    <w:abstractNumId w:val="2"/>
  </w:num>
  <w:num w:numId="15" w16cid:durableId="399443456">
    <w:abstractNumId w:val="34"/>
  </w:num>
  <w:num w:numId="16" w16cid:durableId="1801262656">
    <w:abstractNumId w:val="25"/>
  </w:num>
  <w:num w:numId="17" w16cid:durableId="154078090">
    <w:abstractNumId w:val="33"/>
  </w:num>
  <w:num w:numId="18" w16cid:durableId="1661152512">
    <w:abstractNumId w:val="7"/>
  </w:num>
  <w:num w:numId="19" w16cid:durableId="1866864948">
    <w:abstractNumId w:val="9"/>
  </w:num>
  <w:num w:numId="20" w16cid:durableId="888805646">
    <w:abstractNumId w:val="27"/>
  </w:num>
  <w:num w:numId="21" w16cid:durableId="1111784160">
    <w:abstractNumId w:val="22"/>
  </w:num>
  <w:num w:numId="22" w16cid:durableId="1256748701">
    <w:abstractNumId w:val="23"/>
  </w:num>
  <w:num w:numId="23" w16cid:durableId="177234503">
    <w:abstractNumId w:val="3"/>
  </w:num>
  <w:num w:numId="24" w16cid:durableId="662660751">
    <w:abstractNumId w:val="19"/>
  </w:num>
  <w:num w:numId="25" w16cid:durableId="598030769">
    <w:abstractNumId w:val="30"/>
  </w:num>
  <w:num w:numId="26" w16cid:durableId="1109929845">
    <w:abstractNumId w:val="31"/>
  </w:num>
  <w:num w:numId="27" w16cid:durableId="987174276">
    <w:abstractNumId w:val="39"/>
  </w:num>
  <w:num w:numId="28" w16cid:durableId="1023166990">
    <w:abstractNumId w:val="21"/>
  </w:num>
  <w:num w:numId="29" w16cid:durableId="871647515">
    <w:abstractNumId w:val="37"/>
  </w:num>
  <w:num w:numId="30" w16cid:durableId="1002928336">
    <w:abstractNumId w:val="11"/>
  </w:num>
  <w:num w:numId="31" w16cid:durableId="831065990">
    <w:abstractNumId w:val="8"/>
  </w:num>
  <w:num w:numId="32" w16cid:durableId="1920210050">
    <w:abstractNumId w:val="5"/>
  </w:num>
  <w:num w:numId="33" w16cid:durableId="2005275012">
    <w:abstractNumId w:val="32"/>
  </w:num>
  <w:num w:numId="34" w16cid:durableId="1515224245">
    <w:abstractNumId w:val="4"/>
  </w:num>
  <w:num w:numId="35" w16cid:durableId="1039402331">
    <w:abstractNumId w:val="12"/>
  </w:num>
  <w:num w:numId="36" w16cid:durableId="237326072">
    <w:abstractNumId w:val="18"/>
  </w:num>
  <w:num w:numId="37" w16cid:durableId="1123883968">
    <w:abstractNumId w:val="1"/>
  </w:num>
  <w:num w:numId="38" w16cid:durableId="355347023">
    <w:abstractNumId w:val="35"/>
  </w:num>
  <w:num w:numId="39" w16cid:durableId="1750079343">
    <w:abstractNumId w:val="14"/>
  </w:num>
  <w:num w:numId="40" w16cid:durableId="252512645">
    <w:abstractNumId w:val="41"/>
  </w:num>
  <w:num w:numId="41" w16cid:durableId="1117483236">
    <w:abstractNumId w:val="40"/>
  </w:num>
  <w:num w:numId="42" w16cid:durableId="366758951">
    <w:abstractNumId w:val="6"/>
  </w:num>
  <w:num w:numId="43" w16cid:durableId="108670300">
    <w:abstractNumId w:val="38"/>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rson w15:author="Maja Rupnik">
    <w15:presenceInfo w15:providerId="AD" w15:userId="S::majrup1@nlzoh.si::9c649c64-3e54-4fcf-aa28-f6dc27760469"/>
  </w15:person>
  <w15:person w15:author="Urša Miklavčič [2]">
    <w15:presenceInfo w15:providerId="None" w15:userId="Urša Miklavčič"/>
  </w15:person>
  <w15:person w15:author="Aleksander Mahnic">
    <w15:presenceInfo w15:providerId="Windows Live" w15:userId="d849c458693c045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42D2"/>
    <w:rsid w:val="00005F8F"/>
    <w:rsid w:val="00006D53"/>
    <w:rsid w:val="0001187C"/>
    <w:rsid w:val="00012422"/>
    <w:rsid w:val="000171B3"/>
    <w:rsid w:val="00017479"/>
    <w:rsid w:val="00020125"/>
    <w:rsid w:val="0002070C"/>
    <w:rsid w:val="000209F9"/>
    <w:rsid w:val="00021A32"/>
    <w:rsid w:val="00022EC9"/>
    <w:rsid w:val="00025252"/>
    <w:rsid w:val="0002799D"/>
    <w:rsid w:val="00031A12"/>
    <w:rsid w:val="00032A34"/>
    <w:rsid w:val="0003311C"/>
    <w:rsid w:val="000376D2"/>
    <w:rsid w:val="000427D9"/>
    <w:rsid w:val="00043055"/>
    <w:rsid w:val="0004536B"/>
    <w:rsid w:val="00050E50"/>
    <w:rsid w:val="00051E9D"/>
    <w:rsid w:val="00055253"/>
    <w:rsid w:val="00057C98"/>
    <w:rsid w:val="00065D29"/>
    <w:rsid w:val="00067043"/>
    <w:rsid w:val="00072104"/>
    <w:rsid w:val="000749BD"/>
    <w:rsid w:val="0007616D"/>
    <w:rsid w:val="00080C98"/>
    <w:rsid w:val="00083237"/>
    <w:rsid w:val="00084538"/>
    <w:rsid w:val="000848F8"/>
    <w:rsid w:val="00084C7B"/>
    <w:rsid w:val="00084C85"/>
    <w:rsid w:val="00086BD2"/>
    <w:rsid w:val="0008793C"/>
    <w:rsid w:val="00092E4B"/>
    <w:rsid w:val="000944EF"/>
    <w:rsid w:val="00095B2E"/>
    <w:rsid w:val="000A2821"/>
    <w:rsid w:val="000A5BE2"/>
    <w:rsid w:val="000A6741"/>
    <w:rsid w:val="000A70B1"/>
    <w:rsid w:val="000B4DCB"/>
    <w:rsid w:val="000B5BBF"/>
    <w:rsid w:val="000B67DB"/>
    <w:rsid w:val="000B6F47"/>
    <w:rsid w:val="000C0183"/>
    <w:rsid w:val="000C1C7D"/>
    <w:rsid w:val="000C3819"/>
    <w:rsid w:val="000C68C6"/>
    <w:rsid w:val="000C6FD6"/>
    <w:rsid w:val="000D1D0F"/>
    <w:rsid w:val="000D29DB"/>
    <w:rsid w:val="000E06DF"/>
    <w:rsid w:val="000E1AE7"/>
    <w:rsid w:val="000E3CA2"/>
    <w:rsid w:val="000E42D3"/>
    <w:rsid w:val="000E4869"/>
    <w:rsid w:val="000E6005"/>
    <w:rsid w:val="000E622D"/>
    <w:rsid w:val="000E6AE5"/>
    <w:rsid w:val="000F4465"/>
    <w:rsid w:val="000F530F"/>
    <w:rsid w:val="000F6514"/>
    <w:rsid w:val="00100A45"/>
    <w:rsid w:val="00101B9D"/>
    <w:rsid w:val="00102874"/>
    <w:rsid w:val="00106D8C"/>
    <w:rsid w:val="00107195"/>
    <w:rsid w:val="00110468"/>
    <w:rsid w:val="0011488B"/>
    <w:rsid w:val="00121C08"/>
    <w:rsid w:val="0012203D"/>
    <w:rsid w:val="0012562B"/>
    <w:rsid w:val="00126668"/>
    <w:rsid w:val="001315DC"/>
    <w:rsid w:val="00133BF6"/>
    <w:rsid w:val="00134763"/>
    <w:rsid w:val="00135024"/>
    <w:rsid w:val="00140C71"/>
    <w:rsid w:val="00141EED"/>
    <w:rsid w:val="00144661"/>
    <w:rsid w:val="00150795"/>
    <w:rsid w:val="001517B9"/>
    <w:rsid w:val="00151D64"/>
    <w:rsid w:val="00164DF8"/>
    <w:rsid w:val="001730BD"/>
    <w:rsid w:val="00173621"/>
    <w:rsid w:val="001747D4"/>
    <w:rsid w:val="00174EE7"/>
    <w:rsid w:val="001750A0"/>
    <w:rsid w:val="00176D51"/>
    <w:rsid w:val="001855E8"/>
    <w:rsid w:val="001863D6"/>
    <w:rsid w:val="00187D61"/>
    <w:rsid w:val="00187EA7"/>
    <w:rsid w:val="001916C4"/>
    <w:rsid w:val="00191EE6"/>
    <w:rsid w:val="001977D3"/>
    <w:rsid w:val="001A194A"/>
    <w:rsid w:val="001A73FB"/>
    <w:rsid w:val="001B10A8"/>
    <w:rsid w:val="001C483B"/>
    <w:rsid w:val="001C5848"/>
    <w:rsid w:val="001C76BD"/>
    <w:rsid w:val="001D04C4"/>
    <w:rsid w:val="001E1E8D"/>
    <w:rsid w:val="001E2632"/>
    <w:rsid w:val="001E2B98"/>
    <w:rsid w:val="001E7E71"/>
    <w:rsid w:val="001F0ABA"/>
    <w:rsid w:val="001F2954"/>
    <w:rsid w:val="001F3066"/>
    <w:rsid w:val="00202238"/>
    <w:rsid w:val="002079AE"/>
    <w:rsid w:val="00210890"/>
    <w:rsid w:val="00213B80"/>
    <w:rsid w:val="00216A2B"/>
    <w:rsid w:val="002203AC"/>
    <w:rsid w:val="00221812"/>
    <w:rsid w:val="002233FE"/>
    <w:rsid w:val="00227CBB"/>
    <w:rsid w:val="00227E0D"/>
    <w:rsid w:val="00232291"/>
    <w:rsid w:val="00242307"/>
    <w:rsid w:val="00243146"/>
    <w:rsid w:val="00243EFE"/>
    <w:rsid w:val="0024464E"/>
    <w:rsid w:val="0024495C"/>
    <w:rsid w:val="0024637F"/>
    <w:rsid w:val="002463D5"/>
    <w:rsid w:val="002471F9"/>
    <w:rsid w:val="0025151E"/>
    <w:rsid w:val="00251869"/>
    <w:rsid w:val="00251B17"/>
    <w:rsid w:val="00252644"/>
    <w:rsid w:val="00253CCD"/>
    <w:rsid w:val="002544F0"/>
    <w:rsid w:val="00255949"/>
    <w:rsid w:val="00256C1A"/>
    <w:rsid w:val="00257385"/>
    <w:rsid w:val="0026081B"/>
    <w:rsid w:val="00264B2F"/>
    <w:rsid w:val="002667B7"/>
    <w:rsid w:val="00270202"/>
    <w:rsid w:val="00270620"/>
    <w:rsid w:val="00270E34"/>
    <w:rsid w:val="00272292"/>
    <w:rsid w:val="00274417"/>
    <w:rsid w:val="00274F2E"/>
    <w:rsid w:val="00281737"/>
    <w:rsid w:val="00281EC3"/>
    <w:rsid w:val="002827F5"/>
    <w:rsid w:val="002838D6"/>
    <w:rsid w:val="0028419B"/>
    <w:rsid w:val="002845D3"/>
    <w:rsid w:val="00285B3F"/>
    <w:rsid w:val="00287EE1"/>
    <w:rsid w:val="0029340C"/>
    <w:rsid w:val="00293919"/>
    <w:rsid w:val="00295BDE"/>
    <w:rsid w:val="002A0EC3"/>
    <w:rsid w:val="002A3EFB"/>
    <w:rsid w:val="002A4196"/>
    <w:rsid w:val="002B1950"/>
    <w:rsid w:val="002B27A3"/>
    <w:rsid w:val="002C2833"/>
    <w:rsid w:val="002D20E5"/>
    <w:rsid w:val="002D42E9"/>
    <w:rsid w:val="002D4A40"/>
    <w:rsid w:val="002D7072"/>
    <w:rsid w:val="002D7A83"/>
    <w:rsid w:val="002E03C9"/>
    <w:rsid w:val="002E26D9"/>
    <w:rsid w:val="002E5ABF"/>
    <w:rsid w:val="002E735E"/>
    <w:rsid w:val="002F0700"/>
    <w:rsid w:val="002F2009"/>
    <w:rsid w:val="00301C1C"/>
    <w:rsid w:val="003031E8"/>
    <w:rsid w:val="003044D0"/>
    <w:rsid w:val="00305C9E"/>
    <w:rsid w:val="00306439"/>
    <w:rsid w:val="003125AC"/>
    <w:rsid w:val="003128AF"/>
    <w:rsid w:val="00317674"/>
    <w:rsid w:val="00320506"/>
    <w:rsid w:val="003212BA"/>
    <w:rsid w:val="0032396E"/>
    <w:rsid w:val="00330798"/>
    <w:rsid w:val="00332ADB"/>
    <w:rsid w:val="00333FFC"/>
    <w:rsid w:val="00335EC2"/>
    <w:rsid w:val="00335FC4"/>
    <w:rsid w:val="00336811"/>
    <w:rsid w:val="00336D1E"/>
    <w:rsid w:val="0034458E"/>
    <w:rsid w:val="00344DEE"/>
    <w:rsid w:val="00345882"/>
    <w:rsid w:val="003467DA"/>
    <w:rsid w:val="00347E56"/>
    <w:rsid w:val="003511E9"/>
    <w:rsid w:val="00352514"/>
    <w:rsid w:val="0035266B"/>
    <w:rsid w:val="00355F88"/>
    <w:rsid w:val="00356DB2"/>
    <w:rsid w:val="00356FB6"/>
    <w:rsid w:val="00362926"/>
    <w:rsid w:val="00362AC5"/>
    <w:rsid w:val="00363C22"/>
    <w:rsid w:val="00364428"/>
    <w:rsid w:val="0036448E"/>
    <w:rsid w:val="00364E5F"/>
    <w:rsid w:val="00364FD6"/>
    <w:rsid w:val="0036785E"/>
    <w:rsid w:val="0037043C"/>
    <w:rsid w:val="00381BFC"/>
    <w:rsid w:val="00386B8B"/>
    <w:rsid w:val="00386EAD"/>
    <w:rsid w:val="003966C4"/>
    <w:rsid w:val="003A4BED"/>
    <w:rsid w:val="003A7C1F"/>
    <w:rsid w:val="003A7F9D"/>
    <w:rsid w:val="003B0038"/>
    <w:rsid w:val="003B772A"/>
    <w:rsid w:val="003D065A"/>
    <w:rsid w:val="003D12EB"/>
    <w:rsid w:val="003D1BF1"/>
    <w:rsid w:val="003D5A85"/>
    <w:rsid w:val="003D6A58"/>
    <w:rsid w:val="003E0743"/>
    <w:rsid w:val="003E26C9"/>
    <w:rsid w:val="003E4B71"/>
    <w:rsid w:val="003E5633"/>
    <w:rsid w:val="003E6A03"/>
    <w:rsid w:val="003F3118"/>
    <w:rsid w:val="003F7CF9"/>
    <w:rsid w:val="004031A0"/>
    <w:rsid w:val="0041006B"/>
    <w:rsid w:val="00412F1B"/>
    <w:rsid w:val="00415800"/>
    <w:rsid w:val="00416D96"/>
    <w:rsid w:val="0042160E"/>
    <w:rsid w:val="00422B36"/>
    <w:rsid w:val="0042372E"/>
    <w:rsid w:val="004247C3"/>
    <w:rsid w:val="004270CA"/>
    <w:rsid w:val="004271D5"/>
    <w:rsid w:val="0042728C"/>
    <w:rsid w:val="004310E0"/>
    <w:rsid w:val="0043153B"/>
    <w:rsid w:val="004343B2"/>
    <w:rsid w:val="00435A3D"/>
    <w:rsid w:val="00442E69"/>
    <w:rsid w:val="00445D84"/>
    <w:rsid w:val="004502A6"/>
    <w:rsid w:val="00453A2B"/>
    <w:rsid w:val="004549E4"/>
    <w:rsid w:val="004560F6"/>
    <w:rsid w:val="0045642B"/>
    <w:rsid w:val="00460975"/>
    <w:rsid w:val="00464C8B"/>
    <w:rsid w:val="00466C39"/>
    <w:rsid w:val="00466F33"/>
    <w:rsid w:val="00471671"/>
    <w:rsid w:val="004754D6"/>
    <w:rsid w:val="004774AE"/>
    <w:rsid w:val="00480D11"/>
    <w:rsid w:val="00484C1B"/>
    <w:rsid w:val="00486762"/>
    <w:rsid w:val="00492468"/>
    <w:rsid w:val="00494014"/>
    <w:rsid w:val="00494270"/>
    <w:rsid w:val="00496F21"/>
    <w:rsid w:val="004A044D"/>
    <w:rsid w:val="004A20A8"/>
    <w:rsid w:val="004A376D"/>
    <w:rsid w:val="004A470E"/>
    <w:rsid w:val="004A5599"/>
    <w:rsid w:val="004A6090"/>
    <w:rsid w:val="004B16FA"/>
    <w:rsid w:val="004B1C68"/>
    <w:rsid w:val="004C129A"/>
    <w:rsid w:val="004C23E9"/>
    <w:rsid w:val="004C2FDD"/>
    <w:rsid w:val="004C54E4"/>
    <w:rsid w:val="004C7C5A"/>
    <w:rsid w:val="004D0CAC"/>
    <w:rsid w:val="004D2FBF"/>
    <w:rsid w:val="004D39F4"/>
    <w:rsid w:val="004D77C6"/>
    <w:rsid w:val="004E2BD3"/>
    <w:rsid w:val="004E49B9"/>
    <w:rsid w:val="004E5C56"/>
    <w:rsid w:val="004E6707"/>
    <w:rsid w:val="004E7A4E"/>
    <w:rsid w:val="004F09A1"/>
    <w:rsid w:val="004F2442"/>
    <w:rsid w:val="004F43A6"/>
    <w:rsid w:val="004F668E"/>
    <w:rsid w:val="00503055"/>
    <w:rsid w:val="005063E4"/>
    <w:rsid w:val="00506EB8"/>
    <w:rsid w:val="005072EE"/>
    <w:rsid w:val="005076B1"/>
    <w:rsid w:val="00510FF4"/>
    <w:rsid w:val="005113A8"/>
    <w:rsid w:val="005133AD"/>
    <w:rsid w:val="00516519"/>
    <w:rsid w:val="00517E20"/>
    <w:rsid w:val="005220ED"/>
    <w:rsid w:val="00523722"/>
    <w:rsid w:val="0052596E"/>
    <w:rsid w:val="005268E2"/>
    <w:rsid w:val="00532ABD"/>
    <w:rsid w:val="005330D0"/>
    <w:rsid w:val="00536A0E"/>
    <w:rsid w:val="005370BA"/>
    <w:rsid w:val="0053776A"/>
    <w:rsid w:val="00540583"/>
    <w:rsid w:val="0054098D"/>
    <w:rsid w:val="00542CC6"/>
    <w:rsid w:val="00542F69"/>
    <w:rsid w:val="00543487"/>
    <w:rsid w:val="00543B19"/>
    <w:rsid w:val="0054416F"/>
    <w:rsid w:val="00546F35"/>
    <w:rsid w:val="0055077B"/>
    <w:rsid w:val="00550E1B"/>
    <w:rsid w:val="00554309"/>
    <w:rsid w:val="00554CE9"/>
    <w:rsid w:val="00555E2B"/>
    <w:rsid w:val="005561A1"/>
    <w:rsid w:val="00560D63"/>
    <w:rsid w:val="005636B7"/>
    <w:rsid w:val="00563820"/>
    <w:rsid w:val="00570DA3"/>
    <w:rsid w:val="00571CB3"/>
    <w:rsid w:val="00571F06"/>
    <w:rsid w:val="0057295E"/>
    <w:rsid w:val="00573083"/>
    <w:rsid w:val="005745AD"/>
    <w:rsid w:val="00575DD2"/>
    <w:rsid w:val="005820FC"/>
    <w:rsid w:val="005822CC"/>
    <w:rsid w:val="005824BE"/>
    <w:rsid w:val="005834B8"/>
    <w:rsid w:val="005839E7"/>
    <w:rsid w:val="0058476A"/>
    <w:rsid w:val="005860C7"/>
    <w:rsid w:val="00590F08"/>
    <w:rsid w:val="00591EA4"/>
    <w:rsid w:val="0059653E"/>
    <w:rsid w:val="00597322"/>
    <w:rsid w:val="005A2686"/>
    <w:rsid w:val="005A26CA"/>
    <w:rsid w:val="005A3094"/>
    <w:rsid w:val="005A3D03"/>
    <w:rsid w:val="005A4315"/>
    <w:rsid w:val="005B095C"/>
    <w:rsid w:val="005B0BE4"/>
    <w:rsid w:val="005B18B4"/>
    <w:rsid w:val="005B284E"/>
    <w:rsid w:val="005B2B25"/>
    <w:rsid w:val="005B3602"/>
    <w:rsid w:val="005B5C6B"/>
    <w:rsid w:val="005B6BC0"/>
    <w:rsid w:val="005B7ABD"/>
    <w:rsid w:val="005B7D40"/>
    <w:rsid w:val="005C0775"/>
    <w:rsid w:val="005C7D29"/>
    <w:rsid w:val="005D234B"/>
    <w:rsid w:val="005D2ADA"/>
    <w:rsid w:val="005D64F1"/>
    <w:rsid w:val="005E294F"/>
    <w:rsid w:val="005E3458"/>
    <w:rsid w:val="005E77FD"/>
    <w:rsid w:val="00603538"/>
    <w:rsid w:val="00606C72"/>
    <w:rsid w:val="006073F2"/>
    <w:rsid w:val="00607519"/>
    <w:rsid w:val="00613573"/>
    <w:rsid w:val="00613E64"/>
    <w:rsid w:val="00615AC6"/>
    <w:rsid w:val="00615DB7"/>
    <w:rsid w:val="00616AD8"/>
    <w:rsid w:val="00617433"/>
    <w:rsid w:val="0062134A"/>
    <w:rsid w:val="006215D1"/>
    <w:rsid w:val="0062246A"/>
    <w:rsid w:val="00632C63"/>
    <w:rsid w:val="00636461"/>
    <w:rsid w:val="0063651B"/>
    <w:rsid w:val="00641D6A"/>
    <w:rsid w:val="00643FE9"/>
    <w:rsid w:val="00645074"/>
    <w:rsid w:val="006456F0"/>
    <w:rsid w:val="00647F43"/>
    <w:rsid w:val="00651A38"/>
    <w:rsid w:val="00652818"/>
    <w:rsid w:val="0065324A"/>
    <w:rsid w:val="00654C98"/>
    <w:rsid w:val="00655BA6"/>
    <w:rsid w:val="006579F8"/>
    <w:rsid w:val="00660A10"/>
    <w:rsid w:val="006617EF"/>
    <w:rsid w:val="00663154"/>
    <w:rsid w:val="00665D44"/>
    <w:rsid w:val="00667D9E"/>
    <w:rsid w:val="00672271"/>
    <w:rsid w:val="00676AEB"/>
    <w:rsid w:val="00681828"/>
    <w:rsid w:val="00681AD4"/>
    <w:rsid w:val="006868B0"/>
    <w:rsid w:val="00695407"/>
    <w:rsid w:val="00695568"/>
    <w:rsid w:val="006957F1"/>
    <w:rsid w:val="00696A64"/>
    <w:rsid w:val="00696AA7"/>
    <w:rsid w:val="006A08CB"/>
    <w:rsid w:val="006A1174"/>
    <w:rsid w:val="006A3531"/>
    <w:rsid w:val="006A4086"/>
    <w:rsid w:val="006B1BE0"/>
    <w:rsid w:val="006B61F5"/>
    <w:rsid w:val="006B77C8"/>
    <w:rsid w:val="006C2B2A"/>
    <w:rsid w:val="006D04A5"/>
    <w:rsid w:val="006D0693"/>
    <w:rsid w:val="006D4605"/>
    <w:rsid w:val="006D6FBD"/>
    <w:rsid w:val="006D7AE1"/>
    <w:rsid w:val="006D7E64"/>
    <w:rsid w:val="006E5902"/>
    <w:rsid w:val="006F1DCC"/>
    <w:rsid w:val="006F2CC2"/>
    <w:rsid w:val="006F3192"/>
    <w:rsid w:val="006F4B9C"/>
    <w:rsid w:val="006F6D96"/>
    <w:rsid w:val="006F7CD1"/>
    <w:rsid w:val="007001F7"/>
    <w:rsid w:val="00702F47"/>
    <w:rsid w:val="007053B6"/>
    <w:rsid w:val="00707035"/>
    <w:rsid w:val="00707C30"/>
    <w:rsid w:val="00712C14"/>
    <w:rsid w:val="00715E54"/>
    <w:rsid w:val="00717053"/>
    <w:rsid w:val="00721B43"/>
    <w:rsid w:val="0072261B"/>
    <w:rsid w:val="00724A8D"/>
    <w:rsid w:val="00726C59"/>
    <w:rsid w:val="00726E8C"/>
    <w:rsid w:val="00727CBA"/>
    <w:rsid w:val="00732A5C"/>
    <w:rsid w:val="00734577"/>
    <w:rsid w:val="007361BE"/>
    <w:rsid w:val="00736E33"/>
    <w:rsid w:val="00740BFD"/>
    <w:rsid w:val="0074314C"/>
    <w:rsid w:val="00752368"/>
    <w:rsid w:val="00752E77"/>
    <w:rsid w:val="007548FE"/>
    <w:rsid w:val="007601F5"/>
    <w:rsid w:val="0076326D"/>
    <w:rsid w:val="007660BE"/>
    <w:rsid w:val="0076647F"/>
    <w:rsid w:val="007674F5"/>
    <w:rsid w:val="00771631"/>
    <w:rsid w:val="007718E5"/>
    <w:rsid w:val="00772FE6"/>
    <w:rsid w:val="00774DA6"/>
    <w:rsid w:val="00777E42"/>
    <w:rsid w:val="00780C9D"/>
    <w:rsid w:val="007861E7"/>
    <w:rsid w:val="00786591"/>
    <w:rsid w:val="00790079"/>
    <w:rsid w:val="007918CE"/>
    <w:rsid w:val="0079285E"/>
    <w:rsid w:val="0079346F"/>
    <w:rsid w:val="007935A5"/>
    <w:rsid w:val="00794C91"/>
    <w:rsid w:val="00795B8C"/>
    <w:rsid w:val="007A0B34"/>
    <w:rsid w:val="007A2DC8"/>
    <w:rsid w:val="007A3384"/>
    <w:rsid w:val="007A3B1F"/>
    <w:rsid w:val="007B182B"/>
    <w:rsid w:val="007B2367"/>
    <w:rsid w:val="007B36A5"/>
    <w:rsid w:val="007B3911"/>
    <w:rsid w:val="007B5403"/>
    <w:rsid w:val="007B5A5E"/>
    <w:rsid w:val="007B7DF4"/>
    <w:rsid w:val="007C0677"/>
    <w:rsid w:val="007C0931"/>
    <w:rsid w:val="007C31CB"/>
    <w:rsid w:val="007C636C"/>
    <w:rsid w:val="007D22D2"/>
    <w:rsid w:val="007D46B7"/>
    <w:rsid w:val="007D4BF8"/>
    <w:rsid w:val="007D52EA"/>
    <w:rsid w:val="007D6D0A"/>
    <w:rsid w:val="007E0DCA"/>
    <w:rsid w:val="007E2F9D"/>
    <w:rsid w:val="007E76E8"/>
    <w:rsid w:val="007F0D93"/>
    <w:rsid w:val="007F1806"/>
    <w:rsid w:val="007F18F0"/>
    <w:rsid w:val="00801198"/>
    <w:rsid w:val="008062F3"/>
    <w:rsid w:val="0081529F"/>
    <w:rsid w:val="0082264F"/>
    <w:rsid w:val="00822DEC"/>
    <w:rsid w:val="00831021"/>
    <w:rsid w:val="00831145"/>
    <w:rsid w:val="00832312"/>
    <w:rsid w:val="00836D29"/>
    <w:rsid w:val="00840776"/>
    <w:rsid w:val="00840D7D"/>
    <w:rsid w:val="00841F29"/>
    <w:rsid w:val="008440CD"/>
    <w:rsid w:val="00845DF9"/>
    <w:rsid w:val="0085127D"/>
    <w:rsid w:val="00853AA2"/>
    <w:rsid w:val="00861D2E"/>
    <w:rsid w:val="008624F9"/>
    <w:rsid w:val="00862C36"/>
    <w:rsid w:val="0086438B"/>
    <w:rsid w:val="00866102"/>
    <w:rsid w:val="00870455"/>
    <w:rsid w:val="0087086D"/>
    <w:rsid w:val="00872DC8"/>
    <w:rsid w:val="00873BF0"/>
    <w:rsid w:val="00875455"/>
    <w:rsid w:val="00875C51"/>
    <w:rsid w:val="00880F2E"/>
    <w:rsid w:val="008813A8"/>
    <w:rsid w:val="00884027"/>
    <w:rsid w:val="0089141A"/>
    <w:rsid w:val="008941CE"/>
    <w:rsid w:val="008954D9"/>
    <w:rsid w:val="00895E4C"/>
    <w:rsid w:val="00895EB9"/>
    <w:rsid w:val="008A0D22"/>
    <w:rsid w:val="008A2B5E"/>
    <w:rsid w:val="008A578D"/>
    <w:rsid w:val="008A6903"/>
    <w:rsid w:val="008A73B6"/>
    <w:rsid w:val="008B12ED"/>
    <w:rsid w:val="008B2A44"/>
    <w:rsid w:val="008B500A"/>
    <w:rsid w:val="008B61D2"/>
    <w:rsid w:val="008B70E9"/>
    <w:rsid w:val="008C2245"/>
    <w:rsid w:val="008C2E38"/>
    <w:rsid w:val="008C4B8C"/>
    <w:rsid w:val="008C605B"/>
    <w:rsid w:val="008D548A"/>
    <w:rsid w:val="00901D62"/>
    <w:rsid w:val="00902E90"/>
    <w:rsid w:val="009040AD"/>
    <w:rsid w:val="009111B6"/>
    <w:rsid w:val="009114E3"/>
    <w:rsid w:val="00912E97"/>
    <w:rsid w:val="00914AF9"/>
    <w:rsid w:val="00916C85"/>
    <w:rsid w:val="00927C42"/>
    <w:rsid w:val="009301C0"/>
    <w:rsid w:val="009362C0"/>
    <w:rsid w:val="00945370"/>
    <w:rsid w:val="00950BD7"/>
    <w:rsid w:val="00952AD7"/>
    <w:rsid w:val="009540A4"/>
    <w:rsid w:val="00960FC0"/>
    <w:rsid w:val="00962877"/>
    <w:rsid w:val="009634C0"/>
    <w:rsid w:val="00973033"/>
    <w:rsid w:val="0097501B"/>
    <w:rsid w:val="00977279"/>
    <w:rsid w:val="009855A8"/>
    <w:rsid w:val="00985BFC"/>
    <w:rsid w:val="009905EA"/>
    <w:rsid w:val="009921B1"/>
    <w:rsid w:val="009959F7"/>
    <w:rsid w:val="009972F0"/>
    <w:rsid w:val="009A06F8"/>
    <w:rsid w:val="009A4188"/>
    <w:rsid w:val="009A6475"/>
    <w:rsid w:val="009B0CC2"/>
    <w:rsid w:val="009B21DA"/>
    <w:rsid w:val="009B3EB0"/>
    <w:rsid w:val="009B5B85"/>
    <w:rsid w:val="009B6064"/>
    <w:rsid w:val="009B66BD"/>
    <w:rsid w:val="009C00D3"/>
    <w:rsid w:val="009C360F"/>
    <w:rsid w:val="009C5092"/>
    <w:rsid w:val="009D1C32"/>
    <w:rsid w:val="009D2143"/>
    <w:rsid w:val="009D27B1"/>
    <w:rsid w:val="009D36FF"/>
    <w:rsid w:val="009D4C3B"/>
    <w:rsid w:val="009D62C3"/>
    <w:rsid w:val="009D7DF9"/>
    <w:rsid w:val="009E37F0"/>
    <w:rsid w:val="009E41A1"/>
    <w:rsid w:val="009E49A7"/>
    <w:rsid w:val="009F0FA3"/>
    <w:rsid w:val="00A006EE"/>
    <w:rsid w:val="00A0613C"/>
    <w:rsid w:val="00A06FFE"/>
    <w:rsid w:val="00A12243"/>
    <w:rsid w:val="00A1492E"/>
    <w:rsid w:val="00A227F8"/>
    <w:rsid w:val="00A24687"/>
    <w:rsid w:val="00A2654C"/>
    <w:rsid w:val="00A26F27"/>
    <w:rsid w:val="00A27331"/>
    <w:rsid w:val="00A31C78"/>
    <w:rsid w:val="00A34E7C"/>
    <w:rsid w:val="00A3533D"/>
    <w:rsid w:val="00A36542"/>
    <w:rsid w:val="00A40CF9"/>
    <w:rsid w:val="00A438AD"/>
    <w:rsid w:val="00A45424"/>
    <w:rsid w:val="00A459B8"/>
    <w:rsid w:val="00A47232"/>
    <w:rsid w:val="00A472EF"/>
    <w:rsid w:val="00A513B9"/>
    <w:rsid w:val="00A51F9D"/>
    <w:rsid w:val="00A55D4B"/>
    <w:rsid w:val="00A571C2"/>
    <w:rsid w:val="00A61643"/>
    <w:rsid w:val="00A648EE"/>
    <w:rsid w:val="00A658A2"/>
    <w:rsid w:val="00A7313D"/>
    <w:rsid w:val="00A73DD6"/>
    <w:rsid w:val="00A810BE"/>
    <w:rsid w:val="00A81532"/>
    <w:rsid w:val="00A81E78"/>
    <w:rsid w:val="00A840B0"/>
    <w:rsid w:val="00A865F6"/>
    <w:rsid w:val="00A95361"/>
    <w:rsid w:val="00A95C97"/>
    <w:rsid w:val="00AA16DA"/>
    <w:rsid w:val="00AA3D1D"/>
    <w:rsid w:val="00AA6976"/>
    <w:rsid w:val="00AB123E"/>
    <w:rsid w:val="00AB497D"/>
    <w:rsid w:val="00AB5516"/>
    <w:rsid w:val="00AB554E"/>
    <w:rsid w:val="00AC6A36"/>
    <w:rsid w:val="00AC77B7"/>
    <w:rsid w:val="00AC7C70"/>
    <w:rsid w:val="00AD2AEE"/>
    <w:rsid w:val="00AD378A"/>
    <w:rsid w:val="00AD5710"/>
    <w:rsid w:val="00AE070D"/>
    <w:rsid w:val="00AE3DD6"/>
    <w:rsid w:val="00AE4AFC"/>
    <w:rsid w:val="00AF5FDB"/>
    <w:rsid w:val="00B000E6"/>
    <w:rsid w:val="00B0040D"/>
    <w:rsid w:val="00B049FB"/>
    <w:rsid w:val="00B10276"/>
    <w:rsid w:val="00B10359"/>
    <w:rsid w:val="00B114D7"/>
    <w:rsid w:val="00B11A96"/>
    <w:rsid w:val="00B12201"/>
    <w:rsid w:val="00B14576"/>
    <w:rsid w:val="00B21CC5"/>
    <w:rsid w:val="00B23A3C"/>
    <w:rsid w:val="00B2422A"/>
    <w:rsid w:val="00B2497F"/>
    <w:rsid w:val="00B25A26"/>
    <w:rsid w:val="00B26378"/>
    <w:rsid w:val="00B26936"/>
    <w:rsid w:val="00B304AC"/>
    <w:rsid w:val="00B319E1"/>
    <w:rsid w:val="00B32D41"/>
    <w:rsid w:val="00B34BE2"/>
    <w:rsid w:val="00B41263"/>
    <w:rsid w:val="00B42281"/>
    <w:rsid w:val="00B472C6"/>
    <w:rsid w:val="00B50049"/>
    <w:rsid w:val="00B54D73"/>
    <w:rsid w:val="00B63AE5"/>
    <w:rsid w:val="00B65BE5"/>
    <w:rsid w:val="00B700B9"/>
    <w:rsid w:val="00B731AC"/>
    <w:rsid w:val="00B74188"/>
    <w:rsid w:val="00B749CB"/>
    <w:rsid w:val="00B8234C"/>
    <w:rsid w:val="00B85115"/>
    <w:rsid w:val="00B953D5"/>
    <w:rsid w:val="00BA56E3"/>
    <w:rsid w:val="00BB3209"/>
    <w:rsid w:val="00BB3368"/>
    <w:rsid w:val="00BB3A97"/>
    <w:rsid w:val="00BB6D0F"/>
    <w:rsid w:val="00BB7BEE"/>
    <w:rsid w:val="00BC0C5A"/>
    <w:rsid w:val="00BC0F03"/>
    <w:rsid w:val="00BC2437"/>
    <w:rsid w:val="00BC557C"/>
    <w:rsid w:val="00BC6C72"/>
    <w:rsid w:val="00BD0C4D"/>
    <w:rsid w:val="00BD267E"/>
    <w:rsid w:val="00BD26FE"/>
    <w:rsid w:val="00BD2E54"/>
    <w:rsid w:val="00BD7EE5"/>
    <w:rsid w:val="00BE1AAF"/>
    <w:rsid w:val="00BE4AD4"/>
    <w:rsid w:val="00BE6275"/>
    <w:rsid w:val="00BE6D5B"/>
    <w:rsid w:val="00BF39F0"/>
    <w:rsid w:val="00BF7911"/>
    <w:rsid w:val="00C003EE"/>
    <w:rsid w:val="00C018F8"/>
    <w:rsid w:val="00C01B07"/>
    <w:rsid w:val="00C02586"/>
    <w:rsid w:val="00C109B7"/>
    <w:rsid w:val="00C11001"/>
    <w:rsid w:val="00C136C3"/>
    <w:rsid w:val="00C13734"/>
    <w:rsid w:val="00C13F6D"/>
    <w:rsid w:val="00C2031F"/>
    <w:rsid w:val="00C21880"/>
    <w:rsid w:val="00C2620A"/>
    <w:rsid w:val="00C26793"/>
    <w:rsid w:val="00C3628E"/>
    <w:rsid w:val="00C375D9"/>
    <w:rsid w:val="00C410E8"/>
    <w:rsid w:val="00C43510"/>
    <w:rsid w:val="00C50FA4"/>
    <w:rsid w:val="00C534F4"/>
    <w:rsid w:val="00C62017"/>
    <w:rsid w:val="00C6265A"/>
    <w:rsid w:val="00C62B09"/>
    <w:rsid w:val="00C64F29"/>
    <w:rsid w:val="00C65827"/>
    <w:rsid w:val="00C6599C"/>
    <w:rsid w:val="00C70C49"/>
    <w:rsid w:val="00C70DE0"/>
    <w:rsid w:val="00C72052"/>
    <w:rsid w:val="00C72835"/>
    <w:rsid w:val="00C7295F"/>
    <w:rsid w:val="00C73361"/>
    <w:rsid w:val="00C735B5"/>
    <w:rsid w:val="00C73A17"/>
    <w:rsid w:val="00C74628"/>
    <w:rsid w:val="00C747B3"/>
    <w:rsid w:val="00C749F3"/>
    <w:rsid w:val="00C80C26"/>
    <w:rsid w:val="00C8114A"/>
    <w:rsid w:val="00C818E0"/>
    <w:rsid w:val="00C81F8E"/>
    <w:rsid w:val="00C9255A"/>
    <w:rsid w:val="00C96D1D"/>
    <w:rsid w:val="00CB40F9"/>
    <w:rsid w:val="00CB7573"/>
    <w:rsid w:val="00CC1082"/>
    <w:rsid w:val="00CC4180"/>
    <w:rsid w:val="00CC65F5"/>
    <w:rsid w:val="00CC6D8A"/>
    <w:rsid w:val="00CC77B3"/>
    <w:rsid w:val="00CD0474"/>
    <w:rsid w:val="00CD142E"/>
    <w:rsid w:val="00CD4068"/>
    <w:rsid w:val="00CD40B8"/>
    <w:rsid w:val="00CD4FF8"/>
    <w:rsid w:val="00CD5E5B"/>
    <w:rsid w:val="00CD5E9D"/>
    <w:rsid w:val="00CD6C72"/>
    <w:rsid w:val="00CD717C"/>
    <w:rsid w:val="00CD77AB"/>
    <w:rsid w:val="00CE0D05"/>
    <w:rsid w:val="00CE3C6D"/>
    <w:rsid w:val="00CE65C7"/>
    <w:rsid w:val="00CE7D64"/>
    <w:rsid w:val="00CF2F1F"/>
    <w:rsid w:val="00CF3097"/>
    <w:rsid w:val="00CF4CD5"/>
    <w:rsid w:val="00CF5058"/>
    <w:rsid w:val="00CF6801"/>
    <w:rsid w:val="00CF7750"/>
    <w:rsid w:val="00D025AD"/>
    <w:rsid w:val="00D03BA6"/>
    <w:rsid w:val="00D05103"/>
    <w:rsid w:val="00D06A6D"/>
    <w:rsid w:val="00D0785C"/>
    <w:rsid w:val="00D07995"/>
    <w:rsid w:val="00D11668"/>
    <w:rsid w:val="00D1546C"/>
    <w:rsid w:val="00D16657"/>
    <w:rsid w:val="00D2438A"/>
    <w:rsid w:val="00D24FE7"/>
    <w:rsid w:val="00D253B0"/>
    <w:rsid w:val="00D2565A"/>
    <w:rsid w:val="00D36343"/>
    <w:rsid w:val="00D3EF15"/>
    <w:rsid w:val="00D40A30"/>
    <w:rsid w:val="00D40C1B"/>
    <w:rsid w:val="00D4286E"/>
    <w:rsid w:val="00D53D75"/>
    <w:rsid w:val="00D53DA9"/>
    <w:rsid w:val="00D6030C"/>
    <w:rsid w:val="00D6164D"/>
    <w:rsid w:val="00D61F3E"/>
    <w:rsid w:val="00D660AD"/>
    <w:rsid w:val="00D66538"/>
    <w:rsid w:val="00D70FBD"/>
    <w:rsid w:val="00D80520"/>
    <w:rsid w:val="00D84837"/>
    <w:rsid w:val="00D84BE0"/>
    <w:rsid w:val="00D84E51"/>
    <w:rsid w:val="00D84F0D"/>
    <w:rsid w:val="00D87B8B"/>
    <w:rsid w:val="00D91312"/>
    <w:rsid w:val="00D9297E"/>
    <w:rsid w:val="00D95346"/>
    <w:rsid w:val="00D97668"/>
    <w:rsid w:val="00D97C36"/>
    <w:rsid w:val="00DA1E96"/>
    <w:rsid w:val="00DA21FD"/>
    <w:rsid w:val="00DA35C9"/>
    <w:rsid w:val="00DA3ACF"/>
    <w:rsid w:val="00DA42F5"/>
    <w:rsid w:val="00DA4EAA"/>
    <w:rsid w:val="00DA4F9A"/>
    <w:rsid w:val="00DA53D7"/>
    <w:rsid w:val="00DA58F1"/>
    <w:rsid w:val="00DA5D5D"/>
    <w:rsid w:val="00DA71C7"/>
    <w:rsid w:val="00DB48CD"/>
    <w:rsid w:val="00DB6904"/>
    <w:rsid w:val="00DB746A"/>
    <w:rsid w:val="00DC1E07"/>
    <w:rsid w:val="00DC233A"/>
    <w:rsid w:val="00DC4C79"/>
    <w:rsid w:val="00DC51F0"/>
    <w:rsid w:val="00DC5B01"/>
    <w:rsid w:val="00DD186C"/>
    <w:rsid w:val="00DD1F31"/>
    <w:rsid w:val="00DD40A2"/>
    <w:rsid w:val="00DE1C9C"/>
    <w:rsid w:val="00DE3B67"/>
    <w:rsid w:val="00DE7854"/>
    <w:rsid w:val="00DF2149"/>
    <w:rsid w:val="00DF4DC0"/>
    <w:rsid w:val="00DF556E"/>
    <w:rsid w:val="00DF7BAC"/>
    <w:rsid w:val="00DF7F44"/>
    <w:rsid w:val="00E025F8"/>
    <w:rsid w:val="00E03454"/>
    <w:rsid w:val="00E05253"/>
    <w:rsid w:val="00E06A99"/>
    <w:rsid w:val="00E1056B"/>
    <w:rsid w:val="00E1230D"/>
    <w:rsid w:val="00E1649E"/>
    <w:rsid w:val="00E2048E"/>
    <w:rsid w:val="00E2069E"/>
    <w:rsid w:val="00E21C1D"/>
    <w:rsid w:val="00E2565B"/>
    <w:rsid w:val="00E32385"/>
    <w:rsid w:val="00E350FC"/>
    <w:rsid w:val="00E37CF7"/>
    <w:rsid w:val="00E42463"/>
    <w:rsid w:val="00E46E3A"/>
    <w:rsid w:val="00E50CC3"/>
    <w:rsid w:val="00E50EBF"/>
    <w:rsid w:val="00E51123"/>
    <w:rsid w:val="00E54467"/>
    <w:rsid w:val="00E54622"/>
    <w:rsid w:val="00E56BED"/>
    <w:rsid w:val="00E57F27"/>
    <w:rsid w:val="00E65829"/>
    <w:rsid w:val="00E65962"/>
    <w:rsid w:val="00E66261"/>
    <w:rsid w:val="00E700C6"/>
    <w:rsid w:val="00E75339"/>
    <w:rsid w:val="00E761F8"/>
    <w:rsid w:val="00E82610"/>
    <w:rsid w:val="00E874E5"/>
    <w:rsid w:val="00E87CB4"/>
    <w:rsid w:val="00E904D0"/>
    <w:rsid w:val="00E912BB"/>
    <w:rsid w:val="00E9210E"/>
    <w:rsid w:val="00E93247"/>
    <w:rsid w:val="00E93670"/>
    <w:rsid w:val="00E95D46"/>
    <w:rsid w:val="00E97002"/>
    <w:rsid w:val="00E97469"/>
    <w:rsid w:val="00EA124E"/>
    <w:rsid w:val="00EA3AEA"/>
    <w:rsid w:val="00EB228B"/>
    <w:rsid w:val="00EB2E55"/>
    <w:rsid w:val="00EB40D5"/>
    <w:rsid w:val="00EC1414"/>
    <w:rsid w:val="00EC18E8"/>
    <w:rsid w:val="00EC5F83"/>
    <w:rsid w:val="00EC602C"/>
    <w:rsid w:val="00ED1272"/>
    <w:rsid w:val="00ED1AE6"/>
    <w:rsid w:val="00ED1D99"/>
    <w:rsid w:val="00ED29DA"/>
    <w:rsid w:val="00ED2A78"/>
    <w:rsid w:val="00ED415C"/>
    <w:rsid w:val="00ED4887"/>
    <w:rsid w:val="00ED5492"/>
    <w:rsid w:val="00EE1324"/>
    <w:rsid w:val="00EE3CC9"/>
    <w:rsid w:val="00EE659B"/>
    <w:rsid w:val="00EF00DB"/>
    <w:rsid w:val="00EF39FA"/>
    <w:rsid w:val="00EF4414"/>
    <w:rsid w:val="00EF648D"/>
    <w:rsid w:val="00EF6518"/>
    <w:rsid w:val="00EF7B4F"/>
    <w:rsid w:val="00F06F61"/>
    <w:rsid w:val="00F07B26"/>
    <w:rsid w:val="00F1113F"/>
    <w:rsid w:val="00F17164"/>
    <w:rsid w:val="00F20C2F"/>
    <w:rsid w:val="00F22383"/>
    <w:rsid w:val="00F253DA"/>
    <w:rsid w:val="00F2781E"/>
    <w:rsid w:val="00F31DC1"/>
    <w:rsid w:val="00F339AC"/>
    <w:rsid w:val="00F35601"/>
    <w:rsid w:val="00F35C8B"/>
    <w:rsid w:val="00F41397"/>
    <w:rsid w:val="00F42BFF"/>
    <w:rsid w:val="00F53307"/>
    <w:rsid w:val="00F562CF"/>
    <w:rsid w:val="00F61001"/>
    <w:rsid w:val="00F6197A"/>
    <w:rsid w:val="00F61BE5"/>
    <w:rsid w:val="00F636BD"/>
    <w:rsid w:val="00F6459F"/>
    <w:rsid w:val="00F665E9"/>
    <w:rsid w:val="00F708D6"/>
    <w:rsid w:val="00F70986"/>
    <w:rsid w:val="00F71617"/>
    <w:rsid w:val="00F7553E"/>
    <w:rsid w:val="00F758C2"/>
    <w:rsid w:val="00F772A5"/>
    <w:rsid w:val="00F84D62"/>
    <w:rsid w:val="00F857E0"/>
    <w:rsid w:val="00F917AD"/>
    <w:rsid w:val="00F92AD4"/>
    <w:rsid w:val="00F932B7"/>
    <w:rsid w:val="00F950DC"/>
    <w:rsid w:val="00F972A5"/>
    <w:rsid w:val="00FA3ABC"/>
    <w:rsid w:val="00FA776C"/>
    <w:rsid w:val="00FA7854"/>
    <w:rsid w:val="00FB3B5F"/>
    <w:rsid w:val="00FB4AE5"/>
    <w:rsid w:val="00FB5B39"/>
    <w:rsid w:val="00FB701E"/>
    <w:rsid w:val="00FC1E24"/>
    <w:rsid w:val="00FC5AB8"/>
    <w:rsid w:val="00FC64EF"/>
    <w:rsid w:val="00FD23F5"/>
    <w:rsid w:val="00FD6F57"/>
    <w:rsid w:val="00FE0502"/>
    <w:rsid w:val="00FE3921"/>
    <w:rsid w:val="00FE56A9"/>
    <w:rsid w:val="00FE5839"/>
    <w:rsid w:val="00FE7BA7"/>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2F2009"/>
    <w:pPr>
      <w:numPr>
        <w:ilvl w:val="1"/>
        <w:numId w:val="24"/>
      </w:numPr>
      <w:outlineLvl w:val="1"/>
    </w:pPr>
    <w:rPr>
      <w:b w:val="0"/>
      <w:szCs w:val="22"/>
    </w:rPr>
  </w:style>
  <w:style w:type="paragraph" w:styleId="Heading3">
    <w:name w:val="heading 3"/>
    <w:basedOn w:val="Heading2"/>
    <w:next w:val="Normal"/>
    <w:link w:val="Heading3Char"/>
    <w:uiPriority w:val="9"/>
    <w:unhideWhenUsed/>
    <w:qFormat/>
    <w:rsid w:val="002F2009"/>
    <w:pPr>
      <w:keepNext/>
      <w:keepLines/>
      <w:numPr>
        <w:ilvl w:val="2"/>
      </w:numPr>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2F2009"/>
    <w:pPr>
      <w:numPr>
        <w:ilvl w:val="3"/>
      </w:numPr>
      <w:outlineLvl w:val="3"/>
    </w:pPr>
    <w:rPr>
      <w:rFonts w:eastAsiaTheme="majorEastAsia"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2F2009"/>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2F2009"/>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2F2009"/>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173621"/>
    <w:rPr>
      <w:rFonts w:cs="Times New Roman"/>
      <w:sz w:val="20"/>
      <w:szCs w:val="20"/>
    </w:rPr>
  </w:style>
  <w:style w:type="character" w:customStyle="1" w:styleId="FigureTableZnak">
    <w:name w:val="Figure_Table Znak"/>
    <w:basedOn w:val="DefaultParagraphFont"/>
    <w:link w:val="FigureTable"/>
    <w:rsid w:val="00173621"/>
    <w:rPr>
      <w:rFonts w:ascii="Times New Roman" w:hAnsi="Times New Roman" w:cs="Times New Roman"/>
      <w:sz w:val="20"/>
      <w:szCs w:val="20"/>
      <w:lang w:val="en-GB"/>
    </w:rPr>
  </w:style>
  <w:style w:type="paragraph" w:customStyle="1" w:styleId="Poglavja">
    <w:name w:val="Poglavja"/>
    <w:basedOn w:val="Normal"/>
    <w:rsid w:val="009B3EB0"/>
    <w:pPr>
      <w:numPr>
        <w:numId w:val="8"/>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line="480" w:lineRule="auto"/>
      <w:ind w:left="720" w:hanging="720"/>
    </w:pPr>
  </w:style>
  <w:style w:type="paragraph" w:styleId="Revision">
    <w:name w:val="Revision"/>
    <w:hidden/>
    <w:uiPriority w:val="99"/>
    <w:semiHidden/>
    <w:rsid w:val="009B6064"/>
    <w:pPr>
      <w:spacing w:after="0" w:line="240" w:lineRule="auto"/>
    </w:pPr>
    <w:rPr>
      <w:rFonts w:ascii="Times New Roman" w:hAnsi="Times New Roman"/>
      <w:sz w:val="24"/>
      <w:lang w:val="en-GB"/>
    </w:rPr>
  </w:style>
  <w:style w:type="paragraph" w:styleId="Caption">
    <w:name w:val="caption"/>
    <w:basedOn w:val="Normal"/>
    <w:next w:val="Normal"/>
    <w:uiPriority w:val="35"/>
    <w:unhideWhenUsed/>
    <w:qFormat/>
    <w:rsid w:val="00801198"/>
    <w:pPr>
      <w:spacing w:after="200" w:line="240" w:lineRule="auto"/>
    </w:pPr>
    <w:rPr>
      <w:b/>
      <w:iCs/>
      <w:sz w:val="20"/>
      <w:szCs w:val="18"/>
    </w:rPr>
  </w:style>
  <w:style w:type="paragraph" w:styleId="TableofFigures">
    <w:name w:val="table of figures"/>
    <w:basedOn w:val="Normal"/>
    <w:next w:val="Normal"/>
    <w:uiPriority w:val="99"/>
    <w:unhideWhenUsed/>
    <w:rsid w:val="00801198"/>
    <w:pPr>
      <w:spacing w:after="0"/>
    </w:pPr>
  </w:style>
  <w:style w:type="character" w:customStyle="1" w:styleId="katex-mathml">
    <w:name w:val="katex-mathml"/>
    <w:basedOn w:val="DefaultParagraphFont"/>
    <w:rsid w:val="009972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46813219">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423695010">
      <w:bodyDiv w:val="1"/>
      <w:marLeft w:val="0"/>
      <w:marRight w:val="0"/>
      <w:marTop w:val="0"/>
      <w:marBottom w:val="0"/>
      <w:divBdr>
        <w:top w:val="none" w:sz="0" w:space="0" w:color="auto"/>
        <w:left w:val="none" w:sz="0" w:space="0" w:color="auto"/>
        <w:bottom w:val="none" w:sz="0" w:space="0" w:color="auto"/>
        <w:right w:val="none" w:sz="0" w:space="0" w:color="auto"/>
      </w:divBdr>
    </w:div>
    <w:div w:id="430785042">
      <w:bodyDiv w:val="1"/>
      <w:marLeft w:val="0"/>
      <w:marRight w:val="0"/>
      <w:marTop w:val="0"/>
      <w:marBottom w:val="0"/>
      <w:divBdr>
        <w:top w:val="none" w:sz="0" w:space="0" w:color="auto"/>
        <w:left w:val="none" w:sz="0" w:space="0" w:color="auto"/>
        <w:bottom w:val="none" w:sz="0" w:space="0" w:color="auto"/>
        <w:right w:val="none" w:sz="0" w:space="0" w:color="auto"/>
      </w:divBdr>
    </w:div>
    <w:div w:id="816847120">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27158736">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508211206">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38096840">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06467951">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59433184">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ursamiklavcic/PhD" TargetMode="External"/><Relationship Id="rId18" Type="http://schemas.openxmlformats.org/officeDocument/2006/relationships/image" Target="media/image6.png"/><Relationship Id="rId26" Type="http://schemas.openxmlformats.org/officeDocument/2006/relationships/image" Target="media/image14.png"/><Relationship Id="rId39" Type="http://schemas.microsoft.com/office/2011/relationships/people" Target="people.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tiff"/><Relationship Id="rId30" Type="http://schemas.openxmlformats.org/officeDocument/2006/relationships/image" Target="media/image18.png"/><Relationship Id="rId35" Type="http://schemas.openxmlformats.org/officeDocument/2006/relationships/image" Target="media/image23.svg"/><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2393DA-A346-4A11-B8F6-166C8F39652F}">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92</Pages>
  <Words>108354</Words>
  <Characters>617620</Characters>
  <Application>Microsoft Office Word</Application>
  <DocSecurity>0</DocSecurity>
  <Lines>5146</Lines>
  <Paragraphs>1449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724525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24</cp:revision>
  <cp:lastPrinted>2025-12-12T08:39:00Z</cp:lastPrinted>
  <dcterms:created xsi:type="dcterms:W3CDTF">2026-01-15T14:59:00Z</dcterms:created>
  <dcterms:modified xsi:type="dcterms:W3CDTF">2026-01-29T14:02:00Z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id="czuEiJWK"/&gt;&lt;style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