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B1EA" w14:textId="77777777" w:rsidR="00951A8E" w:rsidRPr="006809B1" w:rsidRDefault="00951A8E" w:rsidP="00951A8E">
      <w:pPr>
        <w:pStyle w:val="Naslov1"/>
        <w:rPr>
          <w:sz w:val="22"/>
        </w:rPr>
      </w:pPr>
      <w:r w:rsidRPr="006809B1">
        <w:rPr>
          <w:sz w:val="22"/>
        </w:rPr>
        <w:t xml:space="preserve">Cultivation of spore forming bacteria from human gut after ethanol or heat shock </w:t>
      </w:r>
    </w:p>
    <w:p w14:paraId="3441F990" w14:textId="77777777" w:rsidR="00951A8E" w:rsidRDefault="00951A8E" w:rsidP="00951A8E"/>
    <w:p w14:paraId="706066BE" w14:textId="303D21AF" w:rsidR="00951A8E" w:rsidRPr="006809B1" w:rsidRDefault="00951A8E" w:rsidP="00951A8E">
      <w:r>
        <w:t xml:space="preserve">DISCUSSION: </w:t>
      </w:r>
      <w:r w:rsidRPr="006809B1">
        <w:t xml:space="preserve">Untreated </w:t>
      </w:r>
      <w:r>
        <w:t>stool</w:t>
      </w:r>
      <w:r w:rsidRPr="006809B1">
        <w:t xml:space="preserve"> sample had the highest abundance, which is expected since treatments were meant to remove all vegetative cells thus lowering the abundance of different bacteria. When shocking </w:t>
      </w:r>
      <w:r>
        <w:t>stool</w:t>
      </w:r>
      <w:r w:rsidRPr="006809B1">
        <w:t xml:space="preserve"> with heat or alcohol we must account for difference in endospore formation and composition (Aronson and Fitz-James, 1976). Bacterial spores resistant to heat shock have more DPA in their core than spores that show lower resistance to heat shock, unlike treatment with alcohol not all spores are heat resistant (</w:t>
      </w:r>
      <w:proofErr w:type="spellStart"/>
      <w:r w:rsidRPr="006809B1">
        <w:t>Setlow</w:t>
      </w:r>
      <w:proofErr w:type="spellEnd"/>
      <w:r w:rsidRPr="006809B1">
        <w:t xml:space="preserve">, 2006). Ethanol shock selects for spores that have impermeable spore coat.  </w:t>
      </w:r>
    </w:p>
    <w:p w14:paraId="743ECBA1" w14:textId="1713B9C3" w:rsidR="008253C5" w:rsidRDefault="00021B54">
      <w:r>
        <w:t xml:space="preserve">Comparison ethanol heat cultivation </w:t>
      </w:r>
    </w:p>
    <w:p w14:paraId="6761729D" w14:textId="302E4CDC" w:rsidR="00021B54" w:rsidRDefault="00021B54">
      <w:pPr>
        <w:rPr>
          <w:lang w:val="en-GB"/>
        </w:rPr>
      </w:pPr>
      <w:proofErr w:type="spellStart"/>
      <w:r>
        <w:rPr>
          <w:lang w:val="en-GB"/>
        </w:rPr>
        <w:t>Cfu</w:t>
      </w:r>
      <w:proofErr w:type="spellEnd"/>
      <w:r>
        <w:rPr>
          <w:lang w:val="en-GB"/>
        </w:rPr>
        <w:t xml:space="preserve"> and number of OTUs no correlation - </w:t>
      </w:r>
      <w:r w:rsidRPr="00EF4442">
        <w:rPr>
          <w:lang w:val="en-GB"/>
        </w:rPr>
        <w:t>which could be explained by an overgrowth of certain species</w:t>
      </w:r>
      <w:r>
        <w:rPr>
          <w:lang w:val="en-GB"/>
        </w:rPr>
        <w:t xml:space="preserve"> or </w:t>
      </w:r>
      <w:r w:rsidRPr="00EF4442">
        <w:rPr>
          <w:lang w:val="en-GB"/>
        </w:rPr>
        <w:t xml:space="preserve"> </w:t>
      </w:r>
    </w:p>
    <w:p w14:paraId="24297A93" w14:textId="77777777" w:rsidR="006604B2" w:rsidRDefault="006604B2" w:rsidP="006604B2">
      <w:pPr>
        <w:rPr>
          <w:lang w:val="en-GB"/>
        </w:rPr>
      </w:pPr>
      <w:r>
        <w:rPr>
          <w:lang w:val="en-GB"/>
        </w:rPr>
        <w:t xml:space="preserve">Comparing the CFU number and the number of OTUs obtained by sequencing the </w:t>
      </w:r>
      <w:proofErr w:type="spellStart"/>
      <w:r>
        <w:rPr>
          <w:lang w:val="en-GB"/>
        </w:rPr>
        <w:t>16S</w:t>
      </w:r>
      <w:proofErr w:type="spellEnd"/>
      <w:r>
        <w:rPr>
          <w:lang w:val="en-GB"/>
        </w:rPr>
        <w:t xml:space="preserve"> rRNA gene (Supplement Table 2), we see a negative correlation (Pearson correlation; p &lt; 0.005).</w:t>
      </w:r>
    </w:p>
    <w:p w14:paraId="66502E4B" w14:textId="77777777" w:rsidR="006604B2" w:rsidRPr="00EF4442" w:rsidRDefault="006604B2" w:rsidP="006604B2">
      <w:pPr>
        <w:rPr>
          <w:lang w:val="en-GB"/>
        </w:rPr>
      </w:pPr>
      <w:r w:rsidRPr="00EF4442">
        <w:rPr>
          <w:lang w:val="en-GB"/>
        </w:rPr>
        <w:t xml:space="preserve">Agar plates supported the growth of less bacteria and even though we observed higher CFU with time, the number of OTUs did not increase with time, meaning the bacteria were there we were just unable to see them.  </w:t>
      </w:r>
    </w:p>
    <w:p w14:paraId="106F9811" w14:textId="032A5036" w:rsidR="006604B2" w:rsidRDefault="006604B2">
      <w:pPr>
        <w:rPr>
          <w:lang w:val="en-GB"/>
        </w:rPr>
      </w:pPr>
      <w:r>
        <w:rPr>
          <w:lang w:val="en-GB"/>
        </w:rPr>
        <w:t xml:space="preserve">Longitudinal analysis </w:t>
      </w:r>
    </w:p>
    <w:p w14:paraId="35A04126" w14:textId="77777777" w:rsidR="006604B2" w:rsidRPr="00EF4442" w:rsidRDefault="006604B2" w:rsidP="006604B2">
      <w:pPr>
        <w:rPr>
          <w:lang w:val="en-GB"/>
        </w:rPr>
      </w:pPr>
      <w:r w:rsidRPr="00EF4442">
        <w:rPr>
          <w:lang w:val="en-GB"/>
        </w:rPr>
        <w:t xml:space="preserve">Usage of OTUs can be explained that in the time we used clustering algorithms, </w:t>
      </w:r>
      <w:proofErr w:type="spellStart"/>
      <w:r w:rsidRPr="00EF4442">
        <w:rPr>
          <w:lang w:val="en-GB"/>
        </w:rPr>
        <w:t>dada2</w:t>
      </w:r>
      <w:proofErr w:type="spellEnd"/>
      <w:r w:rsidRPr="00EF4442">
        <w:rPr>
          <w:lang w:val="en-GB"/>
        </w:rPr>
        <w:t xml:space="preserve"> was not able to process binned quality scores from </w:t>
      </w:r>
      <w:proofErr w:type="spellStart"/>
      <w:r w:rsidRPr="00EF4442">
        <w:rPr>
          <w:lang w:val="en-GB"/>
        </w:rPr>
        <w:t>NextSeq</w:t>
      </w:r>
      <w:proofErr w:type="spellEnd"/>
      <w:r w:rsidRPr="00EF4442">
        <w:rPr>
          <w:lang w:val="en-GB"/>
        </w:rPr>
        <w:t xml:space="preserve"> 2000 on which most of our samples were sequenced. </w:t>
      </w:r>
    </w:p>
    <w:p w14:paraId="7045822F" w14:textId="0D2EDE43" w:rsidR="006604B2" w:rsidRDefault="006604B2">
      <w:pPr>
        <w:rPr>
          <w:lang w:val="en-GB"/>
        </w:rPr>
      </w:pPr>
      <w:r>
        <w:rPr>
          <w:lang w:val="en-GB"/>
        </w:rPr>
        <w:t xml:space="preserve">Composition OUT </w:t>
      </w:r>
    </w:p>
    <w:p w14:paraId="4A3FB317" w14:textId="77777777" w:rsidR="006604B2" w:rsidRPr="00511463" w:rsidRDefault="006604B2" w:rsidP="006604B2">
      <w:pPr>
        <w:rPr>
          <w:lang w:val="en-GB"/>
        </w:rPr>
      </w:pPr>
      <w:r w:rsidRPr="00511463">
        <w:rPr>
          <w:lang w:val="en-GB"/>
        </w:rPr>
        <w:t xml:space="preserve">The high abundance of ethanol-resistant representatives within </w:t>
      </w:r>
      <w:r w:rsidRPr="00511463">
        <w:rPr>
          <w:i/>
          <w:iCs/>
          <w:lang w:val="en-GB"/>
        </w:rPr>
        <w:t>Bacillota</w:t>
      </w:r>
      <w:r w:rsidRPr="00511463">
        <w:rPr>
          <w:lang w:val="en-GB"/>
        </w:rPr>
        <w:t xml:space="preserve"> was expected due to the widespread ability to sporulate within this phylum [5]. Most Bacillota representatives identified as ethanol-resistant in this study belong to genera in which sporulation has previously been confirmed through the detection of sporulation-associated gene clusters or in vitro sporulation induction [6,16,29]. In contrast, ethanol-resistant representatives, as well as the mechanisms underlying their resistance, are poorly described in other phyla. Previous studies have reported the detection of </w:t>
      </w:r>
      <w:proofErr w:type="spellStart"/>
      <w:r w:rsidRPr="00511463">
        <w:rPr>
          <w:lang w:val="en-GB"/>
        </w:rPr>
        <w:t>Actinomycetota</w:t>
      </w:r>
      <w:proofErr w:type="spellEnd"/>
      <w:r w:rsidRPr="00511463">
        <w:rPr>
          <w:lang w:val="en-GB"/>
        </w:rPr>
        <w:t xml:space="preserve"> representatives in ethanol or lysozyme treated samples [4,11,12]. While exospore formation was described in the families </w:t>
      </w:r>
      <w:proofErr w:type="spellStart"/>
      <w:r w:rsidRPr="00511463">
        <w:rPr>
          <w:lang w:val="en-GB"/>
        </w:rPr>
        <w:t>Actinomycetaceae</w:t>
      </w:r>
      <w:proofErr w:type="spellEnd"/>
      <w:r w:rsidRPr="00511463">
        <w:rPr>
          <w:lang w:val="en-GB"/>
        </w:rPr>
        <w:t xml:space="preserve"> and </w:t>
      </w:r>
      <w:proofErr w:type="spellStart"/>
      <w:r w:rsidRPr="00511463">
        <w:rPr>
          <w:lang w:val="en-GB"/>
        </w:rPr>
        <w:t>Streptomycetaceae</w:t>
      </w:r>
      <w:proofErr w:type="spellEnd"/>
      <w:r w:rsidRPr="00511463">
        <w:rPr>
          <w:lang w:val="en-GB"/>
        </w:rPr>
        <w:t xml:space="preserve">, the mechanisms underlying ethanol resistance in other </w:t>
      </w:r>
      <w:proofErr w:type="spellStart"/>
      <w:r w:rsidRPr="00511463">
        <w:rPr>
          <w:lang w:val="en-GB"/>
        </w:rPr>
        <w:t>Actinomycetota</w:t>
      </w:r>
      <w:proofErr w:type="spellEnd"/>
      <w:r w:rsidRPr="00511463">
        <w:rPr>
          <w:lang w:val="en-GB"/>
        </w:rPr>
        <w:t xml:space="preserve"> families remain unclear. In our data, </w:t>
      </w:r>
      <w:proofErr w:type="spellStart"/>
      <w:r w:rsidRPr="00511463">
        <w:rPr>
          <w:lang w:val="en-GB"/>
        </w:rPr>
        <w:t>Actinomycetaceae</w:t>
      </w:r>
      <w:proofErr w:type="spellEnd"/>
      <w:r w:rsidRPr="00511463">
        <w:rPr>
          <w:lang w:val="en-GB"/>
        </w:rPr>
        <w:t xml:space="preserve"> accounted for only 0.4% of the relative abundance within the ethanol-resistant community, while </w:t>
      </w:r>
      <w:proofErr w:type="spellStart"/>
      <w:r w:rsidRPr="00511463">
        <w:rPr>
          <w:lang w:val="en-GB"/>
        </w:rPr>
        <w:t>Streptomycetaceae</w:t>
      </w:r>
      <w:proofErr w:type="spellEnd"/>
      <w:r w:rsidRPr="00511463">
        <w:rPr>
          <w:lang w:val="en-GB"/>
        </w:rPr>
        <w:t xml:space="preserve"> were not detected. Members of the phylum </w:t>
      </w:r>
      <w:proofErr w:type="spellStart"/>
      <w:r w:rsidRPr="00511463">
        <w:rPr>
          <w:lang w:val="en-GB"/>
        </w:rPr>
        <w:t>Pseudomonadota</w:t>
      </w:r>
      <w:proofErr w:type="spellEnd"/>
      <w:r w:rsidRPr="00511463">
        <w:rPr>
          <w:lang w:val="en-GB"/>
        </w:rPr>
        <w:t xml:space="preserve">, also commonly </w:t>
      </w:r>
      <w:r w:rsidRPr="00511463">
        <w:rPr>
          <w:lang w:val="en-GB"/>
        </w:rPr>
        <w:lastRenderedPageBreak/>
        <w:t xml:space="preserve">detected in the ethanol-resistant community, have previously been reported to adopt various dormant life strategies, such as persistence and the viable but non-culturable state [28]. A limitation of this study is the reliance on </w:t>
      </w:r>
      <w:proofErr w:type="spellStart"/>
      <w:r w:rsidRPr="00511463">
        <w:rPr>
          <w:lang w:val="en-GB"/>
        </w:rPr>
        <w:t>16S</w:t>
      </w:r>
      <w:proofErr w:type="spellEnd"/>
      <w:r w:rsidRPr="00511463">
        <w:rPr>
          <w:lang w:val="en-GB"/>
        </w:rPr>
        <w:t xml:space="preserve"> rRNA amplicon sequencing, which does not provide information beyond taxonomic classification. Implementation of additional methodological approaches will be necessary to further elucidate the molecular basis of ethanol resistance in phyla other than Bacillota.</w:t>
      </w:r>
    </w:p>
    <w:p w14:paraId="6B0C199E" w14:textId="714D2D77" w:rsidR="006604B2" w:rsidRDefault="006604B2">
      <w:pPr>
        <w:rPr>
          <w:lang w:val="en-GB"/>
        </w:rPr>
      </w:pPr>
      <w:r>
        <w:rPr>
          <w:lang w:val="en-GB"/>
        </w:rPr>
        <w:t xml:space="preserve">Beta diversity </w:t>
      </w:r>
    </w:p>
    <w:p w14:paraId="75CE69D5" w14:textId="77777777" w:rsidR="006604B2" w:rsidRPr="00511463" w:rsidRDefault="006604B2" w:rsidP="006604B2">
      <w:pPr>
        <w:rPr>
          <w:rFonts w:cs="Times New Roman"/>
        </w:rPr>
      </w:pPr>
      <w:r w:rsidRPr="00511463">
        <w:rPr>
          <w:rFonts w:cs="Times New Roman"/>
        </w:rPr>
        <w:t xml:space="preserve">Our observation aligns with prior findings showing that lysozyme resistant taxa tend to have higher population-level prevalence and lower within-individual variability than non-resistant communities </w:t>
      </w:r>
      <w:r w:rsidRPr="00511463">
        <w:rPr>
          <w:rFonts w:cs="Times New Roman"/>
        </w:rPr>
        <w:fldChar w:fldCharType="begin"/>
      </w:r>
      <w:r w:rsidRPr="00511463">
        <w:rPr>
          <w:rFonts w:cs="Times New Roman"/>
        </w:rPr>
        <w:instrText xml:space="preserve"> ADDIN ZOTERO_ITEM CSL_CITATION {"citationID":"D0cGtBfI","properties":{"formattedCitation":"[11]","plainCitation":"[11]","noteIndex":0},"citationItems":[{"id":381,"uris":["http://zotero.org/users/8873894/items/3G69ZQ2W"],"itemData":{"id":381,"type":"article-journal","abstract":"Endospore-formers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511463">
        <w:rPr>
          <w:rFonts w:cs="Times New Roman"/>
        </w:rPr>
        <w:fldChar w:fldCharType="separate"/>
      </w:r>
      <w:r w:rsidRPr="00511463">
        <w:rPr>
          <w:rFonts w:cs="Times New Roman"/>
        </w:rPr>
        <w:t>[11]</w:t>
      </w:r>
      <w:r w:rsidRPr="00511463">
        <w:rPr>
          <w:rFonts w:cs="Times New Roman"/>
        </w:rPr>
        <w:fldChar w:fldCharType="end"/>
      </w:r>
      <w:r w:rsidRPr="00511463">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511463">
        <w:rPr>
          <w:rFonts w:cs="Times New Roman"/>
        </w:rPr>
        <w:fldChar w:fldCharType="begin"/>
      </w:r>
      <w:r w:rsidRPr="00511463">
        <w:rPr>
          <w:rFonts w:cs="Times New Roman"/>
        </w:rPr>
        <w:instrText xml:space="preserve"> ADDIN ZOTERO_ITEM CSL_CITATION {"citationID":"2c347SpW","properties":{"formattedCitation":"[16]","plainCitation":"[16]","noteIndex":0},"citationItems":[{"id":380,"uris":["http://zotero.org/users/8873894/items/N88GZHKF"],"itemData":{"id":380,"type":"article-journal","abstract":"Background: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511463">
        <w:rPr>
          <w:rFonts w:cs="Times New Roman"/>
        </w:rPr>
        <w:fldChar w:fldCharType="separate"/>
      </w:r>
      <w:r w:rsidRPr="00511463">
        <w:rPr>
          <w:rFonts w:cs="Times New Roman"/>
        </w:rPr>
        <w:t>[16]</w:t>
      </w:r>
      <w:r w:rsidRPr="00511463">
        <w:rPr>
          <w:rFonts w:cs="Times New Roman"/>
        </w:rPr>
        <w:fldChar w:fldCharType="end"/>
      </w:r>
      <w:r w:rsidRPr="00511463">
        <w:rPr>
          <w:rFonts w:cs="Times New Roman"/>
        </w:rPr>
        <w:t xml:space="preserve">. </w:t>
      </w:r>
    </w:p>
    <w:p w14:paraId="0C10A674" w14:textId="3D87CF1A" w:rsidR="006604B2" w:rsidRDefault="006604B2">
      <w:pPr>
        <w:rPr>
          <w:lang w:val="en-GB"/>
        </w:rPr>
      </w:pPr>
      <w:r>
        <w:rPr>
          <w:lang w:val="en-GB"/>
        </w:rPr>
        <w:t xml:space="preserve">Persistence </w:t>
      </w:r>
    </w:p>
    <w:p w14:paraId="7043B477" w14:textId="706F342F" w:rsidR="006604B2" w:rsidRDefault="006604B2">
      <w:pPr>
        <w:rPr>
          <w:rFonts w:cs="Times New Roman"/>
        </w:rPr>
      </w:pPr>
      <w:r w:rsidRPr="00511463">
        <w:rPr>
          <w:rFonts w:cs="Times New Roman"/>
        </w:rPr>
        <w:t xml:space="preserve">Spore persistence within the human gut was previously assessed using </w:t>
      </w:r>
      <w:r w:rsidRPr="00511463">
        <w:rPr>
          <w:rFonts w:cs="Times New Roman"/>
          <w:i/>
          <w:iCs/>
        </w:rPr>
        <w:t xml:space="preserve">in vitro </w:t>
      </w:r>
      <w:r w:rsidRPr="00511463">
        <w:rPr>
          <w:rFonts w:cs="Times New Roman"/>
        </w:rPr>
        <w:t xml:space="preserve">and murine gut models that have shown </w:t>
      </w:r>
      <w:r w:rsidRPr="00511463">
        <w:rPr>
          <w:rFonts w:cs="Times New Roman"/>
          <w:i/>
          <w:iCs/>
        </w:rPr>
        <w:t>C. difficile</w:t>
      </w:r>
      <w:r w:rsidRPr="00511463">
        <w:rPr>
          <w:rFonts w:cs="Times New Roman"/>
        </w:rPr>
        <w:t xml:space="preserve"> spores bind to biofilms and consequently evade washout </w:t>
      </w:r>
      <w:r w:rsidRPr="00511463">
        <w:rPr>
          <w:rFonts w:cs="Times New Roman"/>
        </w:rPr>
        <w:fldChar w:fldCharType="begin"/>
      </w:r>
      <w:r w:rsidRPr="00511463">
        <w:rPr>
          <w:rFonts w:cs="Times New Roman"/>
        </w:rPr>
        <w:instrText xml:space="preserve"> ADDIN ZOTERO_ITEM CSL_CITATION {"citationID":"rK4GeW78","properties":{"formattedCitation":"[30,31]","plainCitation":"[30,31]","noteIndex":0},"citationItems":[{"id":2984,"uris":["http://zotero.org/users/8873894/items/4EW43G8R"],"itemData":{"id":2984,"type":"article-journal","abstract":"Clostridium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Microbiology","DOI":"10.3389/fmicb.2017.02086","language":"en","note":"PMID: 29118745","page":"2086","source":"pmc.ncbi.nlm.nih.gov","title":"Biofilm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Author(s)","note":"publisher: Nature Publishing Group","page":"1-10","source":"www.nature.com","title":"Biofilms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511463">
        <w:rPr>
          <w:rFonts w:cs="Times New Roman"/>
        </w:rPr>
        <w:fldChar w:fldCharType="separate"/>
      </w:r>
      <w:r w:rsidRPr="00511463">
        <w:rPr>
          <w:rFonts w:cs="Times New Roman"/>
        </w:rPr>
        <w:t>[30,31]</w:t>
      </w:r>
      <w:r w:rsidRPr="00511463">
        <w:rPr>
          <w:rFonts w:cs="Times New Roman"/>
        </w:rPr>
        <w:fldChar w:fldCharType="end"/>
      </w:r>
      <w:r w:rsidRPr="00511463">
        <w:rPr>
          <w:rFonts w:cs="Times New Roman"/>
        </w:rPr>
        <w:t xml:space="preserve">. Their ability to persist is further supported by recurring infections with the same strain </w:t>
      </w:r>
      <w:r w:rsidRPr="00511463">
        <w:rPr>
          <w:rFonts w:cs="Times New Roman"/>
        </w:rPr>
        <w:fldChar w:fldCharType="begin"/>
      </w:r>
      <w:r w:rsidRPr="00511463">
        <w:rPr>
          <w:rFonts w:cs="Times New Roman"/>
        </w:rPr>
        <w:instrText xml:space="preserve"> ADDIN ZOTERO_ITEM CSL_CITATION {"citationID":"u5IEYBkK","properties":{"formattedCitation":"[32]","plainCitation":"[32]","noteIndex":0},"citationItems":[{"id":3153,"uris":["http://zotero.org/users/8873894/items/GWLWC4SF"],"itemData":{"id":3153,"type":"article-journal","abstract":"Our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Dis","language":"eng","note":"PMID: 22752857\nPMCID: PMC3388025","page":"S104-109","source":"PubMed","title":"Relapse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511463">
        <w:rPr>
          <w:rFonts w:cs="Times New Roman"/>
        </w:rPr>
        <w:fldChar w:fldCharType="separate"/>
      </w:r>
      <w:r w:rsidRPr="00511463">
        <w:rPr>
          <w:rFonts w:cs="Times New Roman"/>
        </w:rPr>
        <w:t>[32]</w:t>
      </w:r>
      <w:r w:rsidRPr="00511463">
        <w:rPr>
          <w:rFonts w:cs="Times New Roman"/>
        </w:rPr>
        <w:fldChar w:fldCharType="end"/>
      </w:r>
      <w:r w:rsidRPr="00511463">
        <w:rPr>
          <w:rFonts w:cs="Times New Roman"/>
        </w:rPr>
        <w:t xml:space="preserve">. However, similar mechanisms of spore persistence have not been demonstrated for other species beyond </w:t>
      </w:r>
      <w:r w:rsidRPr="00511463">
        <w:rPr>
          <w:rFonts w:cs="Times New Roman"/>
          <w:i/>
          <w:iCs/>
        </w:rPr>
        <w:t>in vitro</w:t>
      </w:r>
      <w:r w:rsidRPr="00511463">
        <w:rPr>
          <w:rFonts w:cs="Times New Roman"/>
        </w:rPr>
        <w:t xml:space="preserve"> biofilm formations </w:t>
      </w:r>
      <w:r w:rsidRPr="00511463">
        <w:rPr>
          <w:rFonts w:cs="Times New Roman"/>
        </w:rPr>
        <w:fldChar w:fldCharType="begin"/>
      </w:r>
      <w:r w:rsidRPr="00511463">
        <w:rPr>
          <w:rFonts w:cs="Times New Roman"/>
        </w:rPr>
        <w:instrText xml:space="preserve"> ADDIN ZOTERO_ITEM CSL_CITATION {"citationID":"qYcVtaqE","properties":{"formattedCitation":"[33]","plainCitation":"[33]","noteIndex":0},"citationItems":[{"id":2980,"uris":["http://zotero.org/users/8873894/items/2R2PHLWE"],"itemData":{"id":2980,"type":"article-journal","abstract":"Sessile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Microbiol","language":"eng","note":"PMID: 22444687","page":"318-325","source":"PubMed","title":"Biofilm-growing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511463">
        <w:rPr>
          <w:rFonts w:cs="Times New Roman"/>
        </w:rPr>
        <w:fldChar w:fldCharType="separate"/>
      </w:r>
      <w:r w:rsidRPr="00511463">
        <w:rPr>
          <w:rFonts w:cs="Times New Roman"/>
        </w:rPr>
        <w:t>[33]</w:t>
      </w:r>
      <w:r w:rsidRPr="00511463">
        <w:rPr>
          <w:rFonts w:cs="Times New Roman"/>
        </w:rPr>
        <w:fldChar w:fldCharType="end"/>
      </w:r>
      <w:r w:rsidRPr="00511463">
        <w:rPr>
          <w:rFonts w:cs="Times New Roman"/>
        </w:rPr>
        <w:t>.</w:t>
      </w:r>
    </w:p>
    <w:p w14:paraId="3D131B90" w14:textId="77777777" w:rsidR="006604B2" w:rsidRPr="00511463" w:rsidRDefault="006604B2" w:rsidP="006604B2">
      <w:pPr>
        <w:rPr>
          <w:rFonts w:cs="Times New Roman"/>
        </w:rPr>
      </w:pPr>
      <w:r w:rsidRPr="00511463">
        <w:rPr>
          <w:rFonts w:cs="Times New Roman"/>
        </w:rPr>
        <w:t xml:space="preserve">Our findings provide additional experimental evidence that spore formation in phylum </w:t>
      </w:r>
      <w:r w:rsidRPr="00511463">
        <w:rPr>
          <w:rFonts w:cs="Times New Roman"/>
          <w:i/>
          <w:iCs/>
        </w:rPr>
        <w:t>Bacillota</w:t>
      </w:r>
      <w:r w:rsidRPr="00511463">
        <w:rPr>
          <w:rFonts w:cs="Times New Roman"/>
        </w:rPr>
        <w:t xml:space="preserve"> contributes to both increased transmission between individuals and long-term persistence within the host. In contrast, ethanol resistance mechanisms in non-</w:t>
      </w:r>
      <w:r w:rsidRPr="00511463">
        <w:rPr>
          <w:rFonts w:cs="Times New Roman"/>
          <w:i/>
          <w:iCs/>
        </w:rPr>
        <w:t>Bacillota</w:t>
      </w:r>
      <w:r w:rsidRPr="00511463">
        <w:rPr>
          <w:rFonts w:cs="Times New Roman"/>
        </w:rPr>
        <w:t xml:space="preserve"> phyla appear to play a more prominent role in facilitating transmission, with a lesser impact on within-host persistence. A limitation of our study is the use of </w:t>
      </w:r>
      <w:proofErr w:type="spellStart"/>
      <w:r w:rsidRPr="00511463">
        <w:rPr>
          <w:rFonts w:cs="Times New Roman"/>
        </w:rPr>
        <w:t>16S</w:t>
      </w:r>
      <w:proofErr w:type="spellEnd"/>
      <w:r w:rsidRPr="00511463">
        <w:rPr>
          <w:rFonts w:cs="Times New Roman"/>
        </w:rPr>
        <w:t xml:space="preserve"> rRNA amplicon sequencing, which does not provide taxonomic resolution beyond the genus. Consequently, we were unable to distinguish whether temporal changes in taxa detection reflected strain replacement or the coexistence of multiple strains </w:t>
      </w:r>
      <w:r w:rsidRPr="00511463">
        <w:rPr>
          <w:rFonts w:cs="Times New Roman"/>
        </w:rPr>
        <w:fldChar w:fldCharType="begin"/>
      </w:r>
      <w:r w:rsidRPr="00511463">
        <w:rPr>
          <w:rFonts w:cs="Times New Roman"/>
        </w:rPr>
        <w:instrText xml:space="preserve"> ADDIN ZOTERO_ITEM CSL_CITATION {"citationID":"rj5CuAzA","properties":{"formattedCitation":"[34]","plainCitation":"[34]","noteIndex":0},"citationItems":[{"id":175,"uris":["http://zotero.org/users/8873894/items/D73U5VSG"],"itemData":{"id":175,"type":"article-journal","abstract":"Our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511463">
        <w:rPr>
          <w:rFonts w:cs="Times New Roman"/>
        </w:rPr>
        <w:fldChar w:fldCharType="separate"/>
      </w:r>
      <w:r w:rsidRPr="00511463">
        <w:rPr>
          <w:rFonts w:cs="Times New Roman"/>
        </w:rPr>
        <w:t>[34]</w:t>
      </w:r>
      <w:r w:rsidRPr="00511463">
        <w:rPr>
          <w:rFonts w:cs="Times New Roman"/>
        </w:rPr>
        <w:fldChar w:fldCharType="end"/>
      </w:r>
      <w:r w:rsidRPr="00511463">
        <w:rPr>
          <w:rFonts w:cs="Times New Roman"/>
        </w:rPr>
        <w:t xml:space="preserve">. This distinction is particularly relevant given previous reports of high strain-level retention in the gut over short time scales and limited strain sharing between individuals </w:t>
      </w:r>
      <w:r w:rsidRPr="00511463">
        <w:rPr>
          <w:rFonts w:cs="Times New Roman"/>
        </w:rPr>
        <w:fldChar w:fldCharType="begin"/>
      </w:r>
      <w:r w:rsidRPr="00511463">
        <w:rPr>
          <w:rFonts w:cs="Times New Roman"/>
        </w:rPr>
        <w:instrText xml:space="preserve"> ADDIN ZOTERO_ITEM CSL_CITATION {"citationID":"rL10cViM","properties":{"formattedCitation":"[35]","plainCitation":"[35]","noteIndex":0},"citationItems":[{"id":2303,"uris":["http://zotero.org/users/8873894/items/8JFF8KSZ"],"itemData":{"id":2303,"type":"article-journal","abstract":"The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microbiome.","container-title":"mBio","DOI":"10.1128/mbio.02502-22","issue":"2","note":"publisher: American Society for Microbiology","page":"e02502-22","source":"journals.asm.org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511463">
        <w:rPr>
          <w:rFonts w:cs="Times New Roman"/>
        </w:rPr>
        <w:fldChar w:fldCharType="separate"/>
      </w:r>
      <w:r w:rsidRPr="00511463">
        <w:rPr>
          <w:rFonts w:cs="Times New Roman"/>
        </w:rPr>
        <w:t>[35]</w:t>
      </w:r>
      <w:r w:rsidRPr="00511463">
        <w:rPr>
          <w:rFonts w:cs="Times New Roman"/>
        </w:rPr>
        <w:fldChar w:fldCharType="end"/>
      </w:r>
      <w:r w:rsidRPr="00511463">
        <w:rPr>
          <w:rFonts w:cs="Times New Roman"/>
        </w:rPr>
        <w:t>.</w:t>
      </w:r>
    </w:p>
    <w:p w14:paraId="0E00503E" w14:textId="77777777" w:rsidR="006604B2" w:rsidRDefault="006604B2">
      <w:pPr>
        <w:rPr>
          <w:lang w:val="en-GB"/>
        </w:rPr>
      </w:pPr>
    </w:p>
    <w:p w14:paraId="1757EDB8" w14:textId="0CAC39BE" w:rsidR="00646031" w:rsidRDefault="00646031">
      <w:pPr>
        <w:rPr>
          <w:lang w:val="en-GB"/>
        </w:rPr>
      </w:pPr>
      <w:r>
        <w:rPr>
          <w:lang w:val="en-GB"/>
        </w:rPr>
        <w:t xml:space="preserve">Density of clustering </w:t>
      </w:r>
    </w:p>
    <w:p w14:paraId="26E86030" w14:textId="77777777" w:rsidR="00646031" w:rsidRPr="00511463" w:rsidRDefault="00646031" w:rsidP="00646031">
      <w:pPr>
        <w:rPr>
          <w:lang w:val="en-GB"/>
        </w:rPr>
      </w:pPr>
      <w:r>
        <w:rPr>
          <w:lang w:val="en-GB"/>
        </w:rPr>
        <w:t xml:space="preserve">Density of clustering for everyone is individual dependant, so based on their changes in the life. But still ethanol-resistant especially ethanol-resistant </w:t>
      </w:r>
      <w:r>
        <w:rPr>
          <w:i/>
          <w:iCs/>
          <w:lang w:val="en-GB"/>
        </w:rPr>
        <w:t xml:space="preserve">Bacillota </w:t>
      </w:r>
      <w:r>
        <w:rPr>
          <w:lang w:val="en-GB"/>
        </w:rPr>
        <w:t xml:space="preserve"> the sporobiota of the gut community is more similar to itself in time than other ethanol-resistant or ethanol non-resistant communities. </w:t>
      </w:r>
    </w:p>
    <w:p w14:paraId="36243A96" w14:textId="77777777" w:rsidR="00646031" w:rsidRPr="006604B2" w:rsidRDefault="00646031">
      <w:pPr>
        <w:rPr>
          <w:lang w:val="en-GB"/>
        </w:rPr>
      </w:pPr>
    </w:p>
    <w:sectPr w:rsidR="00646031" w:rsidRPr="006604B2"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A8E"/>
    <w:rsid w:val="00021B54"/>
    <w:rsid w:val="004F09A1"/>
    <w:rsid w:val="00646031"/>
    <w:rsid w:val="006604B2"/>
    <w:rsid w:val="008253C5"/>
    <w:rsid w:val="00951A8E"/>
    <w:rsid w:val="00995C41"/>
    <w:rsid w:val="009B30B2"/>
    <w:rsid w:val="00CE6D97"/>
    <w:rsid w:val="00DA4F9A"/>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CD4A2"/>
  <w15:chartTrackingRefBased/>
  <w15:docId w15:val="{9C0CFB32-F518-4B7D-A036-712E6A90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951A8E"/>
    <w:pPr>
      <w:spacing w:line="360" w:lineRule="auto"/>
      <w:jc w:val="both"/>
    </w:pPr>
    <w:rPr>
      <w:rFonts w:ascii="Times New Roman" w:hAnsi="Times New Roman"/>
      <w:kern w:val="0"/>
      <w14:ligatures w14:val="none"/>
    </w:rPr>
  </w:style>
  <w:style w:type="paragraph" w:styleId="Naslov1">
    <w:name w:val="heading 1"/>
    <w:basedOn w:val="Navaden"/>
    <w:next w:val="Navaden"/>
    <w:link w:val="Naslov1Znak"/>
    <w:uiPriority w:val="9"/>
    <w:qFormat/>
    <w:rsid w:val="00951A8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Naslov2">
    <w:name w:val="heading 2"/>
    <w:basedOn w:val="Navaden"/>
    <w:next w:val="Navaden"/>
    <w:link w:val="Naslov2Znak"/>
    <w:uiPriority w:val="9"/>
    <w:semiHidden/>
    <w:unhideWhenUsed/>
    <w:qFormat/>
    <w:rsid w:val="00951A8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Naslov3">
    <w:name w:val="heading 3"/>
    <w:basedOn w:val="Navaden"/>
    <w:next w:val="Navaden"/>
    <w:link w:val="Naslov3Znak"/>
    <w:uiPriority w:val="9"/>
    <w:semiHidden/>
    <w:unhideWhenUsed/>
    <w:qFormat/>
    <w:rsid w:val="00951A8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Naslov4">
    <w:name w:val="heading 4"/>
    <w:basedOn w:val="Navaden"/>
    <w:next w:val="Navaden"/>
    <w:link w:val="Naslov4Znak"/>
    <w:uiPriority w:val="9"/>
    <w:semiHidden/>
    <w:unhideWhenUsed/>
    <w:qFormat/>
    <w:rsid w:val="00951A8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Naslov5">
    <w:name w:val="heading 5"/>
    <w:basedOn w:val="Navaden"/>
    <w:next w:val="Navaden"/>
    <w:link w:val="Naslov5Znak"/>
    <w:uiPriority w:val="9"/>
    <w:semiHidden/>
    <w:unhideWhenUsed/>
    <w:qFormat/>
    <w:rsid w:val="00951A8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Naslov6">
    <w:name w:val="heading 6"/>
    <w:basedOn w:val="Navaden"/>
    <w:next w:val="Navaden"/>
    <w:link w:val="Naslov6Znak"/>
    <w:uiPriority w:val="9"/>
    <w:semiHidden/>
    <w:unhideWhenUsed/>
    <w:qFormat/>
    <w:rsid w:val="00951A8E"/>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Naslov7">
    <w:name w:val="heading 7"/>
    <w:basedOn w:val="Navaden"/>
    <w:next w:val="Navaden"/>
    <w:link w:val="Naslov7Znak"/>
    <w:uiPriority w:val="9"/>
    <w:semiHidden/>
    <w:unhideWhenUsed/>
    <w:qFormat/>
    <w:rsid w:val="00951A8E"/>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Naslov8">
    <w:name w:val="heading 8"/>
    <w:basedOn w:val="Navaden"/>
    <w:next w:val="Navaden"/>
    <w:link w:val="Naslov8Znak"/>
    <w:uiPriority w:val="9"/>
    <w:semiHidden/>
    <w:unhideWhenUsed/>
    <w:qFormat/>
    <w:rsid w:val="00951A8E"/>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Naslov9">
    <w:name w:val="heading 9"/>
    <w:basedOn w:val="Navaden"/>
    <w:next w:val="Navaden"/>
    <w:link w:val="Naslov9Znak"/>
    <w:uiPriority w:val="9"/>
    <w:semiHidden/>
    <w:unhideWhenUsed/>
    <w:qFormat/>
    <w:rsid w:val="00951A8E"/>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951A8E"/>
    <w:rPr>
      <w:rFonts w:asciiTheme="majorHAnsi" w:eastAsiaTheme="majorEastAsia" w:hAnsiTheme="majorHAnsi" w:cstheme="majorBidi"/>
      <w:color w:val="2F5496" w:themeColor="accent1" w:themeShade="BF"/>
      <w:sz w:val="40"/>
      <w:szCs w:val="40"/>
    </w:rPr>
  </w:style>
  <w:style w:type="character" w:customStyle="1" w:styleId="Naslov2Znak">
    <w:name w:val="Naslov 2 Znak"/>
    <w:basedOn w:val="Privzetapisavaodstavka"/>
    <w:link w:val="Naslov2"/>
    <w:uiPriority w:val="9"/>
    <w:semiHidden/>
    <w:rsid w:val="00951A8E"/>
    <w:rPr>
      <w:rFonts w:asciiTheme="majorHAnsi" w:eastAsiaTheme="majorEastAsia" w:hAnsiTheme="majorHAnsi" w:cstheme="majorBidi"/>
      <w:color w:val="2F5496" w:themeColor="accent1" w:themeShade="BF"/>
      <w:sz w:val="32"/>
      <w:szCs w:val="32"/>
    </w:rPr>
  </w:style>
  <w:style w:type="character" w:customStyle="1" w:styleId="Naslov3Znak">
    <w:name w:val="Naslov 3 Znak"/>
    <w:basedOn w:val="Privzetapisavaodstavka"/>
    <w:link w:val="Naslov3"/>
    <w:uiPriority w:val="9"/>
    <w:semiHidden/>
    <w:rsid w:val="00951A8E"/>
    <w:rPr>
      <w:rFonts w:eastAsiaTheme="majorEastAsia" w:cstheme="majorBidi"/>
      <w:color w:val="2F5496" w:themeColor="accent1" w:themeShade="BF"/>
      <w:sz w:val="28"/>
      <w:szCs w:val="28"/>
    </w:rPr>
  </w:style>
  <w:style w:type="character" w:customStyle="1" w:styleId="Naslov4Znak">
    <w:name w:val="Naslov 4 Znak"/>
    <w:basedOn w:val="Privzetapisavaodstavka"/>
    <w:link w:val="Naslov4"/>
    <w:uiPriority w:val="9"/>
    <w:semiHidden/>
    <w:rsid w:val="00951A8E"/>
    <w:rPr>
      <w:rFonts w:eastAsiaTheme="majorEastAsia" w:cstheme="majorBidi"/>
      <w:i/>
      <w:iCs/>
      <w:color w:val="2F5496" w:themeColor="accent1" w:themeShade="BF"/>
    </w:rPr>
  </w:style>
  <w:style w:type="character" w:customStyle="1" w:styleId="Naslov5Znak">
    <w:name w:val="Naslov 5 Znak"/>
    <w:basedOn w:val="Privzetapisavaodstavka"/>
    <w:link w:val="Naslov5"/>
    <w:uiPriority w:val="9"/>
    <w:semiHidden/>
    <w:rsid w:val="00951A8E"/>
    <w:rPr>
      <w:rFonts w:eastAsiaTheme="majorEastAsia" w:cstheme="majorBidi"/>
      <w:color w:val="2F5496" w:themeColor="accent1" w:themeShade="BF"/>
    </w:rPr>
  </w:style>
  <w:style w:type="character" w:customStyle="1" w:styleId="Naslov6Znak">
    <w:name w:val="Naslov 6 Znak"/>
    <w:basedOn w:val="Privzetapisavaodstavka"/>
    <w:link w:val="Naslov6"/>
    <w:uiPriority w:val="9"/>
    <w:semiHidden/>
    <w:rsid w:val="00951A8E"/>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951A8E"/>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951A8E"/>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951A8E"/>
    <w:rPr>
      <w:rFonts w:eastAsiaTheme="majorEastAsia" w:cstheme="majorBidi"/>
      <w:color w:val="272727" w:themeColor="text1" w:themeTint="D8"/>
    </w:rPr>
  </w:style>
  <w:style w:type="paragraph" w:styleId="Naslov">
    <w:name w:val="Title"/>
    <w:basedOn w:val="Navaden"/>
    <w:next w:val="Navaden"/>
    <w:link w:val="NaslovZnak"/>
    <w:uiPriority w:val="10"/>
    <w:qFormat/>
    <w:rsid w:val="00951A8E"/>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NaslovZnak">
    <w:name w:val="Naslov Znak"/>
    <w:basedOn w:val="Privzetapisavaodstavka"/>
    <w:link w:val="Naslov"/>
    <w:uiPriority w:val="10"/>
    <w:rsid w:val="00951A8E"/>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951A8E"/>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PodnaslovZnak">
    <w:name w:val="Podnaslov Znak"/>
    <w:basedOn w:val="Privzetapisavaodstavka"/>
    <w:link w:val="Podnaslov"/>
    <w:uiPriority w:val="11"/>
    <w:rsid w:val="00951A8E"/>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951A8E"/>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CitatZnak">
    <w:name w:val="Citat Znak"/>
    <w:basedOn w:val="Privzetapisavaodstavka"/>
    <w:link w:val="Citat"/>
    <w:uiPriority w:val="29"/>
    <w:rsid w:val="00951A8E"/>
    <w:rPr>
      <w:i/>
      <w:iCs/>
      <w:color w:val="404040" w:themeColor="text1" w:themeTint="BF"/>
    </w:rPr>
  </w:style>
  <w:style w:type="paragraph" w:styleId="Odstavekseznama">
    <w:name w:val="List Paragraph"/>
    <w:basedOn w:val="Navaden"/>
    <w:uiPriority w:val="34"/>
    <w:qFormat/>
    <w:rsid w:val="00951A8E"/>
    <w:pPr>
      <w:spacing w:line="259" w:lineRule="auto"/>
      <w:ind w:left="720"/>
      <w:contextualSpacing/>
      <w:jc w:val="left"/>
    </w:pPr>
    <w:rPr>
      <w:rFonts w:asciiTheme="minorHAnsi" w:hAnsiTheme="minorHAnsi"/>
      <w:kern w:val="2"/>
      <w14:ligatures w14:val="standardContextual"/>
    </w:rPr>
  </w:style>
  <w:style w:type="character" w:styleId="Intenzivenpoudarek">
    <w:name w:val="Intense Emphasis"/>
    <w:basedOn w:val="Privzetapisavaodstavka"/>
    <w:uiPriority w:val="21"/>
    <w:qFormat/>
    <w:rsid w:val="00951A8E"/>
    <w:rPr>
      <w:i/>
      <w:iCs/>
      <w:color w:val="2F5496" w:themeColor="accent1" w:themeShade="BF"/>
    </w:rPr>
  </w:style>
  <w:style w:type="paragraph" w:styleId="Intenzivencitat">
    <w:name w:val="Intense Quote"/>
    <w:basedOn w:val="Navaden"/>
    <w:next w:val="Navaden"/>
    <w:link w:val="IntenzivencitatZnak"/>
    <w:uiPriority w:val="30"/>
    <w:qFormat/>
    <w:rsid w:val="00951A8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zivencitatZnak">
    <w:name w:val="Intenziven citat Znak"/>
    <w:basedOn w:val="Privzetapisavaodstavka"/>
    <w:link w:val="Intenzivencitat"/>
    <w:uiPriority w:val="30"/>
    <w:rsid w:val="00951A8E"/>
    <w:rPr>
      <w:i/>
      <w:iCs/>
      <w:color w:val="2F5496" w:themeColor="accent1" w:themeShade="BF"/>
    </w:rPr>
  </w:style>
  <w:style w:type="character" w:styleId="Intenzivensklic">
    <w:name w:val="Intense Reference"/>
    <w:basedOn w:val="Privzetapisavaodstavka"/>
    <w:uiPriority w:val="32"/>
    <w:qFormat/>
    <w:rsid w:val="00951A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3814</Words>
  <Characters>21745</Characters>
  <Application>Microsoft Office Word</Application>
  <DocSecurity>0</DocSecurity>
  <Lines>181</Lines>
  <Paragraphs>51</Paragraphs>
  <ScaleCrop>false</ScaleCrop>
  <Company/>
  <LinksUpToDate>false</LinksUpToDate>
  <CharactersWithSpaces>25508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4</cp:revision>
  <dcterms:created xsi:type="dcterms:W3CDTF">2025-09-10T07:07:00Z</dcterms:created>
  <dcterms:modified xsi:type="dcterms:W3CDTF">2025-10-02T14:18:00Z</dcterms:modified>
</cp:coreProperties>
</file>