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B1EA" w14:textId="77777777" w:rsidR="00951A8E" w:rsidRPr="006809B1" w:rsidRDefault="00951A8E" w:rsidP="00951A8E">
      <w:pPr>
        <w:pStyle w:val="Heading1"/>
        <w:rPr>
          <w:sz w:val="22"/>
        </w:rPr>
      </w:pPr>
      <w:r w:rsidRPr="006809B1">
        <w:rPr>
          <w:sz w:val="22"/>
        </w:rPr>
        <w:t xml:space="preserve">Cultivation of spore forming bacteria from human gut after ethanol or heat shock </w:t>
      </w:r>
    </w:p>
    <w:p w14:paraId="3441F990" w14:textId="77777777" w:rsidR="00951A8E" w:rsidRDefault="00951A8E" w:rsidP="00951A8E"/>
    <w:p w14:paraId="706066BE" w14:textId="303D21AF" w:rsidR="00951A8E" w:rsidRPr="006809B1" w:rsidRDefault="00951A8E" w:rsidP="00951A8E">
      <w:r>
        <w:t xml:space="preserve">DISCUSSION: </w:t>
      </w:r>
      <w:r w:rsidRPr="006809B1">
        <w:t xml:space="preserve">Untreated </w:t>
      </w:r>
      <w:r>
        <w:t>stool</w:t>
      </w:r>
      <w:r w:rsidRPr="006809B1">
        <w:t xml:space="preserve"> sample had the highest abundance, which is expected since treatments were meant to remove all vegetative cells thus lowering the abundance of different bacteria. When shocking </w:t>
      </w:r>
      <w:r>
        <w:t>stool</w:t>
      </w:r>
      <w:r w:rsidRPr="006809B1">
        <w:t xml:space="preserve"> with heat or alcohol we must account for difference in endospore formation and composition (Aronson and Fitz-James, 1976). Bacterial spores resistant to heat shock have more DPA in their core than spores that show lower resistance to heat shock, unlike treatment with alcohol not all spores are heat resistant (</w:t>
      </w:r>
      <w:proofErr w:type="spellStart"/>
      <w:r w:rsidRPr="006809B1">
        <w:t>Setlow</w:t>
      </w:r>
      <w:proofErr w:type="spellEnd"/>
      <w:r w:rsidRPr="006809B1">
        <w:t xml:space="preserve">, 2006). Ethanol shock selects for spores that have impermeable spore coat.  </w:t>
      </w:r>
    </w:p>
    <w:p w14:paraId="743ECBA1" w14:textId="1713B9C3" w:rsidR="008253C5" w:rsidRDefault="00021B54">
      <w:r>
        <w:t xml:space="preserve">Comparison ethanol heat cultivation </w:t>
      </w:r>
    </w:p>
    <w:p w14:paraId="6761729D" w14:textId="302E4CDC" w:rsidR="00021B54" w:rsidRDefault="00021B54">
      <w:pPr>
        <w:rPr>
          <w:lang w:val="en-GB"/>
        </w:rPr>
      </w:pPr>
      <w:proofErr w:type="spellStart"/>
      <w:r>
        <w:rPr>
          <w:lang w:val="en-GB"/>
        </w:rPr>
        <w:t>Cfu</w:t>
      </w:r>
      <w:proofErr w:type="spellEnd"/>
      <w:r>
        <w:rPr>
          <w:lang w:val="en-GB"/>
        </w:rPr>
        <w:t xml:space="preserve"> and number of OTUs no correlation - </w:t>
      </w:r>
      <w:r w:rsidRPr="00EF4442">
        <w:rPr>
          <w:lang w:val="en-GB"/>
        </w:rPr>
        <w:t>which could be explained by an overgrowth of certain species</w:t>
      </w:r>
      <w:r>
        <w:rPr>
          <w:lang w:val="en-GB"/>
        </w:rPr>
        <w:t xml:space="preserve"> or </w:t>
      </w:r>
      <w:r w:rsidRPr="00EF4442">
        <w:rPr>
          <w:lang w:val="en-GB"/>
        </w:rPr>
        <w:t xml:space="preserve"> </w:t>
      </w:r>
    </w:p>
    <w:p w14:paraId="24297A93" w14:textId="77777777" w:rsidR="006604B2" w:rsidRDefault="006604B2" w:rsidP="006604B2">
      <w:pPr>
        <w:rPr>
          <w:lang w:val="en-GB"/>
        </w:rPr>
      </w:pPr>
      <w:r>
        <w:rPr>
          <w:lang w:val="en-GB"/>
        </w:rPr>
        <w:t xml:space="preserve">Comparing the CFU number and the number of OTUs obtained by sequencing the </w:t>
      </w:r>
      <w:proofErr w:type="spellStart"/>
      <w:r>
        <w:rPr>
          <w:lang w:val="en-GB"/>
        </w:rPr>
        <w:t>16S</w:t>
      </w:r>
      <w:proofErr w:type="spellEnd"/>
      <w:r>
        <w:rPr>
          <w:lang w:val="en-GB"/>
        </w:rPr>
        <w:t xml:space="preserve"> rRNA gene (Supplement Table 2), we see a negative correlation (Pearson correlation; p &lt; 0.005).</w:t>
      </w:r>
    </w:p>
    <w:p w14:paraId="66502E4B" w14:textId="77777777" w:rsidR="006604B2" w:rsidRPr="00EF4442" w:rsidRDefault="006604B2" w:rsidP="006604B2">
      <w:pPr>
        <w:rPr>
          <w:lang w:val="en-GB"/>
        </w:rPr>
      </w:pPr>
      <w:r w:rsidRPr="00EF4442">
        <w:rPr>
          <w:lang w:val="en-GB"/>
        </w:rPr>
        <w:t xml:space="preserve">Agar plates supported the growth of less bacteria and even though we observed higher CFU with time, the number of OTUs did not increase with time, meaning the bacteria were there we were just unable to see them.  </w:t>
      </w:r>
    </w:p>
    <w:p w14:paraId="106F9811" w14:textId="032A5036" w:rsidR="006604B2" w:rsidRDefault="006604B2">
      <w:pPr>
        <w:rPr>
          <w:lang w:val="en-GB"/>
        </w:rPr>
      </w:pPr>
      <w:r>
        <w:rPr>
          <w:lang w:val="en-GB"/>
        </w:rPr>
        <w:t xml:space="preserve">Longitudinal analysis </w:t>
      </w:r>
    </w:p>
    <w:p w14:paraId="35A04126" w14:textId="77777777" w:rsidR="006604B2" w:rsidRPr="00EF4442" w:rsidRDefault="006604B2" w:rsidP="006604B2">
      <w:pPr>
        <w:rPr>
          <w:lang w:val="en-GB"/>
        </w:rPr>
      </w:pPr>
      <w:r w:rsidRPr="00EF4442">
        <w:rPr>
          <w:lang w:val="en-GB"/>
        </w:rPr>
        <w:t xml:space="preserve">Usage of OTUs can be explained that in the time we used clustering algorithms, </w:t>
      </w:r>
      <w:proofErr w:type="spellStart"/>
      <w:r w:rsidRPr="00EF4442">
        <w:rPr>
          <w:lang w:val="en-GB"/>
        </w:rPr>
        <w:t>dada2</w:t>
      </w:r>
      <w:proofErr w:type="spellEnd"/>
      <w:r w:rsidRPr="00EF4442">
        <w:rPr>
          <w:lang w:val="en-GB"/>
        </w:rPr>
        <w:t xml:space="preserve"> was not able to process binned quality scores from </w:t>
      </w:r>
      <w:proofErr w:type="spellStart"/>
      <w:r w:rsidRPr="00EF4442">
        <w:rPr>
          <w:lang w:val="en-GB"/>
        </w:rPr>
        <w:t>NextSeq</w:t>
      </w:r>
      <w:proofErr w:type="spellEnd"/>
      <w:r w:rsidRPr="00EF4442">
        <w:rPr>
          <w:lang w:val="en-GB"/>
        </w:rPr>
        <w:t xml:space="preserve"> 2000 on which most of our samples were sequenced. </w:t>
      </w:r>
    </w:p>
    <w:p w14:paraId="7045822F" w14:textId="0D2EDE43" w:rsidR="006604B2" w:rsidRDefault="006604B2">
      <w:pPr>
        <w:rPr>
          <w:lang w:val="en-GB"/>
        </w:rPr>
      </w:pPr>
      <w:r>
        <w:rPr>
          <w:lang w:val="en-GB"/>
        </w:rPr>
        <w:t xml:space="preserve">Composition OUT </w:t>
      </w:r>
    </w:p>
    <w:p w14:paraId="4A3FB317" w14:textId="77777777" w:rsidR="006604B2" w:rsidRPr="00511463" w:rsidRDefault="006604B2" w:rsidP="006604B2">
      <w:pPr>
        <w:rPr>
          <w:lang w:val="en-GB"/>
        </w:rPr>
      </w:pPr>
      <w:r w:rsidRPr="00511463">
        <w:rPr>
          <w:lang w:val="en-GB"/>
        </w:rPr>
        <w:t xml:space="preserve">The high abundance of ethanol-resistant representatives within </w:t>
      </w:r>
      <w:r w:rsidRPr="00511463">
        <w:rPr>
          <w:i/>
          <w:iCs/>
          <w:lang w:val="en-GB"/>
        </w:rPr>
        <w:t>Bacillota</w:t>
      </w:r>
      <w:r w:rsidRPr="00511463">
        <w:rPr>
          <w:lang w:val="en-GB"/>
        </w:rPr>
        <w:t xml:space="preserve"> was expected due to the widespread ability to sporulate within this phylum [5]. Most Bacillota representatives identified as ethanol-resistant in this study belong to genera in which sporulation has previously been confirmed through the detection of sporulation-associated gene clusters or in vitro sporulation induction [6,16,29]. In contrast, ethanol-resistant representatives, as well as the mechanisms underlying their resistance, are poorly described in other phyla. Previous studies have reported the detection of </w:t>
      </w:r>
      <w:proofErr w:type="spellStart"/>
      <w:r w:rsidRPr="00511463">
        <w:rPr>
          <w:lang w:val="en-GB"/>
        </w:rPr>
        <w:t>Actinomycetota</w:t>
      </w:r>
      <w:proofErr w:type="spellEnd"/>
      <w:r w:rsidRPr="00511463">
        <w:rPr>
          <w:lang w:val="en-GB"/>
        </w:rPr>
        <w:t xml:space="preserve"> representatives in ethanol or lysozyme treated samples [4,11,12]. While exospore formation was described in the families </w:t>
      </w:r>
      <w:proofErr w:type="spellStart"/>
      <w:r w:rsidRPr="00511463">
        <w:rPr>
          <w:lang w:val="en-GB"/>
        </w:rPr>
        <w:t>Actinomycetaceae</w:t>
      </w:r>
      <w:proofErr w:type="spellEnd"/>
      <w:r w:rsidRPr="00511463">
        <w:rPr>
          <w:lang w:val="en-GB"/>
        </w:rPr>
        <w:t xml:space="preserve"> and </w:t>
      </w:r>
      <w:proofErr w:type="spellStart"/>
      <w:r w:rsidRPr="00511463">
        <w:rPr>
          <w:lang w:val="en-GB"/>
        </w:rPr>
        <w:t>Streptomycetaceae</w:t>
      </w:r>
      <w:proofErr w:type="spellEnd"/>
      <w:r w:rsidRPr="00511463">
        <w:rPr>
          <w:lang w:val="en-GB"/>
        </w:rPr>
        <w:t xml:space="preserve">, the mechanisms underlying ethanol resistance in other </w:t>
      </w:r>
      <w:proofErr w:type="spellStart"/>
      <w:r w:rsidRPr="00511463">
        <w:rPr>
          <w:lang w:val="en-GB"/>
        </w:rPr>
        <w:t>Actinomycetota</w:t>
      </w:r>
      <w:proofErr w:type="spellEnd"/>
      <w:r w:rsidRPr="00511463">
        <w:rPr>
          <w:lang w:val="en-GB"/>
        </w:rPr>
        <w:t xml:space="preserve"> families remain unclear. In our data, </w:t>
      </w:r>
      <w:proofErr w:type="spellStart"/>
      <w:r w:rsidRPr="00511463">
        <w:rPr>
          <w:lang w:val="en-GB"/>
        </w:rPr>
        <w:t>Actinomycetaceae</w:t>
      </w:r>
      <w:proofErr w:type="spellEnd"/>
      <w:r w:rsidRPr="00511463">
        <w:rPr>
          <w:lang w:val="en-GB"/>
        </w:rPr>
        <w:t xml:space="preserve"> accounted for only 0.4% of the relative abundance within the ethanol-resistant community, while </w:t>
      </w:r>
      <w:proofErr w:type="spellStart"/>
      <w:r w:rsidRPr="00511463">
        <w:rPr>
          <w:lang w:val="en-GB"/>
        </w:rPr>
        <w:t>Streptomycetaceae</w:t>
      </w:r>
      <w:proofErr w:type="spellEnd"/>
      <w:r w:rsidRPr="00511463">
        <w:rPr>
          <w:lang w:val="en-GB"/>
        </w:rPr>
        <w:t xml:space="preserve"> were not detected. Members of the phylum Pseudomonadota, also commonly </w:t>
      </w:r>
      <w:r w:rsidRPr="00511463">
        <w:rPr>
          <w:lang w:val="en-GB"/>
        </w:rPr>
        <w:lastRenderedPageBreak/>
        <w:t xml:space="preserve">detected in the ethanol-resistant community, have previously been reported to adopt various dormant life strategies, such as persistence and the viable but non-culturable state [28]. A limitation of this study is the reliance on </w:t>
      </w:r>
      <w:proofErr w:type="spellStart"/>
      <w:r w:rsidRPr="00511463">
        <w:rPr>
          <w:lang w:val="en-GB"/>
        </w:rPr>
        <w:t>16S</w:t>
      </w:r>
      <w:proofErr w:type="spellEnd"/>
      <w:r w:rsidRPr="00511463">
        <w:rPr>
          <w:lang w:val="en-GB"/>
        </w:rPr>
        <w:t xml:space="preserve"> rRNA amplicon sequencing, which does not provide information beyond taxonomic classification. Implementation of additional methodological approaches will be necessary to further elucidate the molecular basis of ethanol resistance in phyla other than Bacillota.</w:t>
      </w:r>
    </w:p>
    <w:p w14:paraId="6B0C199E" w14:textId="714D2D77" w:rsidR="006604B2" w:rsidRDefault="006604B2">
      <w:pPr>
        <w:rPr>
          <w:lang w:val="en-GB"/>
        </w:rPr>
      </w:pPr>
      <w:r>
        <w:rPr>
          <w:lang w:val="en-GB"/>
        </w:rPr>
        <w:t xml:space="preserve">Beta diversity </w:t>
      </w:r>
    </w:p>
    <w:p w14:paraId="75CE69D5" w14:textId="77777777" w:rsidR="006604B2" w:rsidRPr="00511463" w:rsidRDefault="006604B2" w:rsidP="006604B2">
      <w:pPr>
        <w:rPr>
          <w:rFonts w:cs="Times New Roman"/>
        </w:rPr>
      </w:pPr>
      <w:r w:rsidRPr="00511463">
        <w:rPr>
          <w:rFonts w:cs="Times New Roman"/>
        </w:rPr>
        <w:t xml:space="preserve">Our observation aligns with prior findings showing that lysozyme resistant taxa tend to have higher population-level prevalence and lower within-individual variability than non-resistant communities </w:t>
      </w:r>
      <w:r w:rsidRPr="00511463">
        <w:rPr>
          <w:rFonts w:cs="Times New Roman"/>
        </w:rPr>
        <w:fldChar w:fldCharType="begin"/>
      </w:r>
      <w:r w:rsidRPr="00511463">
        <w:rPr>
          <w:rFonts w:cs="Times New Roman"/>
        </w:rPr>
        <w:instrText xml:space="preserve"> ADDIN ZOTERO_ITEM CSL_CITATION {"citationID":"D0cGtBfI","properties":{"formattedCitation":"[11]","plainCitation":"[11]","noteIndex":0},"citationItems":[{"id":381,"uris":["http://zotero.org/users/8873894/items/3G69ZQ2W"],"itemData":{"id":381,"type":"article-journal","abstract":"Endospore-formers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511463">
        <w:rPr>
          <w:rFonts w:cs="Times New Roman"/>
        </w:rPr>
        <w:fldChar w:fldCharType="separate"/>
      </w:r>
      <w:r w:rsidRPr="00511463">
        <w:rPr>
          <w:rFonts w:cs="Times New Roman"/>
        </w:rPr>
        <w:t>[11]</w:t>
      </w:r>
      <w:r w:rsidRPr="00511463">
        <w:rPr>
          <w:rFonts w:cs="Times New Roman"/>
        </w:rPr>
        <w:fldChar w:fldCharType="end"/>
      </w:r>
      <w:r w:rsidRPr="00511463">
        <w:rPr>
          <w:rFonts w:cs="Times New Roman"/>
        </w:rPr>
        <w:t xml:space="preserve">. Moreover, a comparative genomic analysis has shown that bacterial species with more sporulation genes are significantly more prevalent in human populations, at least partially explaining the lower between-individual variability observed in this study </w:t>
      </w:r>
      <w:r w:rsidRPr="00511463">
        <w:rPr>
          <w:rFonts w:cs="Times New Roman"/>
        </w:rPr>
        <w:fldChar w:fldCharType="begin"/>
      </w:r>
      <w:r w:rsidRPr="00511463">
        <w:rPr>
          <w:rFonts w:cs="Times New Roman"/>
        </w:rPr>
        <w:instrText xml:space="preserve"> ADDIN ZOTERO_ITEM CSL_CITATION {"citationID":"2c347SpW","properties":{"formattedCitation":"[16]","plainCitation":"[16]","noteIndex":0},"citationItems":[{"id":380,"uris":["http://zotero.org/users/8873894/items/N88GZHKF"],"itemData":{"id":380,"type":"article-journal","abstract":"Background: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Pr="00511463">
        <w:rPr>
          <w:rFonts w:cs="Times New Roman"/>
        </w:rPr>
        <w:fldChar w:fldCharType="separate"/>
      </w:r>
      <w:r w:rsidRPr="00511463">
        <w:rPr>
          <w:rFonts w:cs="Times New Roman"/>
        </w:rPr>
        <w:t>[16]</w:t>
      </w:r>
      <w:r w:rsidRPr="00511463">
        <w:rPr>
          <w:rFonts w:cs="Times New Roman"/>
        </w:rPr>
        <w:fldChar w:fldCharType="end"/>
      </w:r>
      <w:r w:rsidRPr="00511463">
        <w:rPr>
          <w:rFonts w:cs="Times New Roman"/>
        </w:rPr>
        <w:t xml:space="preserve">. </w:t>
      </w:r>
    </w:p>
    <w:p w14:paraId="0C10A674" w14:textId="3D87CF1A" w:rsidR="006604B2" w:rsidRDefault="006604B2">
      <w:pPr>
        <w:rPr>
          <w:lang w:val="en-GB"/>
        </w:rPr>
      </w:pPr>
      <w:r>
        <w:rPr>
          <w:lang w:val="en-GB"/>
        </w:rPr>
        <w:t xml:space="preserve">Persistence </w:t>
      </w:r>
    </w:p>
    <w:p w14:paraId="7043B477" w14:textId="706F342F" w:rsidR="006604B2" w:rsidRDefault="006604B2">
      <w:pPr>
        <w:rPr>
          <w:rFonts w:cs="Times New Roman"/>
        </w:rPr>
      </w:pPr>
      <w:r w:rsidRPr="00511463">
        <w:rPr>
          <w:rFonts w:cs="Times New Roman"/>
        </w:rPr>
        <w:t xml:space="preserve">Spore persistence within the human gut was previously assessed using </w:t>
      </w:r>
      <w:r w:rsidRPr="00511463">
        <w:rPr>
          <w:rFonts w:cs="Times New Roman"/>
          <w:i/>
          <w:iCs/>
        </w:rPr>
        <w:t xml:space="preserve">in vitro </w:t>
      </w:r>
      <w:r w:rsidRPr="00511463">
        <w:rPr>
          <w:rFonts w:cs="Times New Roman"/>
        </w:rPr>
        <w:t xml:space="preserve">and murine gut models that have shown </w:t>
      </w:r>
      <w:r w:rsidRPr="00511463">
        <w:rPr>
          <w:rFonts w:cs="Times New Roman"/>
          <w:i/>
          <w:iCs/>
        </w:rPr>
        <w:t>C. difficile</w:t>
      </w:r>
      <w:r w:rsidRPr="00511463">
        <w:rPr>
          <w:rFonts w:cs="Times New Roman"/>
        </w:rPr>
        <w:t xml:space="preserve"> spores bind to biofilms and consequently evade washout </w:t>
      </w:r>
      <w:r w:rsidRPr="00511463">
        <w:rPr>
          <w:rFonts w:cs="Times New Roman"/>
        </w:rPr>
        <w:fldChar w:fldCharType="begin"/>
      </w:r>
      <w:r w:rsidRPr="00511463">
        <w:rPr>
          <w:rFonts w:cs="Times New Roman"/>
        </w:rPr>
        <w:instrText xml:space="preserve"> ADDIN ZOTERO_ITEM CSL_CITATION {"citationID":"rK4GeW78","properties":{"formattedCitation":"[30,31]","plainCitation":"[30,31]","noteIndex":0},"citationItems":[{"id":2984,"uris":["http://zotero.org/users/8873894/items/4EW43G8R"],"itemData":{"id":2984,"type":"article-journal","abstract":"Clostridium difficile infection (CDI) is a major healthcare-associated disease with high recurrence rates. Host colonization is critical for the infectious process, both in first episodes and in recurrent disease, with biofilm formation playing a ...","container-title":"Frontiers in Microbiology","DOI":"10.3389/fmicb.2017.02086","language":"en","note":"PMID: 29118745","page":"2086","source":"pmc.ncbi.nlm.nih.gov","title":"Biofilm Structures in a Mono-Associated Mouse Model of Clostridium difficile Infection","volume":"8","author":[{"family":"Soavelomandroso","given":"Anna P."},{"family":"Gaudin","given":"Françoise"},{"family":"Hoys","given":"Sandra"},{"family":"Nicolas","given":"Valérie"},{"family":"Vedantam","given":"Gayatri"},{"family":"Janoir","given":"Claire"},{"family":"Bouttier","given":"Sylvie"}],"issued":{"date-parts":[["2017",10,25]]}}},{"id":3151,"uris":["http://zotero.org/users/8873894/items/Y5Y33ERV"],"itemData":{"id":3151,"type":"article-journal","abstract":"C. difficile infection (CDI) is a worldwide healthcare problem with ~30% of cases failing primary therapy, placing a burden on healthcare systems and increasing patient morbidity. We have little understanding of why these therapies fail. Here, we use a clinically validated in vitro gut model to assess the contribution of biofilms towards recurrent disease and to investigate biofilm microbiota-C. difficile interactions. Initial experiments show that C. difficile cells became associated with the colonic biofilm microbiota and are not depleted by vancomycin or faecal microbiota transplant therapies. We observe that transferring biofilm encased C. difficile cells into a C. difficile naïve but CDI susceptible model induces CDI. Members of the biofilm community can impact C. difficile biofilm formation by acting either antagonistically or synergistically. We highlight the importance of biofilms as a reservoir for C. difficile, which can be a cause for recurrent infections.","container-title":"npj Biofilms and Microbiomes","DOI":"10.1038/s41522-021-00184-w","ISSN":"2055-5008","issue":"1","journalAbbreviation":"npj Biofilms Microbiomes","language":"en","license":"2021 The Author(s)","note":"publisher: Nature Publishing Group","page":"1-10","source":"www.nature.com","title":"Biofilms harbour Clostridioides difficile, serving as a reservoir for recurrent infection","volume":"7","author":[{"family":"Normington","given":"Charmaine"},{"family":"Moura","given":"Ines B."},{"family":"Bryant","given":"Jessica A."},{"family":"Ewin","given":"Duncan J."},{"family":"Clark","given":"Emma V."},{"family":"Kettle","given":"Morgan J."},{"family":"Harris","given":"Hannah C."},{"family":"Spittal","given":"William"},{"family":"Davis","given":"Georgina"},{"family":"Henn","given":"Matthew R."},{"family":"Ford","given":"Christopher B."},{"family":"Wilcox","given":"Mark H."},{"family":"Buckley","given":"Anthony M."}],"issued":{"date-parts":[["2021",2,5]]}}}],"schema":"https://github.com/citation-style-language/schema/raw/master/csl-citation.json"} </w:instrText>
      </w:r>
      <w:r w:rsidRPr="00511463">
        <w:rPr>
          <w:rFonts w:cs="Times New Roman"/>
        </w:rPr>
        <w:fldChar w:fldCharType="separate"/>
      </w:r>
      <w:r w:rsidRPr="00511463">
        <w:rPr>
          <w:rFonts w:cs="Times New Roman"/>
        </w:rPr>
        <w:t>[30,31]</w:t>
      </w:r>
      <w:r w:rsidRPr="00511463">
        <w:rPr>
          <w:rFonts w:cs="Times New Roman"/>
        </w:rPr>
        <w:fldChar w:fldCharType="end"/>
      </w:r>
      <w:r w:rsidRPr="00511463">
        <w:rPr>
          <w:rFonts w:cs="Times New Roman"/>
        </w:rPr>
        <w:t xml:space="preserve">. Their ability to persist is further supported by recurring infections with the same strain </w:t>
      </w:r>
      <w:r w:rsidRPr="00511463">
        <w:rPr>
          <w:rFonts w:cs="Times New Roman"/>
        </w:rPr>
        <w:fldChar w:fldCharType="begin"/>
      </w:r>
      <w:r w:rsidRPr="00511463">
        <w:rPr>
          <w:rFonts w:cs="Times New Roman"/>
        </w:rPr>
        <w:instrText xml:space="preserve"> ADDIN ZOTERO_ITEM CSL_CITATION {"citationID":"u5IEYBkK","properties":{"formattedCitation":"[32]","plainCitation":"[32]","noteIndex":0},"citationItems":[{"id":3153,"uris":["http://zotero.org/users/8873894/items/GWLWC4SF"],"itemData":{"id":3153,"type":"article-journal","abstract":"Our study sought to compare the strain types of Clostridium difficile causing initial and recurrent episodes of C. difficile infection (CDI) in adult patients with a first episode of CDI or 1 prior episode of CDI within the previous 90 days. Strains originated from patients who had been entered into two phase 3 randomized clinical trials of fidaxomicin versus vancomycin. Isolates of C. difficile from the initial and recurrent episodes within 28 (± 2) days of cure of CDI were compared using restriction endonuclease analysis (REA) typing. Paired isolates were available from 90 of 194 (46%) patients with recurrent CDI. Patients with isolates available were significantly younger (P = .008) and more likely to be from Canadian sites (P = .0001), compared with patients without isolates. In 75 of 90 subjects (83.3%), the identical REA type strain was identified at recurrence and the initial episode (putative relapse). Early recurrences (0-14 days after treatment completion) were relapses in 86.7% and a new strain (reinfection) in 13.3%. Later recurrences (15-31 days after treatment) were relapses in 76.7% and reinfections in 23.3%. Mean time (± standard deviation) to recurrence was 12.2 (± 6.4) days for relapses and 14.7 (± 6.8) days for reinfections (P = .177). The most common BI/NAP1/027 group and the previous US epidemic REA group J/NAP2/001 had a significantly higher combined rate of recurrence with the same strain (relapse), compared with the other REA groups (39 of 42 [93%] vs 36 of 48 [75%], respectively; P = .023). We found a higher than historic rate of recurrent CDI caused by the same isolate as the original episode, a finding that may be related to the relatively short observation period in this study and the high frequency of isolation of epidemic strains, such as groups BI and J, for which relapse rates may be higher than for other REA groups. Caution in generalizing these observations is required, because the patients studied were younger and more likely to be from Canadian sites than were patients with recurrence who did not provide isolates.","container-title":"Clinical Infectious Diseases: An Official Publication of the Infectious Diseases Society of America","DOI":"10.1093/cid/cis357","ISSN":"1537-6591","issue":"Suppl 2","journalAbbreviation":"Clin Infect Dis","language":"eng","note":"PMID: 22752857\nPMCID: PMC3388025","page":"S104-109","source":"PubMed","title":"Relapse versus reinfection: recurrent Clostridium difficile infection following treatment with fidaxomicin or vancomycin","title-short":"Relapse versus reinfection","volume":"55 Suppl 2","author":[{"family":"Figueroa","given":"Iris"},{"family":"Johnson","given":"Stuart"},{"family":"Sambol","given":"Susan P."},{"family":"Goldstein","given":"Ellie J. C."},{"family":"Citron","given":"Diane M."},{"family":"Gerding","given":"Dale N."}],"issued":{"date-parts":[["2012",8]]}}}],"schema":"https://github.com/citation-style-language/schema/raw/master/csl-citation.json"} </w:instrText>
      </w:r>
      <w:r w:rsidRPr="00511463">
        <w:rPr>
          <w:rFonts w:cs="Times New Roman"/>
        </w:rPr>
        <w:fldChar w:fldCharType="separate"/>
      </w:r>
      <w:r w:rsidRPr="00511463">
        <w:rPr>
          <w:rFonts w:cs="Times New Roman"/>
        </w:rPr>
        <w:t>[32]</w:t>
      </w:r>
      <w:r w:rsidRPr="00511463">
        <w:rPr>
          <w:rFonts w:cs="Times New Roman"/>
        </w:rPr>
        <w:fldChar w:fldCharType="end"/>
      </w:r>
      <w:r w:rsidRPr="00511463">
        <w:rPr>
          <w:rFonts w:cs="Times New Roman"/>
        </w:rPr>
        <w:t xml:space="preserve">. However, similar mechanisms of spore persistence have not been demonstrated for other species beyond </w:t>
      </w:r>
      <w:r w:rsidRPr="00511463">
        <w:rPr>
          <w:rFonts w:cs="Times New Roman"/>
          <w:i/>
          <w:iCs/>
        </w:rPr>
        <w:t>in vitro</w:t>
      </w:r>
      <w:r w:rsidRPr="00511463">
        <w:rPr>
          <w:rFonts w:cs="Times New Roman"/>
        </w:rPr>
        <w:t xml:space="preserve"> biofilm formations </w:t>
      </w:r>
      <w:r w:rsidRPr="00511463">
        <w:rPr>
          <w:rFonts w:cs="Times New Roman"/>
        </w:rPr>
        <w:fldChar w:fldCharType="begin"/>
      </w:r>
      <w:r w:rsidRPr="00511463">
        <w:rPr>
          <w:rFonts w:cs="Times New Roman"/>
        </w:rPr>
        <w:instrText xml:space="preserve"> ADDIN ZOTERO_ITEM CSL_CITATION {"citationID":"qYcVtaqE","properties":{"formattedCitation":"[33]","plainCitation":"[33]","noteIndex":0},"citationItems":[{"id":2980,"uris":["http://zotero.org/users/8873894/items/2R2PHLWE"],"itemData":{"id":2980,"type":"article-journal","abstract":"Sessile growth of anaerobic bacteria from the human intestinal tract has been poorly investigated, so far. We recently reported data on the close association existing between biliary stent clogging and polymicrobial biofilm development in its lumen. By exploiting the explanted stents as a rich source of anaerobic bacterial strains belonging to the genera Bacteroides, Clostridium, Fusobacterium, Finegoldia, Prevotella, and Veillonella, the present study focused on their ability to adhere, to grow in sessile mode and to form in vitro mono- or dual-species biofilms. Experiments on dual-species biofilm formation were planned on the basis of the anaerobic strains isolated from each clogged biliary stent, by selecting those in which a couple of anaerobic strains belonging to different species contributed to the polymicrobial biofilm development. Then, strains were investigated by field emission scanning electron microscopy and confocal laser scanning microscopy to reveal if they are able to grow as mono- and/or dual-species biofilms. As far as we know, this is the first report on the ability to adhere and form mono/dual-species biofilms exhibited by strains belonging to the species Bacteroides oralis, Clostridium difficile, Clostridium baratii, Clostridium fallax, Clostridium bifermentans, Finegoldia magna, and Fusobacterium necrophorum.","container-title":"FEMS immunology and medical microbiology","DOI":"10.1111/j.1574-695X.2012.00962.x","ISSN":"1574-695X","issue":"2","journalAbbreviation":"FEMS Immunol Med Microbiol","language":"eng","note":"PMID: 22444687","page":"318-325","source":"PubMed","title":"Biofilm-growing intestinal anaerobic bacteria","volume":"65","author":[{"family":"Donelli","given":"Gianfranco"},{"family":"Vuotto","given":"Claudia"},{"family":"Cardines","given":"Rita"},{"family":"Mastrantonio","given":"Paola"}],"issued":{"date-parts":[["2012",7]]}}}],"schema":"https://github.com/citation-style-language/schema/raw/master/csl-citation.json"} </w:instrText>
      </w:r>
      <w:r w:rsidRPr="00511463">
        <w:rPr>
          <w:rFonts w:cs="Times New Roman"/>
        </w:rPr>
        <w:fldChar w:fldCharType="separate"/>
      </w:r>
      <w:r w:rsidRPr="00511463">
        <w:rPr>
          <w:rFonts w:cs="Times New Roman"/>
        </w:rPr>
        <w:t>[33]</w:t>
      </w:r>
      <w:r w:rsidRPr="00511463">
        <w:rPr>
          <w:rFonts w:cs="Times New Roman"/>
        </w:rPr>
        <w:fldChar w:fldCharType="end"/>
      </w:r>
      <w:r w:rsidRPr="00511463">
        <w:rPr>
          <w:rFonts w:cs="Times New Roman"/>
        </w:rPr>
        <w:t>.</w:t>
      </w:r>
    </w:p>
    <w:p w14:paraId="3D131B90" w14:textId="77777777" w:rsidR="006604B2" w:rsidRPr="00511463" w:rsidRDefault="006604B2" w:rsidP="006604B2">
      <w:pPr>
        <w:rPr>
          <w:rFonts w:cs="Times New Roman"/>
        </w:rPr>
      </w:pPr>
      <w:r w:rsidRPr="00511463">
        <w:rPr>
          <w:rFonts w:cs="Times New Roman"/>
        </w:rPr>
        <w:t xml:space="preserve">Our findings provide additional experimental evidence that spore formation in phylum </w:t>
      </w:r>
      <w:r w:rsidRPr="00511463">
        <w:rPr>
          <w:rFonts w:cs="Times New Roman"/>
          <w:i/>
          <w:iCs/>
        </w:rPr>
        <w:t>Bacillota</w:t>
      </w:r>
      <w:r w:rsidRPr="00511463">
        <w:rPr>
          <w:rFonts w:cs="Times New Roman"/>
        </w:rPr>
        <w:t xml:space="preserve"> contributes to both increased transmission between individuals and long-term persistence within the host. In contrast, ethanol resistance mechanisms in non-</w:t>
      </w:r>
      <w:r w:rsidRPr="00511463">
        <w:rPr>
          <w:rFonts w:cs="Times New Roman"/>
          <w:i/>
          <w:iCs/>
        </w:rPr>
        <w:t>Bacillota</w:t>
      </w:r>
      <w:r w:rsidRPr="00511463">
        <w:rPr>
          <w:rFonts w:cs="Times New Roman"/>
        </w:rPr>
        <w:t xml:space="preserve"> phyla appear to play a more prominent role in facilitating transmission, with a lesser impact on within-host persistence. A limitation of our study is the use of </w:t>
      </w:r>
      <w:proofErr w:type="spellStart"/>
      <w:r w:rsidRPr="00511463">
        <w:rPr>
          <w:rFonts w:cs="Times New Roman"/>
        </w:rPr>
        <w:t>16S</w:t>
      </w:r>
      <w:proofErr w:type="spellEnd"/>
      <w:r w:rsidRPr="00511463">
        <w:rPr>
          <w:rFonts w:cs="Times New Roman"/>
        </w:rPr>
        <w:t xml:space="preserve"> rRNA amplicon sequencing, which does not provide taxonomic resolution beyond the genus. Consequently, we were unable to distinguish whether temporal changes in taxa detection reflected strain replacement or the coexistence of multiple strains </w:t>
      </w:r>
      <w:r w:rsidRPr="00511463">
        <w:rPr>
          <w:rFonts w:cs="Times New Roman"/>
        </w:rPr>
        <w:fldChar w:fldCharType="begin"/>
      </w:r>
      <w:r w:rsidRPr="00511463">
        <w:rPr>
          <w:rFonts w:cs="Times New Roman"/>
        </w:rPr>
        <w:instrText xml:space="preserve"> ADDIN ZOTERO_ITEM CSL_CITATION {"citationID":"rj5CuAzA","properties":{"formattedCitation":"[34]","plainCitation":"[34]","noteIndex":0},"citationItems":[{"id":175,"uris":["http://zotero.org/users/8873894/items/D73U5VSG"],"itemData":{"id":175,"type":"article-journal","abstract":"Our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Med","language":"eng","note":"PMID: 31477907","page":"1442-1452","source":"PubMed","title":"A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Pr="00511463">
        <w:rPr>
          <w:rFonts w:cs="Times New Roman"/>
        </w:rPr>
        <w:fldChar w:fldCharType="separate"/>
      </w:r>
      <w:r w:rsidRPr="00511463">
        <w:rPr>
          <w:rFonts w:cs="Times New Roman"/>
        </w:rPr>
        <w:t>[34]</w:t>
      </w:r>
      <w:r w:rsidRPr="00511463">
        <w:rPr>
          <w:rFonts w:cs="Times New Roman"/>
        </w:rPr>
        <w:fldChar w:fldCharType="end"/>
      </w:r>
      <w:r w:rsidRPr="00511463">
        <w:rPr>
          <w:rFonts w:cs="Times New Roman"/>
        </w:rPr>
        <w:t xml:space="preserve">. This distinction is particularly relevant given previous reports of high strain-level retention in the gut over short time scales and limited strain sharing between individuals </w:t>
      </w:r>
      <w:r w:rsidRPr="00511463">
        <w:rPr>
          <w:rFonts w:cs="Times New Roman"/>
        </w:rPr>
        <w:fldChar w:fldCharType="begin"/>
      </w:r>
      <w:r w:rsidRPr="00511463">
        <w:rPr>
          <w:rFonts w:cs="Times New Roman"/>
        </w:rPr>
        <w:instrText xml:space="preserve"> ADDIN ZOTERO_ITEM CSL_CITATION {"citationID":"rL10cViM","properties":{"formattedCitation":"[35]","plainCitation":"[35]","noteIndex":0},"citationItems":[{"id":2303,"uris":["http://zotero.org/users/8873894/items/8JFF8KSZ"],"itemData":{"id":2303,"type":"article-journal","abstract":"The human gut microbiome harbors substantial ecological diversity at the species level as well as at the strain level within species. In healthy hosts, species abundance fluctuations in the microbiome are thought to be stable, and these fluctuations can be described by macroecological laws. However, it is less clear how strain abundances change over time. An open question is whether individual strains behave like species themselves, exhibiting stability and following the macroecological relationships known to hold at the species level, or whether strains have different dynamics, perhaps due to the relatively close phylogenetic relatedness of cocolonizing lineages. Here, we analyze the daily dynamics of intraspecific genetic variation in the gut microbiomes of four healthy, densely longitudinally sampled hosts. First, we find that the overall genetic diversity of a large majority of species is stationary over time despite short-term fluctuations. Next, we show that fluctuations in abundances in approximately 80% of strains analyzed can be predicted with a stochastic logistic model (SLM), an ecological model of a population experiencing environmental fluctuations around a fixed carrying capacity, which has previously been shown to capture statistical properties of species abundance fluctuations. The success of this model indicates that strain abundances typically fluctuate around a fixed carrying capacity, suggesting that most strains are dynamically stable. Finally, we find that the strain abundances follow several empirical macroecological laws known to hold at the species level. Together, our results suggest that macroecological properties of the human gut microbiome, including its stability, emerge at the level of strains.\nIMPORTANCE To date, there has been an intense focus on the ecological dynamics of the human gut microbiome at the species level. However, there is considerable genetic diversity within species at the strain level, and these intraspecific differences can have important phenotypic effects on the host, impacting the ability to digest certain foods and metabolize drugs. Thus, to fully understand how the gut microbiome operates in times of health and sickness, its ecological dynamics may need to be quantified at the level of strains. Here, we show that a large majority of strains maintain stable abundances for periods of months to years, exhibiting fluctuations in abundance that can be well described by macroecological laws known to hold at the species level, while a smaller percentage of strains undergo rapid, directional changes in abundance. Overall, our work indicates that strains are an important unit of ecological organization in the human gut microbiome.","container-title":"mBio","DOI":"10.1128/mbio.02502-22","issue":"2","note":"publisher: American Society for Microbiology","page":"e02502-22","source":"journals.asm.org (Atypon)","title":"Ecological Stability Emerges at the Level of Strains in the Human Gut Microbiome","volume":"14","author":[{"family":"Wolff","given":"Richard"},{"family":"Shoemaker","given":"William"},{"family":"Garud","given":"Nandita"}],"issued":{"date-parts":[["2023",2,21]]}}}],"schema":"https://github.com/citation-style-language/schema/raw/master/csl-citation.json"} </w:instrText>
      </w:r>
      <w:r w:rsidRPr="00511463">
        <w:rPr>
          <w:rFonts w:cs="Times New Roman"/>
        </w:rPr>
        <w:fldChar w:fldCharType="separate"/>
      </w:r>
      <w:r w:rsidRPr="00511463">
        <w:rPr>
          <w:rFonts w:cs="Times New Roman"/>
        </w:rPr>
        <w:t>[35]</w:t>
      </w:r>
      <w:r w:rsidRPr="00511463">
        <w:rPr>
          <w:rFonts w:cs="Times New Roman"/>
        </w:rPr>
        <w:fldChar w:fldCharType="end"/>
      </w:r>
      <w:r w:rsidRPr="00511463">
        <w:rPr>
          <w:rFonts w:cs="Times New Roman"/>
        </w:rPr>
        <w:t>.</w:t>
      </w:r>
    </w:p>
    <w:p w14:paraId="0E00503E" w14:textId="77777777" w:rsidR="006604B2" w:rsidRDefault="006604B2">
      <w:pPr>
        <w:rPr>
          <w:lang w:val="en-GB"/>
        </w:rPr>
      </w:pPr>
    </w:p>
    <w:p w14:paraId="1757EDB8" w14:textId="0CAC39BE" w:rsidR="00646031" w:rsidRDefault="00646031">
      <w:pPr>
        <w:rPr>
          <w:lang w:val="en-GB"/>
        </w:rPr>
      </w:pPr>
      <w:r>
        <w:rPr>
          <w:lang w:val="en-GB"/>
        </w:rPr>
        <w:t xml:space="preserve">Density of clustering </w:t>
      </w:r>
    </w:p>
    <w:p w14:paraId="26E86030" w14:textId="77777777" w:rsidR="00646031" w:rsidRPr="00511463" w:rsidRDefault="00646031" w:rsidP="00646031">
      <w:pPr>
        <w:rPr>
          <w:lang w:val="en-GB"/>
        </w:rPr>
      </w:pPr>
      <w:r>
        <w:rPr>
          <w:lang w:val="en-GB"/>
        </w:rPr>
        <w:t xml:space="preserve">Density of clustering for everyone is individual dependant, so based on their changes in the life. But still ethanol-resistant especially ethanol-resistant </w:t>
      </w:r>
      <w:proofErr w:type="gramStart"/>
      <w:r>
        <w:rPr>
          <w:i/>
          <w:iCs/>
          <w:lang w:val="en-GB"/>
        </w:rPr>
        <w:t xml:space="preserve">Bacillota </w:t>
      </w:r>
      <w:r>
        <w:rPr>
          <w:lang w:val="en-GB"/>
        </w:rPr>
        <w:t xml:space="preserve"> the</w:t>
      </w:r>
      <w:proofErr w:type="gramEnd"/>
      <w:r>
        <w:rPr>
          <w:lang w:val="en-GB"/>
        </w:rPr>
        <w:t xml:space="preserve"> sporobiota of the gut community is more similar to itself in time than other ethanol-resistant or ethanol non-resistant communities. </w:t>
      </w:r>
    </w:p>
    <w:p w14:paraId="36243A96" w14:textId="77777777" w:rsidR="00646031" w:rsidRDefault="00646031">
      <w:pPr>
        <w:rPr>
          <w:lang w:val="en-GB"/>
        </w:rPr>
      </w:pPr>
    </w:p>
    <w:p w14:paraId="68B80817" w14:textId="77777777" w:rsidR="00357381" w:rsidRPr="00511463" w:rsidRDefault="00357381" w:rsidP="00357381">
      <w:pPr>
        <w:rPr>
          <w:rFonts w:cs="Times New Roman"/>
          <w:lang w:val="en-GB"/>
        </w:rPr>
      </w:pPr>
    </w:p>
    <w:p w14:paraId="771B5B61" w14:textId="77777777" w:rsidR="00357381" w:rsidRPr="001560D9" w:rsidRDefault="00357381" w:rsidP="00357381">
      <w:pPr>
        <w:pStyle w:val="ListParagraph"/>
        <w:numPr>
          <w:ilvl w:val="2"/>
          <w:numId w:val="1"/>
        </w:numPr>
        <w:spacing w:line="360" w:lineRule="auto"/>
        <w:jc w:val="both"/>
        <w:rPr>
          <w:rFonts w:cs="Times New Roman"/>
          <w:lang w:val="en-GB"/>
        </w:rPr>
      </w:pPr>
      <w:r w:rsidRPr="001560D9">
        <w:rPr>
          <w:rFonts w:cs="Times New Roman"/>
          <w:lang w:val="en-GB"/>
        </w:rPr>
        <w:lastRenderedPageBreak/>
        <w:t xml:space="preserve">Stability </w:t>
      </w:r>
    </w:p>
    <w:p w14:paraId="6F8D9032" w14:textId="77777777" w:rsidR="00357381" w:rsidRPr="00AC09BB" w:rsidRDefault="00357381" w:rsidP="00357381">
      <w:pPr>
        <w:rPr>
          <w:lang w:val="en-GB"/>
        </w:rPr>
      </w:pPr>
      <w:r w:rsidRPr="00AC09BB">
        <w:rPr>
          <w:lang w:val="en-GB"/>
        </w:rPr>
        <w:t xml:space="preserve">By different definitions of stability this community on the level of OTUs is stable, as the return to previous after disturbance such as antibiotic treatment and travel (individuals A, B, C, D) is either not even visible in the observation of relative abundance or they have return to ‘previous state’ quickly after the disturbance (H). One possible explanation for this could also be the time scale of our sampling, as bacterial generation time is on the scale from hours to a day, while our sampling took place every 14 weeks. So, we were able to observe larger ecological changes that did not occur, as opposed to smaller changes in hour to hour. </w:t>
      </w:r>
    </w:p>
    <w:p w14:paraId="24E1C706" w14:textId="77777777" w:rsidR="00357381" w:rsidRPr="00511463" w:rsidRDefault="00357381" w:rsidP="00357381">
      <w:pPr>
        <w:rPr>
          <w:lang w:val="en-GB"/>
        </w:rPr>
      </w:pPr>
      <w:r>
        <w:rPr>
          <w:lang w:val="en-GB"/>
        </w:rPr>
        <w:t>We</w:t>
      </w:r>
      <w:r w:rsidRPr="00511463">
        <w:rPr>
          <w:lang w:val="en-GB"/>
        </w:rPr>
        <w:t xml:space="preserve"> have shown than in the span of 6 months in 9 individuals that we </w:t>
      </w:r>
      <w:proofErr w:type="gramStart"/>
      <w:r w:rsidRPr="00511463">
        <w:rPr>
          <w:lang w:val="en-GB"/>
        </w:rPr>
        <w:t>samples</w:t>
      </w:r>
      <w:proofErr w:type="gramEnd"/>
      <w:r w:rsidRPr="00511463">
        <w:rPr>
          <w:lang w:val="en-GB"/>
        </w:rPr>
        <w:t xml:space="preserve"> the OTUs we </w:t>
      </w:r>
      <w:proofErr w:type="spellStart"/>
      <w:r w:rsidRPr="00511463">
        <w:rPr>
          <w:lang w:val="en-GB"/>
        </w:rPr>
        <w:t>receovered</w:t>
      </w:r>
      <w:proofErr w:type="spellEnd"/>
      <w:r w:rsidRPr="00511463">
        <w:rPr>
          <w:lang w:val="en-GB"/>
        </w:rPr>
        <w:t xml:space="preserve"> from bulk microbiota either they be part of the ethanol resistant or ethanol non-resistant fraction are stable. There are no alternative stable states or large transitions. Even though two of participants consumed antibiotics during the study (E, H) there is no proof of instability. </w:t>
      </w:r>
    </w:p>
    <w:p w14:paraId="049D0A93" w14:textId="77777777" w:rsidR="00357381" w:rsidRPr="00511463" w:rsidRDefault="00357381" w:rsidP="00357381">
      <w:pPr>
        <w:rPr>
          <w:lang w:val="en-GB"/>
        </w:rPr>
      </w:pPr>
      <w:r w:rsidRPr="00511463">
        <w:rPr>
          <w:noProof/>
          <w:lang w:val="en-GB"/>
        </w:rPr>
        <w:drawing>
          <wp:inline distT="0" distB="0" distL="0" distR="0" wp14:anchorId="22596975" wp14:editId="5B2F797B">
            <wp:extent cx="5926455" cy="2924175"/>
            <wp:effectExtent l="0" t="0" r="0" b="9525"/>
            <wp:docPr id="488952858" name="Picture 5" descr="Slika, ki vsebuje besede besedilo, posnetek zaslona, barvitost, oblikovanje&#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52858" name="Picture 5" descr="Slika, ki vsebuje besede besedilo, posnetek zaslona, barvitost, oblikovanje&#10;&#10;Vsebina, ustvarjena z UI, morda ni pravil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6455" cy="2924175"/>
                    </a:xfrm>
                    <a:prstGeom prst="rect">
                      <a:avLst/>
                    </a:prstGeom>
                    <a:noFill/>
                    <a:ln>
                      <a:noFill/>
                    </a:ln>
                  </pic:spPr>
                </pic:pic>
              </a:graphicData>
            </a:graphic>
          </wp:inline>
        </w:drawing>
      </w:r>
    </w:p>
    <w:p w14:paraId="17AB5144" w14:textId="77777777" w:rsidR="00357381" w:rsidRPr="00511463" w:rsidRDefault="00357381" w:rsidP="00357381">
      <w:pPr>
        <w:rPr>
          <w:lang w:val="en-GB"/>
        </w:rPr>
      </w:pPr>
      <w:r w:rsidRPr="00511463">
        <w:rPr>
          <w:lang w:val="en-GB"/>
        </w:rPr>
        <w:t>Figure</w:t>
      </w:r>
      <w:r>
        <w:rPr>
          <w:lang w:val="en-GB"/>
        </w:rPr>
        <w:t xml:space="preserve"> 11</w:t>
      </w:r>
      <w:r w:rsidRPr="00511463">
        <w:rPr>
          <w:lang w:val="en-GB"/>
        </w:rPr>
        <w:t xml:space="preserve">: Relative abundance of each OTU through time for </w:t>
      </w:r>
      <w:proofErr w:type="gramStart"/>
      <w:r w:rsidRPr="00511463">
        <w:rPr>
          <w:lang w:val="en-GB"/>
        </w:rPr>
        <w:t>each individual</w:t>
      </w:r>
      <w:proofErr w:type="gramEnd"/>
      <w:r w:rsidRPr="00511463">
        <w:rPr>
          <w:lang w:val="en-GB"/>
        </w:rPr>
        <w:t xml:space="preserve">. There is no indication for alternative stable states, as even individuals E and H, that consumed AB there is the return to the same as before in relative abundance of all observed OTUs. </w:t>
      </w:r>
    </w:p>
    <w:p w14:paraId="518B513A" w14:textId="77777777" w:rsidR="00357381" w:rsidRDefault="00357381">
      <w:pPr>
        <w:rPr>
          <w:lang w:val="en-GB"/>
        </w:rPr>
      </w:pPr>
    </w:p>
    <w:p w14:paraId="5D1B6BA7" w14:textId="77777777" w:rsidR="001619E1" w:rsidRDefault="001619E1">
      <w:pPr>
        <w:rPr>
          <w:lang w:val="en-GB"/>
        </w:rPr>
      </w:pPr>
    </w:p>
    <w:p w14:paraId="2D62B1E5" w14:textId="77777777" w:rsidR="001619E1" w:rsidRPr="00511463" w:rsidRDefault="001619E1" w:rsidP="001619E1">
      <w:pPr>
        <w:rPr>
          <w:rFonts w:cs="Times New Roman"/>
          <w:u w:val="single"/>
          <w:lang w:val="en-GB"/>
        </w:rPr>
      </w:pPr>
      <w:r w:rsidRPr="00511463">
        <w:rPr>
          <w:rFonts w:cs="Times New Roman"/>
          <w:u w:val="single"/>
          <w:lang w:val="en-GB"/>
        </w:rPr>
        <w:t>Hypothesis 2: Gut sporobiota and microbiota will change during the extreme event in most volunteers.</w:t>
      </w:r>
    </w:p>
    <w:p w14:paraId="3E4F636D" w14:textId="77777777" w:rsidR="001619E1" w:rsidRPr="00511463" w:rsidRDefault="001619E1" w:rsidP="001619E1">
      <w:pPr>
        <w:rPr>
          <w:rFonts w:cs="Times New Roman"/>
          <w:lang w:val="en-GB"/>
        </w:rPr>
      </w:pPr>
      <w:r w:rsidRPr="00511463">
        <w:rPr>
          <w:rFonts w:cs="Times New Roman"/>
          <w:lang w:val="en-GB"/>
        </w:rPr>
        <w:t xml:space="preserve">Goals: </w:t>
      </w:r>
    </w:p>
    <w:p w14:paraId="06A62026" w14:textId="77777777" w:rsidR="001619E1" w:rsidRPr="00511463" w:rsidRDefault="001619E1" w:rsidP="001619E1">
      <w:pPr>
        <w:rPr>
          <w:rFonts w:cs="Times New Roman"/>
          <w:color w:val="FF0000"/>
          <w:lang w:val="en-GB"/>
        </w:rPr>
      </w:pPr>
      <w:r w:rsidRPr="00511463">
        <w:rPr>
          <w:rFonts w:cs="Times New Roman"/>
          <w:color w:val="FF0000"/>
          <w:lang w:val="en-GB"/>
        </w:rPr>
        <w:lastRenderedPageBreak/>
        <w:t>what will be the distance between the points of samples from regular monitoring and samples from extreme events</w:t>
      </w:r>
    </w:p>
    <w:p w14:paraId="2E2BF339" w14:textId="77777777" w:rsidR="001619E1" w:rsidRPr="00511463" w:rsidRDefault="001619E1" w:rsidP="001619E1">
      <w:pPr>
        <w:rPr>
          <w:rFonts w:cs="Times New Roman"/>
          <w:color w:val="FF0000"/>
          <w:lang w:val="en-GB"/>
        </w:rPr>
      </w:pPr>
      <w:r w:rsidRPr="00511463">
        <w:rPr>
          <w:rFonts w:cs="Times New Roman"/>
          <w:color w:val="FF0000"/>
          <w:lang w:val="en-GB"/>
        </w:rPr>
        <w:t xml:space="preserve">CHECK for correlations in changes between alpha and travel and alpha and AB consumption! </w:t>
      </w:r>
    </w:p>
    <w:p w14:paraId="671EABFE" w14:textId="77777777" w:rsidR="001619E1" w:rsidRPr="00511463" w:rsidRDefault="001619E1" w:rsidP="001619E1">
      <w:pPr>
        <w:rPr>
          <w:rFonts w:cs="Times New Roman"/>
          <w:lang w:val="en-GB"/>
        </w:rPr>
      </w:pPr>
      <w:r w:rsidRPr="00511463">
        <w:rPr>
          <w:rFonts w:cs="Times New Roman"/>
          <w:lang w:val="en-GB"/>
        </w:rPr>
        <w:t xml:space="preserve">Although we followed a large number of metadata at each time point of sampling, our study is too small (in terms of number of same changes in the whole study) and also changes were to sporadic by individual and between individuals so could not be (with exception of antibiotic consumption) statistically significant linked to changes in the alpha diversity of individuals through time. </w:t>
      </w:r>
    </w:p>
    <w:p w14:paraId="48C7A070" w14:textId="1D3C8C89" w:rsidR="001619E1" w:rsidRDefault="00A56AE2">
      <w:pPr>
        <w:rPr>
          <w:lang w:val="en-GB"/>
        </w:rPr>
      </w:pPr>
      <w:r>
        <w:rPr>
          <w:lang w:val="en-GB"/>
        </w:rPr>
        <w:t xml:space="preserve">ARGs </w:t>
      </w:r>
    </w:p>
    <w:p w14:paraId="1D07A418" w14:textId="77777777" w:rsidR="00A56AE2" w:rsidRPr="00511463" w:rsidRDefault="00A56AE2" w:rsidP="00A56AE2">
      <w:pPr>
        <w:rPr>
          <w:rFonts w:cs="Times New Roman"/>
          <w:lang w:val="en-GB"/>
        </w:rPr>
      </w:pPr>
      <w:r w:rsidRPr="00511463">
        <w:rPr>
          <w:rFonts w:cs="Times New Roman"/>
          <w:lang w:val="en-GB"/>
        </w:rPr>
        <w:t xml:space="preserve">We checked for inconsistencies between these two programs, we looked how many genes were found by one program and not the other, if they found the same gene on the same contigs and what were the discrepancies. We filtered results from </w:t>
      </w:r>
      <w:proofErr w:type="spellStart"/>
      <w:r w:rsidRPr="00511463">
        <w:rPr>
          <w:rFonts w:cs="Times New Roman"/>
          <w:lang w:val="en-GB"/>
        </w:rPr>
        <w:t>deepARG</w:t>
      </w:r>
      <w:proofErr w:type="spellEnd"/>
      <w:r w:rsidRPr="00511463">
        <w:rPr>
          <w:rFonts w:cs="Times New Roman"/>
          <w:lang w:val="en-GB"/>
        </w:rPr>
        <w:t xml:space="preserve"> so that only 90% identity and higher remained. </w:t>
      </w:r>
      <w:proofErr w:type="spellStart"/>
      <w:r>
        <w:rPr>
          <w:rFonts w:cs="Times New Roman"/>
          <w:lang w:val="en-GB"/>
        </w:rPr>
        <w:t>d</w:t>
      </w:r>
      <w:r w:rsidRPr="00511463">
        <w:rPr>
          <w:rFonts w:cs="Times New Roman"/>
          <w:lang w:val="en-GB"/>
        </w:rPr>
        <w:t>eepARG</w:t>
      </w:r>
      <w:proofErr w:type="spellEnd"/>
      <w:r w:rsidRPr="00511463">
        <w:rPr>
          <w:rFonts w:cs="Times New Roman"/>
          <w:lang w:val="en-GB"/>
        </w:rPr>
        <w:t xml:space="preserve"> is known to be worse at predicting ARGs with low number of examples in the learning database. </w:t>
      </w:r>
    </w:p>
    <w:p w14:paraId="4F3DCB68" w14:textId="77777777" w:rsidR="001036C3" w:rsidRPr="00511463" w:rsidRDefault="001036C3" w:rsidP="001036C3">
      <w:pPr>
        <w:rPr>
          <w:rFonts w:cs="Times New Roman"/>
          <w:lang w:val="en-GB"/>
        </w:rPr>
      </w:pPr>
      <w:r>
        <w:rPr>
          <w:lang w:val="en-GB"/>
        </w:rPr>
        <w:t xml:space="preserve">ARG hypothesis testing </w:t>
      </w:r>
      <w:r w:rsidRPr="00511463">
        <w:rPr>
          <w:rFonts w:cs="Times New Roman"/>
          <w:lang w:val="en-GB"/>
        </w:rPr>
        <w:t xml:space="preserve">Our hypothesis states that when microbial diversity will be reduced, there will be an increase in the presence of antimicrobial resistance genes. Reduced microbial diversity simplifies the ecosystem, removing barriers to the proliferation and genetic exchange of resistant bacteria, while at the same time creating new ecological niches for resistant bacteria left behind to thrive in. </w:t>
      </w:r>
    </w:p>
    <w:p w14:paraId="10B13631" w14:textId="77777777" w:rsidR="001036C3" w:rsidRPr="00511463" w:rsidRDefault="001036C3" w:rsidP="001036C3">
      <w:pPr>
        <w:rPr>
          <w:rFonts w:cs="Times New Roman"/>
          <w:lang w:val="en-GB"/>
        </w:rPr>
      </w:pPr>
      <w:r w:rsidRPr="00511463">
        <w:rPr>
          <w:rFonts w:cs="Times New Roman"/>
          <w:lang w:val="en-GB"/>
        </w:rPr>
        <w:t xml:space="preserve">This hypothesis can be tested in different ways as out dataset is longitudinal but also includes multiple individuals (we have a population, although small). </w:t>
      </w:r>
    </w:p>
    <w:p w14:paraId="4062A647" w14:textId="77777777" w:rsidR="00E97F63" w:rsidRDefault="00E97F63" w:rsidP="00E97F63">
      <w:pPr>
        <w:rPr>
          <w:rFonts w:cs="Times New Roman"/>
          <w:lang w:val="en-GB"/>
        </w:rPr>
      </w:pPr>
      <w:r>
        <w:rPr>
          <w:rFonts w:cs="Times New Roman"/>
          <w:lang w:val="en-GB"/>
        </w:rPr>
        <w:t xml:space="preserve">There is no correlation between either richness or Shannon’s diversity index (based on </w:t>
      </w:r>
      <w:proofErr w:type="spellStart"/>
      <w:r>
        <w:rPr>
          <w:rFonts w:cs="Times New Roman"/>
          <w:lang w:val="en-GB"/>
        </w:rPr>
        <w:t>SGBs</w:t>
      </w:r>
      <w:proofErr w:type="spellEnd"/>
      <w:r>
        <w:rPr>
          <w:rFonts w:cs="Times New Roman"/>
          <w:lang w:val="en-GB"/>
        </w:rPr>
        <w:t xml:space="preserve"> or OTUs) to the number of unique ARGs or to the number of reads mapped (</w:t>
      </w:r>
      <w:proofErr w:type="spellStart"/>
      <w:r>
        <w:rPr>
          <w:rFonts w:cs="Times New Roman"/>
          <w:lang w:val="en-GB"/>
        </w:rPr>
        <w:t>TPM</w:t>
      </w:r>
      <w:proofErr w:type="spellEnd"/>
      <w:r>
        <w:rPr>
          <w:rFonts w:cs="Times New Roman"/>
          <w:lang w:val="en-GB"/>
        </w:rPr>
        <w:t xml:space="preserve">) to ARGs, this holds true whether we look at all ARGs together or if we separate them by the class of antibiotics towards which they have an effect. The correlations are driven by </w:t>
      </w:r>
      <w:proofErr w:type="gramStart"/>
      <w:r>
        <w:rPr>
          <w:rFonts w:cs="Times New Roman"/>
          <w:lang w:val="en-GB"/>
        </w:rPr>
        <w:t>individuals</w:t>
      </w:r>
      <w:proofErr w:type="gramEnd"/>
      <w:r>
        <w:rPr>
          <w:rFonts w:cs="Times New Roman"/>
          <w:lang w:val="en-GB"/>
        </w:rPr>
        <w:t xml:space="preserve"> higher diversity which drives higher diversity of ARGs, while within an individual a reduced or increased diversity did not influence the diversity of ARGs (Supplementary Figure 7, 8). </w:t>
      </w:r>
    </w:p>
    <w:p w14:paraId="41E7B0D7" w14:textId="77777777" w:rsidR="00ED350F" w:rsidRDefault="00ED350F" w:rsidP="00ED350F">
      <w:pPr>
        <w:rPr>
          <w:rFonts w:cs="Times New Roman"/>
          <w:lang w:val="en-GB"/>
        </w:rPr>
      </w:pPr>
    </w:p>
    <w:p w14:paraId="7077EFF6" w14:textId="77777777" w:rsidR="00ED350F" w:rsidRPr="00511463" w:rsidRDefault="00ED350F" w:rsidP="00ED350F">
      <w:pPr>
        <w:rPr>
          <w:lang w:val="en-GB"/>
        </w:rPr>
      </w:pPr>
      <w:r w:rsidRPr="00511463">
        <w:rPr>
          <w:lang w:val="en-GB"/>
        </w:rPr>
        <w:t>Stability of ARGs over time</w:t>
      </w:r>
    </w:p>
    <w:p w14:paraId="443D91A0" w14:textId="77777777" w:rsidR="00ED350F" w:rsidRPr="00511463" w:rsidRDefault="00ED350F" w:rsidP="00ED350F">
      <w:pPr>
        <w:rPr>
          <w:lang w:val="en-GB"/>
        </w:rPr>
      </w:pPr>
      <w:r w:rsidRPr="00511463">
        <w:rPr>
          <w:lang w:val="en-GB"/>
        </w:rPr>
        <w:t xml:space="preserve">Stability can be understood in many ways (see Chapter: A brain dump on stability). Here we have decided to investigate persistence of ARGs within an individual through time coupled with their occupancy (relative abundance). We are aware of the limitation of sequencing as an imperfect method that does not enable to say for sure that something is truly missing or just so rare that we have missed it with our depth of sequencing. But for the reason being we will say that our sequencing was as good as possible, we will not say that something is gone missing but is under the level of detection. A third of </w:t>
      </w:r>
      <w:r w:rsidRPr="00511463">
        <w:rPr>
          <w:lang w:val="en-GB"/>
        </w:rPr>
        <w:lastRenderedPageBreak/>
        <w:t xml:space="preserve">ARGs have been detected at all time points (28.6 %). We were unable to detect any loss or gain of a new ARG within an individual, even in individuals that had perturbations (AB or travel). </w:t>
      </w:r>
    </w:p>
    <w:p w14:paraId="02128F14" w14:textId="7978AE5E" w:rsidR="00A56AE2" w:rsidRPr="006604B2" w:rsidRDefault="00A56AE2">
      <w:pPr>
        <w:rPr>
          <w:lang w:val="en-GB"/>
        </w:rPr>
      </w:pPr>
    </w:p>
    <w:sectPr w:rsidR="00A56AE2" w:rsidRPr="006604B2" w:rsidSect="009B30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35432"/>
    <w:multiLevelType w:val="multilevel"/>
    <w:tmpl w:val="1ADAA6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8247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8E"/>
    <w:rsid w:val="00021B54"/>
    <w:rsid w:val="001036C3"/>
    <w:rsid w:val="001619E1"/>
    <w:rsid w:val="00357381"/>
    <w:rsid w:val="003D561E"/>
    <w:rsid w:val="004E5802"/>
    <w:rsid w:val="004F09A1"/>
    <w:rsid w:val="005975BD"/>
    <w:rsid w:val="005B18B4"/>
    <w:rsid w:val="00646031"/>
    <w:rsid w:val="006604B2"/>
    <w:rsid w:val="008253C5"/>
    <w:rsid w:val="00951A8E"/>
    <w:rsid w:val="00995C41"/>
    <w:rsid w:val="009B30B2"/>
    <w:rsid w:val="00A04AC1"/>
    <w:rsid w:val="00A56AE2"/>
    <w:rsid w:val="00CE6D97"/>
    <w:rsid w:val="00DA4F9A"/>
    <w:rsid w:val="00E97F63"/>
    <w:rsid w:val="00ED350F"/>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D4A2"/>
  <w15:chartTrackingRefBased/>
  <w15:docId w15:val="{9C0CFB32-F518-4B7D-A036-712E6A905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A8E"/>
    <w:pPr>
      <w:spacing w:line="360" w:lineRule="auto"/>
      <w:jc w:val="both"/>
    </w:pPr>
    <w:rPr>
      <w:rFonts w:ascii="Times New Roman" w:hAnsi="Times New Roman"/>
      <w:kern w:val="0"/>
      <w14:ligatures w14:val="none"/>
    </w:rPr>
  </w:style>
  <w:style w:type="paragraph" w:styleId="Heading1">
    <w:name w:val="heading 1"/>
    <w:basedOn w:val="Normal"/>
    <w:next w:val="Normal"/>
    <w:link w:val="Heading1Char"/>
    <w:uiPriority w:val="9"/>
    <w:qFormat/>
    <w:rsid w:val="00951A8E"/>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51A8E"/>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51A8E"/>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51A8E"/>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51A8E"/>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51A8E"/>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51A8E"/>
    <w:pPr>
      <w:keepNext/>
      <w:keepLines/>
      <w:spacing w:before="40" w:after="0" w:line="259"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51A8E"/>
    <w:pPr>
      <w:keepNext/>
      <w:keepLines/>
      <w:spacing w:after="0" w:line="259"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51A8E"/>
    <w:pPr>
      <w:keepNext/>
      <w:keepLines/>
      <w:spacing w:after="0" w:line="259"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A8E"/>
    <w:rPr>
      <w:rFonts w:eastAsiaTheme="majorEastAsia" w:cstheme="majorBidi"/>
      <w:color w:val="272727" w:themeColor="text1" w:themeTint="D8"/>
    </w:rPr>
  </w:style>
  <w:style w:type="paragraph" w:styleId="Title">
    <w:name w:val="Title"/>
    <w:basedOn w:val="Normal"/>
    <w:next w:val="Normal"/>
    <w:link w:val="TitleChar"/>
    <w:uiPriority w:val="10"/>
    <w:qFormat/>
    <w:rsid w:val="00951A8E"/>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51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8E"/>
    <w:pPr>
      <w:numPr>
        <w:ilvl w:val="1"/>
      </w:numPr>
      <w:spacing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51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A8E"/>
    <w:pPr>
      <w:spacing w:before="160" w:line="259" w:lineRule="auto"/>
      <w:jc w:val="center"/>
    </w:pPr>
    <w:rPr>
      <w:rFonts w:ascii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951A8E"/>
    <w:rPr>
      <w:i/>
      <w:iCs/>
      <w:color w:val="404040" w:themeColor="text1" w:themeTint="BF"/>
    </w:rPr>
  </w:style>
  <w:style w:type="paragraph" w:styleId="ListParagraph">
    <w:name w:val="List Paragraph"/>
    <w:basedOn w:val="Normal"/>
    <w:uiPriority w:val="34"/>
    <w:qFormat/>
    <w:rsid w:val="00951A8E"/>
    <w:pPr>
      <w:spacing w:line="259" w:lineRule="auto"/>
      <w:ind w:left="720"/>
      <w:contextualSpacing/>
      <w:jc w:val="left"/>
    </w:pPr>
    <w:rPr>
      <w:rFonts w:asciiTheme="minorHAnsi" w:hAnsiTheme="minorHAnsi"/>
      <w:kern w:val="2"/>
      <w14:ligatures w14:val="standardContextual"/>
    </w:rPr>
  </w:style>
  <w:style w:type="character" w:styleId="IntenseEmphasis">
    <w:name w:val="Intense Emphasis"/>
    <w:basedOn w:val="DefaultParagraphFont"/>
    <w:uiPriority w:val="21"/>
    <w:qFormat/>
    <w:rsid w:val="00951A8E"/>
    <w:rPr>
      <w:i/>
      <w:iCs/>
      <w:color w:val="2F5496" w:themeColor="accent1" w:themeShade="BF"/>
    </w:rPr>
  </w:style>
  <w:style w:type="paragraph" w:styleId="IntenseQuote">
    <w:name w:val="Intense Quote"/>
    <w:basedOn w:val="Normal"/>
    <w:next w:val="Normal"/>
    <w:link w:val="IntenseQuoteChar"/>
    <w:uiPriority w:val="30"/>
    <w:qFormat/>
    <w:rsid w:val="00951A8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51A8E"/>
    <w:rPr>
      <w:i/>
      <w:iCs/>
      <w:color w:val="2F5496" w:themeColor="accent1" w:themeShade="BF"/>
    </w:rPr>
  </w:style>
  <w:style w:type="character" w:styleId="IntenseReference">
    <w:name w:val="Intense Reference"/>
    <w:basedOn w:val="DefaultParagraphFont"/>
    <w:uiPriority w:val="32"/>
    <w:qFormat/>
    <w:rsid w:val="00951A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4464</Words>
  <Characters>25448</Characters>
  <Application>Microsoft Office Word</Application>
  <DocSecurity>0</DocSecurity>
  <Lines>212</Lines>
  <Paragraphs>59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11</cp:revision>
  <dcterms:created xsi:type="dcterms:W3CDTF">2025-09-10T07:07:00Z</dcterms:created>
  <dcterms:modified xsi:type="dcterms:W3CDTF">2025-10-13T11:18:00Z</dcterms:modified>
</cp:coreProperties>
</file>