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298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2" w:after="0" w:line="352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2F6690"/>
                <w:w w:val="101"/>
                <w:sz w:val="28"/>
                <w:szCs w:val="28"/>
              </w:rPr>
              <w:t xml:space="preserve">Camille MARTIN</w:t>
            </w:r>
          </w:p>
          <w:p>
            <w:pPr>
              <w:widowControl/>
              <w:spacing w:before="122" w:after="0" w:line="26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7"/>
                <w:sz w:val="16"/>
                <w:szCs w:val="16"/>
              </w:rPr>
              <w:t xml:space="preserve">06 12 34 56 78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7"/>
                <w:sz w:val="16"/>
                <w:szCs w:val="16"/>
              </w:rPr>
              <w:t xml:space="preserve">camille.martin@exemple.fr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7"/>
                <w:sz w:val="16"/>
                <w:szCs w:val="16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7" w:after="0" w:line="295" w:lineRule="exact"/>
              <w:jc w:val="center"/>
            </w:pPr>
            <w:r>
              <w:rPr>
                <w:rFonts w:ascii="Arial" w:hAnsi="Arial" w:eastAsia="Arial" w:cs="Arial"/>
                <w:color w:val="2F6690"/>
                <w:spacing w:val="3"/>
                <w:w w:val="99"/>
                <w:sz w:val="26"/>
                <w:szCs w:val="26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08" w:lineRule="exact"/>
              <w:ind w:left="204" w:right="30"/>
            </w:pPr>
            <w:r>
              <w:rPr>
                <w:rFonts w:ascii="Arial" w:hAnsi="Arial" w:eastAsia="Arial" w:cs="Arial"/>
                <w:i/>
                <w:iCs/>
                <w:color w:val="1C2430"/>
                <w:w w:val="99"/>
                <w:sz w:val="15"/>
                <w:szCs w:val="15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pStyle w:val="Titre1"/>
        <w:keepNext/>
        <w:widowControl/>
        <w:pBdr>
          <w:bottom w:val="single" w:sz="5" w:space="2" w:color="B9C4D2"/>
        </w:pBdr>
        <w:spacing w:before="29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COMPÉTENCES PROFESSIONNELLES</w:t>
      </w:r>
    </w:p>
    <w:p>
      <w:pPr>
        <w:widowControl/>
        <w:spacing w:before="76" w:after="0" w:line="270" w:lineRule="exact"/>
        <w:ind w:right="-150"/>
      </w:pP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Administration du personnel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Gestion des contrats, CDD et avenants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Suivi des absences et congés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</w:p>
    <w:p>
      <w:pPr>
        <w:widowControl/>
        <w:spacing w:before="60" w:after="0" w:line="270" w:lineRule="exact"/>
        <w:ind w:right="-150"/>
      </w:pP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Recrutement et gestion des candidatures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Gestion des dossiers collaborateurs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Suivi des variables de paie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</w:p>
    <w:p>
      <w:pPr>
        <w:widowControl/>
        <w:spacing w:before="60" w:after="0" w:line="270" w:lineRule="exact"/>
        <w:ind w:right="-150"/>
      </w:pP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Tableaux de bord et reporting RH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Formation et développement des compétences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Rédaction de documents administratifs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</w:p>
    <w:p>
      <w:pPr>
        <w:widowControl/>
        <w:spacing w:before="60" w:after="0" w:line="270" w:lineRule="exact"/>
        <w:ind w:right="-150"/>
      </w:pP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Application des procédures RH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Accompagnement des collaborateurs et managers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</w:p>
    <w:p>
      <w:pPr>
        <w:pStyle w:val="Titre1"/>
        <w:keepNext/>
        <w:widowControl/>
        <w:pBdr>
          <w:bottom w:val="single" w:sz="5" w:space="2" w:color="B9C4D2"/>
        </w:pBdr>
        <w:spacing w:before="23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COMPÉTENCES COMPORTEMENTALES</w:t>
      </w:r>
    </w:p>
    <w:p>
      <w:pPr>
        <w:widowControl/>
        <w:spacing w:before="46" w:after="0" w:line="330" w:lineRule="exact"/>
        <w:ind w:right="-150"/>
      </w:pP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Rigueur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Sens de l’écoute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Autonomie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</w:p>
    <w:p>
      <w:pPr>
        <w:pStyle w:val="Titre1"/>
        <w:keepNext/>
        <w:widowControl/>
        <w:pBdr>
          <w:bottom w:val="single" w:sz="5" w:space="2" w:color="B9C4D2"/>
        </w:pBdr>
        <w:spacing w:before="20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EXPÉRIENCE PROFESSIONNELLE</w:t>
      </w:r>
    </w:p>
    <w:p>
      <w:pPr>
        <w:widowControl/>
        <w:tabs>
          <w:tab w:val="right" w:leader="none" w:pos="11002"/>
        </w:tabs>
        <w:spacing w:before="76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Congé sabbatique – Projet personnel et mobilité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Pause professionnelle volontaire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2024 - 2026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Chargée de formation et développement RH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Allianz France,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La Défense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2023 - 2024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Élaboration et suivi du planning des actions de formation.</w:t>
      </w:r>
    </w:p>
    <w:p>
      <w:pPr>
        <w:widowControl/>
        <w:spacing w:before="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Gestion d’un portefeuille de formations transverses et métiers.</w:t>
      </w:r>
    </w:p>
    <w:p>
      <w:pPr>
        <w:widowControl/>
        <w:spacing w:before="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Organisation et suivi des actions de formation avec les organismes et partenaires.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Chargée de formation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La Poste Immobilier,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Paris 14e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2022 - 2023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Recensement et consolidation des besoins de formation.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Responsable planning RH Grands Comptes et Prestation Prestige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Paris 9e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2019 - 2022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Gestion et planification d’un portefeuille de collaborateurs.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Responsable de site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Montrouge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2019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Management et organisation d’une équipe.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Hôtesse d’accueil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Montrouge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2017 - 2019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Accueil, orientation et information.</w:t>
      </w:r>
    </w:p>
    <w:p>
      <w:pPr>
        <w:pStyle w:val="Titre1"/>
        <w:keepNext/>
        <w:widowControl/>
        <w:pBdr>
          <w:bottom w:val="single" w:sz="5" w:space="2" w:color="B9C4D2"/>
        </w:pBdr>
        <w:spacing w:before="17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FORMATIONS</w:t>
      </w:r>
    </w:p>
    <w:p>
      <w:pPr>
        <w:widowControl/>
        <w:spacing w:before="76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Master 2 - Directrice des ressources humaines - ISCG - 2024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Master 1 - Responsable ressources humaines - ESGRH - 2023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Échange - Échange Erasmus+ – 6 mois - Universidad de Cádiz - 2016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Licence - Licence Langues Étrangères Appliquées - Université Paris-Est Marne-la-Vallée - 2016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Baccalauréat - Baccalauréat scientifique, spécialité SVT - Lycée Gustave Eiffel - 2013</w:t>
      </w:r>
    </w:p>
    <w:p>
      <w:pPr>
        <w:pStyle w:val="Titre1"/>
        <w:keepNext/>
        <w:widowControl/>
        <w:pBdr>
          <w:bottom w:val="single" w:sz="5" w:space="2" w:color="B9C4D2"/>
        </w:pBdr>
        <w:spacing w:before="17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LOGICIELS ET OUTILS</w:t>
      </w:r>
    </w:p>
    <w:p>
      <w:pPr>
        <w:widowControl/>
        <w:spacing w:before="76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Word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Excel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PowerPoint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Outlook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SuccessFactors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SAGE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Outils collaboratifs</w:t>
      </w:r>
    </w:p>
    <w:p>
      <w:pPr>
        <w:pStyle w:val="Titre1"/>
        <w:keepNext/>
        <w:widowControl/>
        <w:pBdr>
          <w:bottom w:val="single" w:sz="5" w:space="2" w:color="B9C4D2"/>
        </w:pBdr>
        <w:spacing w:before="17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CENTRES D’INTÉRÊT</w:t>
      </w:r>
    </w:p>
    <w:p>
      <w:pPr>
        <w:widowControl/>
        <w:spacing w:before="76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Sport : judo (ceinture orange), Salsa (niveau intermédiaire), Crossfit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Bénévolat : organisation d’événements sportifs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Voyages culinaires : Colombie, Corée du Sud, Islande, Mexique, Turquie</w:t>
      </w:r>
    </w:p>
    <w:p>
      <w:pPr>
        <w:pStyle w:val="Titre1"/>
        <w:keepNext/>
        <w:widowControl/>
        <w:pBdr>
          <w:bottom w:val="single" w:sz="5" w:space="2" w:color="B9C4D2"/>
        </w:pBdr>
        <w:spacing w:before="17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LANGUES</w:t>
      </w:r>
    </w:p>
    <w:p>
      <w:pPr>
        <w:widowControl/>
        <w:spacing w:before="76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Espagnol - niveau Langue maternelle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Anglais - niveau B2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Allemand - niveau A2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Japonais - niveau A1</w:t>
      </w:r>
    </w:p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1794986</wp:posOffset>
          </wp:positionV>
          <wp:extent cx="6984206" cy="38100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