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426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86" w:after="0" w:line="391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20262E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1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8" w:after="0" w:line="328" w:lineRule="exact"/>
              <w:jc w:val="center"/>
            </w:pPr>
            <w:r>
              <w:rPr>
                <w:rFonts w:ascii="Arial" w:hAnsi="Arial" w:eastAsia="Arial" w:cs="Arial"/>
                <w:color w:val="20262E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CBD3DC"/>
              </w:pBdr>
              <w:spacing w:before="0" w:after="0" w:line="231" w:lineRule="exact"/>
              <w:ind w:left="204" w:right="30"/>
            </w:pPr>
            <w:r>
              <w:rPr>
                <w:rFonts w:ascii="Arial" w:hAnsi="Arial" w:eastAsia="Arial" w:cs="Arial"/>
                <w:i/>
                <w:iCs/>
                <w:color w:val="1C2430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pStyle w:val="Titre1"/>
        <w:keepNext/>
        <w:widowControl/>
        <w:pBdr>
          <w:bottom w:val="single" w:sz="10" w:space="2" w:color="2F6690"/>
        </w:pBdr>
        <w:spacing w:before="26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COMPÉTENCES PROFESSIONNELLES</w:t>
      </w:r>
    </w:p>
    <w:p>
      <w:pPr>
        <w:widowControl/>
        <w:spacing w:before="75" w:after="0" w:line="254" w:lineRule="exact"/>
        <w:ind w:right="30"/>
      </w:pP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Administration du personnel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Gestion des contrats, CDD et avenants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Suivi des absences et congés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Recrutement et gestion des candidatures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Gestion des dossiers collaborateurs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Suivi des variables de paie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Tableaux de bord et reporting RH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Formation et développement des compétences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Rédaction de documents administratifs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Application des procédures RH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Accompagnement des collaborateurs et managers</w:t>
      </w:r>
    </w:p>
    <w:p>
      <w:pPr>
        <w:pStyle w:val="Titre1"/>
        <w:keepNext/>
        <w:widowControl/>
        <w:pBdr>
          <w:bottom w:val="single" w:sz="10" w:space="2" w:color="2F6690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COMPÉTENCES COMPORTEMENTALES</w:t>
      </w:r>
    </w:p>
    <w:p>
      <w:pPr>
        <w:widowControl/>
        <w:spacing w:before="75" w:after="0" w:line="254" w:lineRule="exact"/>
        <w:ind w:right="-150"/>
      </w:pP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Rigueur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Sens de l’écoute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Autonomie</w:t>
      </w:r>
    </w:p>
    <w:p>
      <w:pPr>
        <w:pStyle w:val="Titre1"/>
        <w:keepNext/>
        <w:widowControl/>
        <w:pBdr>
          <w:bottom w:val="single" w:sz="10" w:space="2" w:color="2F6690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EXPÉRIENCE PROFESSIONNELLE</w:t>
      </w:r>
    </w:p>
    <w:p>
      <w:pPr>
        <w:widowControl/>
        <w:tabs>
          <w:tab w:val="right" w:leader="none" w:pos="11002"/>
        </w:tabs>
        <w:spacing w:before="75" w:after="0" w:line="254" w:lineRule="exact"/>
      </w:pPr>
      <w:r>
        <w:rPr>
          <w:rFonts w:ascii="Arial" w:hAnsi="Arial" w:eastAsia="Arial" w:cs="Arial"/>
          <w:b/>
          <w:bCs/>
          <w:color w:val="1C2430"/>
          <w:w w:val="102"/>
          <w:sz w:val="20"/>
          <w:szCs w:val="20"/>
        </w:rPr>
        <w:t xml:space="preserve">Congé sabbatique – Projet personnel et mobilité</w:t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 - Pause professionnelle volontaire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2024 - 2026</w:t>
      </w:r>
    </w:p>
    <w:p>
      <w:pPr>
        <w:widowControl/>
        <w:tabs>
          <w:tab w:val="right" w:leader="none" w:pos="11002"/>
        </w:tabs>
        <w:spacing w:before="45" w:after="0" w:line="254" w:lineRule="exact"/>
      </w:pPr>
      <w:r>
        <w:rPr>
          <w:rFonts w:ascii="Arial" w:hAnsi="Arial" w:eastAsia="Arial" w:cs="Arial"/>
          <w:b/>
          <w:bCs/>
          <w:color w:val="1C2430"/>
          <w:w w:val="102"/>
          <w:sz w:val="20"/>
          <w:szCs w:val="20"/>
        </w:rPr>
        <w:t xml:space="preserve">Chargée de formation et développement RH</w:t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 - Allianz France, </w:t>
      </w:r>
      <w:r>
        <w:rPr>
          <w:rFonts w:ascii="Arial" w:hAnsi="Arial" w:eastAsia="Arial" w:cs="Arial"/>
          <w:i/>
          <w:iCs/>
          <w:color w:val="1C2430"/>
          <w:w w:val="102"/>
          <w:sz w:val="20"/>
          <w:szCs w:val="20"/>
        </w:rPr>
        <w:t xml:space="preserve">La Défense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2023 - 2024</w:t>
      </w:r>
    </w:p>
    <w:p>
      <w:pPr>
        <w:widowControl/>
        <w:spacing w:before="30" w:after="0" w:line="254" w:lineRule="exact"/>
        <w:ind w:left="243" w:right="-150" w:hanging="180"/>
      </w:pPr>
      <w:r>
        <w:rPr>
          <w:rFonts w:ascii="Arial" w:hAnsi="Arial" w:eastAsia="Arial" w:cs="Arial"/>
          <w:color w:val="1C2430"/>
          <w:sz w:val="20"/>
          <w:szCs w:val="20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Élaboration et suivi du planning des actions de formation.</w:t>
      </w:r>
    </w:p>
    <w:p>
      <w:pPr>
        <w:widowControl/>
        <w:tabs>
          <w:tab w:val="right" w:leader="none" w:pos="11002"/>
        </w:tabs>
        <w:spacing w:before="45" w:after="0" w:line="254" w:lineRule="exact"/>
      </w:pPr>
      <w:r>
        <w:rPr>
          <w:rFonts w:ascii="Arial" w:hAnsi="Arial" w:eastAsia="Arial" w:cs="Arial"/>
          <w:b/>
          <w:bCs/>
          <w:color w:val="1C2430"/>
          <w:w w:val="102"/>
          <w:sz w:val="20"/>
          <w:szCs w:val="20"/>
        </w:rPr>
        <w:t xml:space="preserve">Chargée de formation</w:t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 - La Poste Immobilier, </w:t>
      </w:r>
      <w:r>
        <w:rPr>
          <w:rFonts w:ascii="Arial" w:hAnsi="Arial" w:eastAsia="Arial" w:cs="Arial"/>
          <w:i/>
          <w:iCs/>
          <w:color w:val="1C2430"/>
          <w:w w:val="102"/>
          <w:sz w:val="20"/>
          <w:szCs w:val="20"/>
        </w:rPr>
        <w:t xml:space="preserve">Paris 14e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2022 - 2023</w:t>
      </w:r>
    </w:p>
    <w:p>
      <w:pPr>
        <w:widowControl/>
        <w:spacing w:before="30" w:after="0" w:line="254" w:lineRule="exact"/>
        <w:ind w:left="243" w:right="-150" w:hanging="180"/>
      </w:pPr>
      <w:r>
        <w:rPr>
          <w:rFonts w:ascii="Arial" w:hAnsi="Arial" w:eastAsia="Arial" w:cs="Arial"/>
          <w:color w:val="1C2430"/>
          <w:sz w:val="20"/>
          <w:szCs w:val="20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Recensement et consolidation des besoins de formation.</w:t>
      </w:r>
    </w:p>
    <w:p>
      <w:pPr>
        <w:widowControl/>
        <w:tabs>
          <w:tab w:val="right" w:leader="none" w:pos="11002"/>
        </w:tabs>
        <w:spacing w:before="45" w:after="0" w:line="254" w:lineRule="exact"/>
      </w:pPr>
      <w:r>
        <w:rPr>
          <w:rFonts w:ascii="Arial" w:hAnsi="Arial" w:eastAsia="Arial" w:cs="Arial"/>
          <w:b/>
          <w:bCs/>
          <w:color w:val="1C2430"/>
          <w:w w:val="102"/>
          <w:sz w:val="20"/>
          <w:szCs w:val="20"/>
        </w:rPr>
        <w:t xml:space="preserve">Responsable planning RH Grands Comptes et Prestation Prestige</w:t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20"/>
          <w:szCs w:val="20"/>
        </w:rPr>
        <w:t xml:space="preserve">Paris 9e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2019 - 2022</w:t>
      </w:r>
    </w:p>
    <w:p>
      <w:pPr>
        <w:widowControl/>
        <w:spacing w:before="30" w:after="0" w:line="254" w:lineRule="exact"/>
        <w:ind w:left="243" w:right="-150" w:hanging="180"/>
      </w:pPr>
      <w:r>
        <w:rPr>
          <w:rFonts w:ascii="Arial" w:hAnsi="Arial" w:eastAsia="Arial" w:cs="Arial"/>
          <w:color w:val="1C2430"/>
          <w:sz w:val="20"/>
          <w:szCs w:val="20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Gestion et planification d’un portefeuille de collaborateurs.</w:t>
      </w:r>
    </w:p>
    <w:p>
      <w:pPr>
        <w:widowControl/>
        <w:tabs>
          <w:tab w:val="right" w:leader="none" w:pos="11002"/>
        </w:tabs>
        <w:spacing w:before="45" w:after="0" w:line="254" w:lineRule="exact"/>
      </w:pPr>
      <w:r>
        <w:rPr>
          <w:rFonts w:ascii="Arial" w:hAnsi="Arial" w:eastAsia="Arial" w:cs="Arial"/>
          <w:b/>
          <w:bCs/>
          <w:color w:val="1C2430"/>
          <w:w w:val="102"/>
          <w:sz w:val="20"/>
          <w:szCs w:val="20"/>
        </w:rPr>
        <w:t xml:space="preserve">Responsable de site</w:t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20"/>
          <w:szCs w:val="20"/>
        </w:rPr>
        <w:t xml:space="preserve">Montrouge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2019</w:t>
      </w:r>
    </w:p>
    <w:p>
      <w:pPr>
        <w:widowControl/>
        <w:spacing w:before="30" w:after="0" w:line="254" w:lineRule="exact"/>
        <w:ind w:left="243" w:right="-150" w:hanging="180"/>
      </w:pPr>
      <w:r>
        <w:rPr>
          <w:rFonts w:ascii="Arial" w:hAnsi="Arial" w:eastAsia="Arial" w:cs="Arial"/>
          <w:color w:val="1C2430"/>
          <w:sz w:val="20"/>
          <w:szCs w:val="20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Management et organisation d’une équipe.</w:t>
      </w:r>
    </w:p>
    <w:p>
      <w:pPr>
        <w:widowControl/>
        <w:tabs>
          <w:tab w:val="right" w:leader="none" w:pos="11002"/>
        </w:tabs>
        <w:spacing w:before="45" w:after="0" w:line="254" w:lineRule="exact"/>
      </w:pPr>
      <w:r>
        <w:rPr>
          <w:rFonts w:ascii="Arial" w:hAnsi="Arial" w:eastAsia="Arial" w:cs="Arial"/>
          <w:b/>
          <w:bCs/>
          <w:color w:val="1C2430"/>
          <w:w w:val="102"/>
          <w:sz w:val="20"/>
          <w:szCs w:val="20"/>
        </w:rPr>
        <w:t xml:space="preserve">Hôtesse d’accueil</w:t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20"/>
          <w:szCs w:val="20"/>
        </w:rPr>
        <w:t xml:space="preserve">Montrouge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2017 - 2019</w:t>
      </w:r>
    </w:p>
    <w:p>
      <w:pPr>
        <w:widowControl/>
        <w:spacing w:before="30" w:after="0" w:line="254" w:lineRule="exact"/>
        <w:ind w:left="243" w:right="-150" w:hanging="180"/>
      </w:pPr>
      <w:r>
        <w:rPr>
          <w:rFonts w:ascii="Arial" w:hAnsi="Arial" w:eastAsia="Arial" w:cs="Arial"/>
          <w:color w:val="1C2430"/>
          <w:sz w:val="20"/>
          <w:szCs w:val="20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Accueil, orientation et information.</w:t>
      </w:r>
    </w:p>
    <w:p>
      <w:pPr>
        <w:pStyle w:val="Titre1"/>
        <w:keepNext/>
        <w:widowControl/>
        <w:pBdr>
          <w:bottom w:val="single" w:sz="10" w:space="2" w:color="2F6690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FORMATIONS</w:t>
      </w:r>
    </w:p>
    <w:p>
      <w:pPr>
        <w:widowControl/>
        <w:spacing w:before="75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Master 2 - Directrice des ressources humaines - ISCG - 2024</w:t>
      </w:r>
    </w:p>
    <w:p>
      <w:pPr>
        <w:widowControl/>
        <w:spacing w:before="3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Master 1 - Responsable ressources humaines - ESGRH - 2023</w:t>
      </w:r>
    </w:p>
    <w:p>
      <w:pPr>
        <w:widowControl/>
        <w:spacing w:before="3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Échange - Échange Erasmus+ – 6 mois - Universidad de Cádiz - 2016</w:t>
      </w:r>
    </w:p>
    <w:p>
      <w:pPr>
        <w:widowControl/>
        <w:spacing w:before="3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Licence - Licence Langues Étrangères Appliquées - Université Paris-Est Marne-la-Vallée - 2016</w:t>
      </w:r>
    </w:p>
    <w:p>
      <w:pPr>
        <w:widowControl/>
        <w:spacing w:before="3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Baccalauréat - Baccalauréat scientifique, spécialité SVT - Lycée Gustave Eiffel - 2013</w:t>
      </w:r>
    </w:p>
    <w:p>
      <w:pPr>
        <w:pStyle w:val="Titre1"/>
        <w:keepNext/>
        <w:widowControl/>
        <w:pBdr>
          <w:bottom w:val="single" w:sz="10" w:space="2" w:color="2F6690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LOGICIELS ET OUTILS</w:t>
      </w:r>
    </w:p>
    <w:p>
      <w:pPr>
        <w:widowControl/>
        <w:spacing w:before="75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Word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Excel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PowerPoint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Outlook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SuccessFactors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SAGE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Outils collaboratifs</w:t>
      </w:r>
    </w:p>
    <w:p>
      <w:pPr>
        <w:pStyle w:val="Titre1"/>
        <w:keepNext/>
        <w:widowControl/>
        <w:pBdr>
          <w:bottom w:val="single" w:sz="10" w:space="2" w:color="2F6690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CENTRES D’INTÉRÊT</w:t>
      </w:r>
    </w:p>
    <w:p>
      <w:pPr>
        <w:widowControl/>
        <w:spacing w:before="75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Sport : judo (ceinture orange), Salsa (niveau intermédiaire), Crossfit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Bénévolat : organisation d’événements sportifs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Voyages culinaires : Colombie, Corée du Sud, Islande, Mexique, Turquie</w:t>
      </w:r>
    </w:p>
    <w:p>
      <w:pPr>
        <w:pStyle w:val="Titre1"/>
        <w:keepNext/>
        <w:widowControl/>
        <w:pBdr>
          <w:bottom w:val="single" w:sz="10" w:space="2" w:color="2F6690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LANGUES</w:t>
      </w:r>
    </w:p>
    <w:p>
      <w:pPr>
        <w:widowControl/>
        <w:spacing w:before="75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Espagnol - niveau Langue maternelle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Anglais - niveau B2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Allemand - niveau A2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Japonais - niveau A1</w:t>
      </w:r>
    </w:p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50" w:bottom="375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1875949</wp:posOffset>
          </wp:positionV>
          <wp:extent cx="6984206" cy="19050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1905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