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-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8"/>
        <w:gridCol w:w="5911"/>
      </w:tblGrid>
      <w:tr>
        <w:trPr>
          <w:trHeight w:val="1612" w:hRule="atLeast"/>
        </w:trPr>
        <w:tc>
          <w:tcPr>
            <w:tcW w:w="5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60" w:type="dxa"/>
            </w:tcMar>
          </w:tcPr>
          <w:p>
            <w:pPr>
              <w:widowControl/>
              <w:spacing w:before="86" w:after="0" w:line="259" w:lineRule="exact"/>
              <w:ind w:left="105" w:right="1145"/>
              <w:jc w:val="center"/>
            </w:pPr>
            <w:r>
              <w:drawing>
                <wp:anchor distT="0" distB="0" distL="0" distR="0" simplePos="0" relativeHeight="25165000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41840" cy="278844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41840" cy="278844"/>
                          </a:xfrm>
                          <a:prstGeom prst="roundRect">
                            <a:avLst>
                              <a:gd name="adj" fmla="val 40991"/>
                            </a:avLst>
                          </a:prstGeom>
                          <a:solidFill>
                            <a:srgbClr val="2F5597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w w:val="99"/>
                <w:sz w:val="21"/>
                <w:szCs w:val="21"/>
              </w:rPr>
              <w:t xml:space="preserve">Camille MARTIN</w:t>
            </w:r>
          </w:p>
          <w:p>
            <w:pPr>
              <w:widowControl/>
              <w:spacing w:before="430" w:after="0" w:line="228" w:lineRule="exact"/>
              <w:ind w:left="222" w:right="72"/>
            </w:pPr>
            <w:r>
              <w:drawing>
                <wp:anchor distT="0" distB="0" distL="0" distR="0" simplePos="0" relativeHeight="251650016" behindDoc="1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177522</wp:posOffset>
                  </wp:positionV>
                  <wp:extent cx="2994779" cy="632460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94779" cy="632460"/>
                          </a:xfrm>
                          <a:prstGeom prst="roundRect">
                            <a:avLst>
                              <a:gd name="adj" fmla="val 23494"/>
                            </a:avLst>
                          </a:prstGeom>
                          <a:noFill/>
                          <a:ln w="7620">
                            <a:solidFill>
                              <a:srgbClr val="2F5597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5"/>
                <w:szCs w:val="15"/>
              </w:rPr>
              <w:t xml:space="preserve">06 12 34 56 78</w:t>
            </w:r>
          </w:p>
          <w:p>
            <w:pPr>
              <w:widowControl/>
              <w:spacing w:before="0" w:after="0" w:line="228" w:lineRule="exact"/>
              <w:ind w:left="222" w:right="72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5"/>
                <w:szCs w:val="15"/>
              </w:rPr>
              <w:t xml:space="preserve">camille.martin@exemple.fr</w:t>
            </w:r>
          </w:p>
          <w:p>
            <w:pPr>
              <w:widowControl/>
              <w:spacing w:before="0" w:after="0" w:line="228" w:lineRule="exact"/>
              <w:ind w:left="222" w:right="72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5"/>
                <w:szCs w:val="15"/>
              </w:rPr>
              <w:t xml:space="preserve">Paris, 75012</w:t>
            </w:r>
          </w:p>
        </w:tc>
        <w:tc>
          <w:tcPr>
            <w:tcW w:w="59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90" w:after="0" w:line="229" w:lineRule="exact"/>
              <w:ind w:left="105" w:right="105"/>
              <w:jc w:val="center"/>
            </w:pP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753207" cy="259437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753207" cy="259437"/>
                          </a:xfrm>
                          <a:prstGeom prst="roundRect">
                            <a:avLst>
                              <a:gd name="adj" fmla="val 44057"/>
                            </a:avLst>
                          </a:prstGeom>
                          <a:solidFill>
                            <a:srgbClr val="2F5597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w w:val="102"/>
                <w:sz w:val="18"/>
                <w:szCs w:val="18"/>
              </w:rPr>
              <w:t xml:space="preserve">Chargée de formation</w:t>
            </w:r>
          </w:p>
          <w:p>
            <w:pPr>
              <w:widowControl/>
              <w:pBdr>
                <w:top w:val="single" w:sz="5" w:space="8" w:color="2F5597"/>
                <w:left w:val="single" w:sz="5" w:space="11" w:color="2F5597"/>
                <w:bottom w:val="single" w:sz="5" w:space="8" w:color="2F5597"/>
                <w:right w:val="single" w:sz="5" w:space="11" w:color="2F5597"/>
              </w:pBdr>
              <w:spacing w:before="259" w:after="0" w:line="190" w:lineRule="exact"/>
              <w:ind w:left="458" w:right="458"/>
              <w:jc w:val="center"/>
            </w:pPr>
            <w:r>
              <w:rPr>
                <w:rFonts w:ascii="Times New Roman" w:hAnsi="Times New Roman" w:eastAsia="Times New Roman" w:cs="Times New Roman"/>
                <w:color w:val="1C2430"/>
                <w:w w:val="102"/>
                <w:sz w:val="15"/>
                <w:szCs w:val="15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278" w:after="0" w:line="291" w:lineRule="exact"/>
        <w:ind w:left="48" w:right="-75"/>
        <w:jc w:val="center"/>
      </w:pPr>
      <w:r>
        <w:rPr>
          <w:rFonts w:ascii="Times New Roman" w:hAnsi="Times New Roman" w:eastAsia="Times New Roman" w:cs="Times New Roman"/>
          <w:b/>
          <w:bCs/>
          <w:color w:val="FFFFFF"/>
          <w:w w:val="102"/>
          <w:sz w:val="23"/>
          <w:szCs w:val="23"/>
        </w:rPr>
        <w:t xml:space="preserve">Compétences</w:t>
      </w:r>
    </w:p>
    <w:p>
      <w:pPr>
        <w:widowControl/>
        <w:spacing w:before="0" w:after="0" w:line="454" w:lineRule="exact"/>
        <w:rPr>
          <w:sz w:val="2"/>
          <w:szCs w:val="2"/>
        </w:rPr>
      </w:pPr>
    </w:p>
    <w:tbl>
      <w:tblPr>
        <w:tblW w:w="7396" w:type="dxa"/>
        <w:tblInd w:w="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9"/>
        <w:gridCol w:w="2116"/>
      </w:tblGrid>
      <w:tr>
        <w:trPr>
          <w:trHeight w:val="2642" w:hRule="atLeast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191" w:lineRule="exact"/>
              <w:ind w:right="-15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-140970</wp:posOffset>
                  </wp:positionH>
                  <wp:positionV relativeFrom="paragraph">
                    <wp:posOffset>-95548</wp:posOffset>
                  </wp:positionV>
                  <wp:extent cx="4330184" cy="1912858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30184" cy="1912858"/>
                          </a:xfrm>
                          <a:prstGeom prst="roundRect">
                            <a:avLst>
                              <a:gd name="adj" fmla="val 8963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-137160</wp:posOffset>
                  </wp:positionH>
                  <wp:positionV relativeFrom="paragraph">
                    <wp:posOffset>-91738</wp:posOffset>
                  </wp:positionV>
                  <wp:extent cx="4322564" cy="1905238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22564" cy="1905238"/>
                          </a:xfrm>
                          <a:prstGeom prst="roundRect">
                            <a:avLst>
                              <a:gd name="adj" fmla="val 8799"/>
                            </a:avLst>
                          </a:prstGeom>
                          <a:noFill/>
                          <a:ln w="7620">
                            <a:solidFill>
                              <a:srgbClr val="2F5597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F5597"/>
                <w:w w:val="103"/>
                <w:sz w:val="15"/>
                <w:szCs w:val="15"/>
              </w:rPr>
              <w:t xml:space="preserve">Compétences professionnelles</w:t>
            </w:r>
          </w:p>
          <w:p>
            <w:pPr>
              <w:widowControl/>
              <w:spacing w:before="5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Administration du personnel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Gestion des contrats, CDD et avenants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Suivi des absences et congés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Recrutement et gestion des candidatures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Gestion des dossiers collaborateurs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Suivi des variables de paie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Tableaux de bord et reporting RH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Formation et développement des compétences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Rédaction de documents administratifs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Application des procédures RH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Accompagnement des collaborateurs et managers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408" w:after="0" w:line="191" w:lineRule="exact"/>
              <w:ind w:right="-15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-140970</wp:posOffset>
                  </wp:positionH>
                  <wp:positionV relativeFrom="paragraph">
                    <wp:posOffset>163830</wp:posOffset>
                  </wp:positionV>
                  <wp:extent cx="3631763" cy="780336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31763" cy="780336"/>
                          </a:xfrm>
                          <a:prstGeom prst="roundRect">
                            <a:avLst>
                              <a:gd name="adj" fmla="val 21971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-137160</wp:posOffset>
                  </wp:positionH>
                  <wp:positionV relativeFrom="paragraph">
                    <wp:posOffset>167640</wp:posOffset>
                  </wp:positionV>
                  <wp:extent cx="3624143" cy="772716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624143" cy="772716"/>
                          </a:xfrm>
                          <a:prstGeom prst="roundRect">
                            <a:avLst>
                              <a:gd name="adj" fmla="val 21695"/>
                            </a:avLst>
                          </a:prstGeom>
                          <a:noFill/>
                          <a:ln w="7620">
                            <a:solidFill>
                              <a:srgbClr val="2F5597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F5597"/>
                <w:w w:val="103"/>
                <w:sz w:val="15"/>
                <w:szCs w:val="15"/>
              </w:rPr>
              <w:t xml:space="preserve">Compétences comportementales</w:t>
            </w:r>
          </w:p>
          <w:p>
            <w:pPr>
              <w:widowControl/>
              <w:spacing w:before="5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Rigueur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Sens de l’écoute</w:t>
            </w:r>
          </w:p>
          <w:p>
            <w:pPr>
              <w:widowControl/>
              <w:spacing w:before="15" w:after="0" w:line="208" w:lineRule="exact"/>
              <w:ind w:left="330" w:right="-150"/>
            </w:pPr>
            <w:r>
              <w:rPr>
                <w:rFonts w:ascii="Times New Roman" w:hAnsi="Times New Roman" w:eastAsia="Times New Roman" w:cs="Times New Roman"/>
                <w:color w:val="1C2430"/>
                <w:w w:val="98"/>
                <w:sz w:val="17"/>
                <w:szCs w:val="17"/>
              </w:rPr>
              <w:t xml:space="preserve">Autonomie</w:t>
            </w:r>
          </w:p>
        </w:tc>
      </w:tr>
    </w:tbl>
    <w:p>
      <w:pPr>
        <w:widowControl/>
        <w:spacing w:before="103" w:after="0" w:line="191" w:lineRule="exact"/>
        <w:ind w:left="1485" w:right="1880"/>
      </w:pPr>
      <w:r>
        <w:drawing>
          <wp:anchor distT="0" distB="0" distL="0" distR="0" simplePos="0" relativeHeight="251650128" behindDoc="1" locked="0" layoutInCell="1" allowOverlap="1">
            <wp:simplePos x="0" y="0"/>
            <wp:positionH relativeFrom="column">
              <wp:posOffset>802124</wp:posOffset>
            </wp:positionH>
            <wp:positionV relativeFrom="paragraph">
              <wp:posOffset>-29885</wp:posOffset>
            </wp:positionV>
            <wp:extent cx="4609505" cy="1205032"/>
            <wp:effectExtent l="0" t="0" r="0" b="0"/>
            <wp:wrapNone/>
            <wp:docPr id="108" name="Decor 108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9505" cy="1205032"/>
                    </a:xfrm>
                    <a:prstGeom prst="roundRect">
                      <a:avLst>
                        <a:gd name="adj" fmla="val 14228"/>
                      </a:avLst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0144" behindDoc="1" locked="0" layoutInCell="1" allowOverlap="1">
            <wp:simplePos x="0" y="0"/>
            <wp:positionH relativeFrom="column">
              <wp:posOffset>805934</wp:posOffset>
            </wp:positionH>
            <wp:positionV relativeFrom="paragraph">
              <wp:posOffset>-26075</wp:posOffset>
            </wp:positionV>
            <wp:extent cx="4601885" cy="1197412"/>
            <wp:effectExtent l="0" t="0" r="0" b="0"/>
            <wp:wrapNone/>
            <wp:docPr id="109" name="Decor 109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01885" cy="1197412"/>
                    </a:xfrm>
                    <a:prstGeom prst="roundRect">
                      <a:avLst>
                        <a:gd name="adj" fmla="val 14000"/>
                      </a:avLst>
                    </a:prstGeom>
                    <a:noFill/>
                    <a:ln w="7620">
                      <a:solidFill>
                        <a:srgbClr val="2F5597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2F5597"/>
          <w:w w:val="103"/>
          <w:sz w:val="15"/>
          <w:szCs w:val="15"/>
        </w:rPr>
        <w:t xml:space="preserve">Savoirs</w:t>
      </w:r>
    </w:p>
    <w:p>
      <w:pPr>
        <w:widowControl/>
        <w:spacing w:before="55" w:after="0" w:line="208" w:lineRule="exact"/>
        <w:ind w:left="1815" w:right="188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Langages de programmation</w:t>
      </w:r>
    </w:p>
    <w:p>
      <w:pPr>
        <w:widowControl/>
        <w:spacing w:before="15" w:after="0" w:line="208" w:lineRule="exact"/>
        <w:ind w:left="1815" w:right="188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Bases de données</w:t>
      </w:r>
    </w:p>
    <w:p>
      <w:pPr>
        <w:widowControl/>
        <w:spacing w:before="15" w:after="0" w:line="208" w:lineRule="exact"/>
        <w:ind w:left="1815" w:right="188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Méthodes agiles</w:t>
      </w:r>
    </w:p>
    <w:p>
      <w:pPr>
        <w:widowControl/>
        <w:spacing w:before="15" w:after="0" w:line="208" w:lineRule="exact"/>
        <w:ind w:left="1815" w:right="188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Procédés de soudage</w:t>
      </w:r>
    </w:p>
    <w:p>
      <w:pPr>
        <w:widowControl/>
        <w:spacing w:before="15" w:after="0" w:line="208" w:lineRule="exact"/>
        <w:ind w:left="1815" w:right="188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Lecture de plans</w:t>
      </w:r>
    </w:p>
    <w:p>
      <w:pPr>
        <w:widowControl/>
        <w:spacing w:before="15" w:after="0" w:line="208" w:lineRule="exact"/>
        <w:ind w:left="1815" w:right="188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Règles de sécurité</w:t>
      </w:r>
    </w:p>
    <w:p>
      <w:pPr>
        <w:widowControl/>
        <w:spacing w:before="532" w:after="0" w:line="291" w:lineRule="exact"/>
        <w:ind w:left="48" w:right="-75"/>
        <w:jc w:val="center"/>
      </w:pPr>
      <w:r>
        <w:rPr>
          <w:rFonts w:ascii="Times New Roman" w:hAnsi="Times New Roman" w:eastAsia="Times New Roman" w:cs="Times New Roman"/>
          <w:b/>
          <w:bCs/>
          <w:color w:val="FFFFFF"/>
          <w:w w:val="102"/>
          <w:sz w:val="23"/>
          <w:szCs w:val="23"/>
        </w:rPr>
        <w:t xml:space="preserve">Expérience professionnelle</w:t>
      </w:r>
    </w:p>
    <w:p>
      <w:pPr>
        <w:widowControl/>
        <w:spacing w:before="23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2024 - 2026 : </w:t>
      </w:r>
      <w:r>
        <w:rPr>
          <w:rFonts w:ascii="Times New Roman" w:hAnsi="Times New Roman" w:eastAsia="Times New Roman" w:cs="Times New Roman"/>
          <w:b/>
          <w:bCs/>
          <w:color w:val="1C2430"/>
          <w:w w:val="98"/>
          <w:sz w:val="17"/>
          <w:szCs w:val="17"/>
        </w:rPr>
        <w:t xml:space="preserve">Congé sabbatique – Projet personnel et mobilité</w:t>
      </w: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 - Pause professionnelle volontaire</w:t>
      </w:r>
    </w:p>
    <w:p>
      <w:pPr>
        <w:widowControl/>
        <w:spacing w:before="6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2023 - 2024 : </w:t>
      </w:r>
      <w:r>
        <w:rPr>
          <w:rFonts w:ascii="Times New Roman" w:hAnsi="Times New Roman" w:eastAsia="Times New Roman" w:cs="Times New Roman"/>
          <w:b/>
          <w:bCs/>
          <w:color w:val="1C2430"/>
          <w:w w:val="98"/>
          <w:sz w:val="17"/>
          <w:szCs w:val="17"/>
        </w:rPr>
        <w:t xml:space="preserve">Chargée de formation et développement RH</w:t>
      </w: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 - Allianz France - </w:t>
      </w:r>
      <w:r>
        <w:rPr>
          <w:rFonts w:ascii="Times New Roman" w:hAnsi="Times New Roman" w:eastAsia="Times New Roman" w:cs="Times New Roman"/>
          <w:i/>
          <w:iCs/>
          <w:color w:val="1C2430"/>
          <w:w w:val="98"/>
          <w:sz w:val="17"/>
          <w:szCs w:val="17"/>
        </w:rPr>
        <w:t xml:space="preserve">La Défense</w:t>
      </w:r>
    </w:p>
    <w:p>
      <w:pPr>
        <w:widowControl/>
        <w:spacing w:before="20" w:after="0" w:line="191" w:lineRule="exact"/>
        <w:ind w:left="42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Times New Roman" w:hAnsi="Times New Roman" w:eastAsia="Times New Roman" w:cs="Times New Roman"/>
          <w:color w:val="1C2430"/>
          <w:w w:val="103"/>
          <w:sz w:val="15"/>
          <w:szCs w:val="15"/>
        </w:rPr>
        <w:t xml:space="preserve">Élaboration et suivi du planning des actions de formation.</w:t>
      </w:r>
    </w:p>
    <w:p>
      <w:pPr>
        <w:widowControl/>
        <w:spacing w:before="7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2022 - 2023 : </w:t>
      </w:r>
      <w:r>
        <w:rPr>
          <w:rFonts w:ascii="Times New Roman" w:hAnsi="Times New Roman" w:eastAsia="Times New Roman" w:cs="Times New Roman"/>
          <w:b/>
          <w:bCs/>
          <w:color w:val="1C2430"/>
          <w:w w:val="98"/>
          <w:sz w:val="17"/>
          <w:szCs w:val="17"/>
        </w:rPr>
        <w:t xml:space="preserve">Chargée de formation</w:t>
      </w: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 - La Poste Immobilier - </w:t>
      </w:r>
      <w:r>
        <w:rPr>
          <w:rFonts w:ascii="Times New Roman" w:hAnsi="Times New Roman" w:eastAsia="Times New Roman" w:cs="Times New Roman"/>
          <w:i/>
          <w:iCs/>
          <w:color w:val="1C2430"/>
          <w:w w:val="98"/>
          <w:sz w:val="17"/>
          <w:szCs w:val="17"/>
        </w:rPr>
        <w:t xml:space="preserve">Paris 14e</w:t>
      </w:r>
    </w:p>
    <w:p>
      <w:pPr>
        <w:widowControl/>
        <w:spacing w:before="20" w:after="0" w:line="191" w:lineRule="exact"/>
        <w:ind w:left="42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Times New Roman" w:hAnsi="Times New Roman" w:eastAsia="Times New Roman" w:cs="Times New Roman"/>
          <w:color w:val="1C2430"/>
          <w:w w:val="103"/>
          <w:sz w:val="15"/>
          <w:szCs w:val="15"/>
        </w:rPr>
        <w:t xml:space="preserve">Recensement et consolidation des besoins de formation.</w:t>
      </w:r>
    </w:p>
    <w:p>
      <w:pPr>
        <w:widowControl/>
        <w:spacing w:before="7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2019 - 2022 : </w:t>
      </w:r>
      <w:r>
        <w:rPr>
          <w:rFonts w:ascii="Times New Roman" w:hAnsi="Times New Roman" w:eastAsia="Times New Roman" w:cs="Times New Roman"/>
          <w:b/>
          <w:bCs/>
          <w:color w:val="1C2430"/>
          <w:w w:val="98"/>
          <w:sz w:val="17"/>
          <w:szCs w:val="17"/>
        </w:rPr>
        <w:t xml:space="preserve">Responsable planning RH Grands Comptes et Prestation Prestige</w:t>
      </w: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 - Groupe Pénélope - </w:t>
      </w:r>
      <w:r>
        <w:rPr>
          <w:rFonts w:ascii="Times New Roman" w:hAnsi="Times New Roman" w:eastAsia="Times New Roman" w:cs="Times New Roman"/>
          <w:i/>
          <w:iCs/>
          <w:color w:val="1C2430"/>
          <w:w w:val="98"/>
          <w:sz w:val="17"/>
          <w:szCs w:val="17"/>
        </w:rPr>
        <w:t xml:space="preserve">Paris 9e</w:t>
      </w:r>
    </w:p>
    <w:p>
      <w:pPr>
        <w:widowControl/>
        <w:spacing w:before="20" w:after="0" w:line="191" w:lineRule="exact"/>
        <w:ind w:left="42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Times New Roman" w:hAnsi="Times New Roman" w:eastAsia="Times New Roman" w:cs="Times New Roman"/>
          <w:color w:val="1C2430"/>
          <w:w w:val="103"/>
          <w:sz w:val="15"/>
          <w:szCs w:val="15"/>
        </w:rPr>
        <w:t xml:space="preserve">Gestion et planification d’un portefeuille de collaborateurs.</w:t>
      </w:r>
    </w:p>
    <w:p>
      <w:pPr>
        <w:widowControl/>
        <w:spacing w:before="7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2019 : </w:t>
      </w:r>
      <w:r>
        <w:rPr>
          <w:rFonts w:ascii="Times New Roman" w:hAnsi="Times New Roman" w:eastAsia="Times New Roman" w:cs="Times New Roman"/>
          <w:b/>
          <w:bCs/>
          <w:color w:val="1C2430"/>
          <w:w w:val="98"/>
          <w:sz w:val="17"/>
          <w:szCs w:val="17"/>
        </w:rPr>
        <w:t xml:space="preserve">Responsable de site</w:t>
      </w: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 - Groupe Pénélope - </w:t>
      </w:r>
      <w:r>
        <w:rPr>
          <w:rFonts w:ascii="Times New Roman" w:hAnsi="Times New Roman" w:eastAsia="Times New Roman" w:cs="Times New Roman"/>
          <w:i/>
          <w:iCs/>
          <w:color w:val="1C2430"/>
          <w:w w:val="98"/>
          <w:sz w:val="17"/>
          <w:szCs w:val="17"/>
        </w:rPr>
        <w:t xml:space="preserve">Montrouge</w:t>
      </w:r>
    </w:p>
    <w:p>
      <w:pPr>
        <w:widowControl/>
        <w:spacing w:before="20" w:after="0" w:line="191" w:lineRule="exact"/>
        <w:ind w:left="42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Times New Roman" w:hAnsi="Times New Roman" w:eastAsia="Times New Roman" w:cs="Times New Roman"/>
          <w:color w:val="1C2430"/>
          <w:w w:val="103"/>
          <w:sz w:val="15"/>
          <w:szCs w:val="15"/>
        </w:rPr>
        <w:t xml:space="preserve">Management et organisation d’une équipe.</w:t>
      </w:r>
    </w:p>
    <w:p>
      <w:pPr>
        <w:widowControl/>
        <w:spacing w:before="7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2017 - 2019 : </w:t>
      </w:r>
      <w:r>
        <w:rPr>
          <w:rFonts w:ascii="Times New Roman" w:hAnsi="Times New Roman" w:eastAsia="Times New Roman" w:cs="Times New Roman"/>
          <w:b/>
          <w:bCs/>
          <w:color w:val="1C2430"/>
          <w:w w:val="98"/>
          <w:sz w:val="17"/>
          <w:szCs w:val="17"/>
        </w:rPr>
        <w:t xml:space="preserve">Hôtesse d’accueil</w:t>
      </w: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 - Groupe Pénélope - </w:t>
      </w:r>
      <w:r>
        <w:rPr>
          <w:rFonts w:ascii="Times New Roman" w:hAnsi="Times New Roman" w:eastAsia="Times New Roman" w:cs="Times New Roman"/>
          <w:i/>
          <w:iCs/>
          <w:color w:val="1C2430"/>
          <w:w w:val="98"/>
          <w:sz w:val="17"/>
          <w:szCs w:val="17"/>
        </w:rPr>
        <w:t xml:space="preserve">Montrouge</w:t>
      </w:r>
    </w:p>
    <w:p>
      <w:pPr>
        <w:widowControl/>
        <w:spacing w:before="20" w:after="0" w:line="191" w:lineRule="exact"/>
        <w:ind w:left="423" w:right="-150" w:hanging="180"/>
      </w:pPr>
      <w:r>
        <w:rPr>
          <w:rFonts w:ascii="Arial" w:hAnsi="Arial" w:eastAsia="Arial" w:cs="Arial"/>
          <w:color w:val="1C2430"/>
          <w:sz w:val="15"/>
          <w:szCs w:val="15"/>
        </w:rPr>
        <w:t xml:space="preserve">•</w:t>
        <w:tab/>
      </w:r>
      <w:r>
        <w:rPr>
          <w:rFonts w:ascii="Times New Roman" w:hAnsi="Times New Roman" w:eastAsia="Times New Roman" w:cs="Times New Roman"/>
          <w:color w:val="1C2430"/>
          <w:w w:val="103"/>
          <w:sz w:val="15"/>
          <w:szCs w:val="15"/>
        </w:rPr>
        <w:t xml:space="preserve">Accueil, orientation et information.</w:t>
      </w:r>
    </w:p>
    <w:p>
      <w:pPr>
        <w:widowControl/>
        <w:spacing w:before="274" w:after="0" w:line="291" w:lineRule="exact"/>
        <w:ind w:left="48" w:right="-75"/>
        <w:jc w:val="center"/>
      </w:pPr>
      <w:r>
        <w:rPr>
          <w:rFonts w:ascii="Times New Roman" w:hAnsi="Times New Roman" w:eastAsia="Times New Roman" w:cs="Times New Roman"/>
          <w:b/>
          <w:bCs/>
          <w:color w:val="FFFFFF"/>
          <w:w w:val="102"/>
          <w:sz w:val="23"/>
          <w:szCs w:val="23"/>
        </w:rPr>
        <w:t xml:space="preserve">Formations</w:t>
      </w:r>
    </w:p>
    <w:p>
      <w:pPr>
        <w:widowControl/>
        <w:spacing w:before="23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2024 : Master 2 - Directrice des ressources humaines - ISCG</w:t>
      </w:r>
    </w:p>
    <w:p>
      <w:pPr>
        <w:widowControl/>
        <w:spacing w:before="3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2023 : Master 1 - Responsable ressources humaines - ESGRH</w:t>
      </w:r>
    </w:p>
    <w:p>
      <w:pPr>
        <w:widowControl/>
        <w:spacing w:before="3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2016 : Échange - Échange Erasmus+ – 6 mois - Universidad de Cádiz</w:t>
      </w:r>
    </w:p>
    <w:p>
      <w:pPr>
        <w:widowControl/>
        <w:spacing w:before="3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2016 : Licence - Licence Langues Étrangères Appliquées - Université Paris-Est Marne-la-Vallée</w:t>
      </w:r>
    </w:p>
    <w:p>
      <w:pPr>
        <w:widowControl/>
        <w:spacing w:before="30" w:after="0" w:line="208" w:lineRule="exact"/>
        <w:ind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2013 : Baccalauréat - Baccalauréat scientifique, spécialité SVT - Lycée Gustave Eiffel</w:t>
      </w:r>
    </w:p>
    <w:p>
      <w:pPr>
        <w:widowControl/>
        <w:spacing w:before="265" w:after="0" w:line="291" w:lineRule="exact"/>
        <w:ind w:left="48" w:right="-75"/>
        <w:jc w:val="center"/>
      </w:pPr>
      <w:r>
        <w:rPr>
          <w:rFonts w:ascii="Times New Roman" w:hAnsi="Times New Roman" w:eastAsia="Times New Roman" w:cs="Times New Roman"/>
          <w:b/>
          <w:bCs/>
          <w:color w:val="FFFFFF"/>
          <w:w w:val="102"/>
          <w:sz w:val="23"/>
          <w:szCs w:val="23"/>
        </w:rPr>
        <w:t xml:space="preserve">Logiciels et outils</w:t>
      </w:r>
    </w:p>
    <w:p>
      <w:pPr>
        <w:widowControl/>
        <w:spacing w:before="230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Word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Excel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PowerPoint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Outlook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SuccessFactors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SAGE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Outils collaboratifs</w:t>
      </w:r>
    </w:p>
    <w:p>
      <w:pPr>
        <w:widowControl/>
        <w:spacing w:before="265" w:after="0" w:line="291" w:lineRule="exact"/>
        <w:ind w:left="48" w:right="-75"/>
        <w:jc w:val="center"/>
      </w:pPr>
      <w:r>
        <w:rPr>
          <w:rFonts w:ascii="Times New Roman" w:hAnsi="Times New Roman" w:eastAsia="Times New Roman" w:cs="Times New Roman"/>
          <w:b/>
          <w:bCs/>
          <w:color w:val="FFFFFF"/>
          <w:w w:val="102"/>
          <w:sz w:val="23"/>
          <w:szCs w:val="23"/>
        </w:rPr>
        <w:t xml:space="preserve">Langues</w:t>
      </w:r>
    </w:p>
    <w:p>
      <w:pPr>
        <w:widowControl/>
        <w:spacing w:before="230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Espagnol (Langue maternelle)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Anglais (B2)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Allemand (A2)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Japonais (A1)</w:t>
      </w:r>
    </w:p>
    <w:p>
      <w:pPr>
        <w:widowControl/>
        <w:spacing w:before="265" w:after="0" w:line="291" w:lineRule="exact"/>
        <w:ind w:left="48" w:right="-75"/>
        <w:jc w:val="center"/>
      </w:pPr>
      <w:r>
        <w:rPr>
          <w:rFonts w:ascii="Times New Roman" w:hAnsi="Times New Roman" w:eastAsia="Times New Roman" w:cs="Times New Roman"/>
          <w:b/>
          <w:bCs/>
          <w:color w:val="FFFFFF"/>
          <w:w w:val="102"/>
          <w:sz w:val="23"/>
          <w:szCs w:val="23"/>
        </w:rPr>
        <w:t xml:space="preserve">Centres d’intérêt</w:t>
      </w:r>
    </w:p>
    <w:p>
      <w:pPr>
        <w:widowControl/>
        <w:spacing w:before="230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Sport : judo (ceinture orange), Salsa (niveau intermédiaire), Crossfit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Bénévolat : organisation d’événements sportifs</w:t>
      </w:r>
    </w:p>
    <w:p>
      <w:pPr>
        <w:widowControl/>
        <w:spacing w:before="45" w:after="0" w:line="208" w:lineRule="exact"/>
        <w:ind w:left="363" w:right="-150"/>
      </w:pPr>
      <w:r>
        <w:rPr>
          <w:rFonts w:ascii="Times New Roman" w:hAnsi="Times New Roman" w:eastAsia="Times New Roman" w:cs="Times New Roman"/>
          <w:color w:val="1C2430"/>
          <w:w w:val="98"/>
          <w:sz w:val="17"/>
          <w:szCs w:val="17"/>
        </w:rPr>
        <w:t xml:space="preserve">Voyages culinaires : Colombie, Corée du Sud, Islande, Mexique, Turquie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1095" w:bottom="300" w:left="51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48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1454467</wp:posOffset>
          </wp:positionV>
          <wp:extent cx="6984206" cy="279797"/>
          <wp:effectExtent l="0" t="0" r="0" b="0"/>
          <wp:wrapNone/>
          <wp:docPr id="110" name="Decor 11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279797"/>
                  </a:xfrm>
                  <a:prstGeom prst="roundRect">
                    <a:avLst>
                      <a:gd name="adj" fmla="val 40851"/>
                    </a:avLst>
                  </a:prstGeom>
                  <a:solidFill>
                    <a:srgbClr val="2F559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160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5014079</wp:posOffset>
          </wp:positionV>
          <wp:extent cx="6984206" cy="279797"/>
          <wp:effectExtent l="0" t="0" r="0" b="0"/>
          <wp:wrapNone/>
          <wp:docPr id="111" name="Decor 11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279797"/>
                  </a:xfrm>
                  <a:prstGeom prst="roundRect">
                    <a:avLst>
                      <a:gd name="adj" fmla="val 40851"/>
                    </a:avLst>
                  </a:prstGeom>
                  <a:solidFill>
                    <a:srgbClr val="2F559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176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7197566</wp:posOffset>
          </wp:positionV>
          <wp:extent cx="6984206" cy="279797"/>
          <wp:effectExtent l="0" t="0" r="0" b="0"/>
          <wp:wrapNone/>
          <wp:docPr id="112" name="Decor 11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279797"/>
                  </a:xfrm>
                  <a:prstGeom prst="roundRect">
                    <a:avLst>
                      <a:gd name="adj" fmla="val 40851"/>
                    </a:avLst>
                  </a:prstGeom>
                  <a:solidFill>
                    <a:srgbClr val="2F559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192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8432840</wp:posOffset>
          </wp:positionV>
          <wp:extent cx="6984206" cy="279797"/>
          <wp:effectExtent l="0" t="0" r="0" b="0"/>
          <wp:wrapNone/>
          <wp:docPr id="113" name="Decor 11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279797"/>
                  </a:xfrm>
                  <a:prstGeom prst="roundRect">
                    <a:avLst>
                      <a:gd name="adj" fmla="val 40851"/>
                    </a:avLst>
                  </a:prstGeom>
                  <a:solidFill>
                    <a:srgbClr val="2F559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208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10027444</wp:posOffset>
          </wp:positionV>
          <wp:extent cx="6984206" cy="279797"/>
          <wp:effectExtent l="0" t="0" r="0" b="0"/>
          <wp:wrapNone/>
          <wp:docPr id="114" name="Decor 11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279797"/>
                  </a:xfrm>
                  <a:prstGeom prst="roundRect">
                    <a:avLst>
                      <a:gd name="adj" fmla="val 40851"/>
                    </a:avLst>
                  </a:prstGeom>
                  <a:solidFill>
                    <a:srgbClr val="2F5597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17"/>
        <w:szCs w:val="17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