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66" w:after="0" w:line="420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13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2" w:after="0" w:line="328" w:lineRule="exact"/>
              <w:jc w:val="center"/>
            </w:pPr>
            <w:r>
              <w:rPr>
                <w:rFonts w:ascii="Segoe UI" w:hAnsi="Segoe UI" w:eastAsia="Segoe UI" w:cs="Segoe UI"/>
                <w:color w:val="FFFFFF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31" w:lineRule="exact"/>
              <w:ind w:left="204" w:right="30"/>
            </w:pPr>
            <w:r>
              <w:rPr>
                <w:rFonts w:ascii="Segoe UI" w:hAnsi="Segoe UI" w:eastAsia="Segoe UI" w:cs="Segoe UI"/>
                <w:i/>
                <w:iCs/>
                <w:color w:val="FFFFFF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6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356" w:after="0" w:line="242" w:lineRule="exact"/>
              <w:ind w:left="312" w:right="342"/>
              <w:outlineLvl w:val="0"/>
            </w:pPr>
            <w:r>
              <w:drawing>
                <wp:anchor distT="0" distB="0" distL="0" distR="0" simplePos="0" relativeHeight="251650032" behindDoc="1" locked="0" layoutInCell="1" allowOverlap="1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198120</wp:posOffset>
                  </wp:positionV>
                  <wp:extent cx="2308503" cy="364569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08503" cy="364569"/>
                          </a:xfrm>
                          <a:prstGeom prst="roundRect">
                            <a:avLst>
                              <a:gd name="adj" fmla="val 26127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0016" behindDoc="1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99060</wp:posOffset>
                  </wp:positionV>
                  <wp:extent cx="2506623" cy="2527221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06623" cy="2527221"/>
                          </a:xfrm>
                          <a:prstGeom prst="roundRect">
                            <a:avLst>
                              <a:gd name="adj" fmla="val 5928"/>
                            </a:avLst>
                          </a:prstGeom>
                          <a:noFill/>
                          <a:ln w="7620">
                            <a:solidFill>
                              <a:srgbClr val="2F669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PROFESSIONNELLES</w:t>
            </w:r>
          </w:p>
          <w:p>
            <w:pPr>
              <w:widowControl/>
              <w:spacing w:before="120" w:after="0" w:line="254" w:lineRule="exact"/>
              <w:ind w:left="162" w:right="192"/>
            </w:pP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Administration du personnel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Gestion des contrats, CDD et avenants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Suivi des absences et congés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Recrutement et gestion des candidatures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Gestion des dossiers collaborateurs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Suivi des variables de paie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Tableaux de bord et reporting RH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Formation et développement des compétences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Rédaction de documents administratifs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Application des procédures RH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Accompagnement des collaborateurs et managers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</w:t>
            </w:r>
          </w:p>
          <w:p>
            <w:pPr>
              <w:pStyle w:val="Titre1"/>
              <w:widowControl/>
              <w:spacing w:before="489" w:after="0" w:line="242" w:lineRule="exact"/>
              <w:ind w:left="312" w:right="342"/>
              <w:outlineLvl w:val="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282595</wp:posOffset>
                  </wp:positionV>
                  <wp:extent cx="2308503" cy="364569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08503" cy="364569"/>
                          </a:xfrm>
                          <a:prstGeom prst="roundRect">
                            <a:avLst>
                              <a:gd name="adj" fmla="val 26127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0048" behindDoc="1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183535</wp:posOffset>
                  </wp:positionV>
                  <wp:extent cx="2506623" cy="752594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06623" cy="752594"/>
                          </a:xfrm>
                          <a:prstGeom prst="roundRect">
                            <a:avLst>
                              <a:gd name="adj" fmla="val 19744"/>
                            </a:avLst>
                          </a:prstGeom>
                          <a:noFill/>
                          <a:ln w="7620">
                            <a:solidFill>
                              <a:srgbClr val="2F669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20" w:after="0" w:line="254" w:lineRule="exact"/>
              <w:ind w:left="162" w:right="12"/>
            </w:pP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Rigueur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Sens de l’écoute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 • 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Autonomie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</w:rPr>
              <w:t xml:space="preserve"> </w:t>
            </w:r>
          </w:p>
          <w:p>
            <w:pPr>
              <w:pStyle w:val="Titre1"/>
              <w:widowControl/>
              <w:spacing w:before="357" w:after="0" w:line="242" w:lineRule="exact"/>
              <w:ind w:left="150" w:right="1607"/>
              <w:outlineLvl w:val="0"/>
            </w:pP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198775</wp:posOffset>
                  </wp:positionV>
                  <wp:extent cx="1493520" cy="210860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93520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2731"/>
              <w:outlineLvl w:val="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115610</wp:posOffset>
                  </wp:positionV>
                  <wp:extent cx="780336" cy="210860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80336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1692"/>
              <w:outlineLvl w:val="0"/>
            </w:pP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115610</wp:posOffset>
                  </wp:positionV>
                  <wp:extent cx="1439585" cy="210860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9585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14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3420"/>
              <w:outlineLvl w:val="0"/>
            </w:pPr>
            <w:r>
              <w:drawing>
                <wp:anchor distT="0" distB="0" distL="0" distR="0" simplePos="0" relativeHeight="2516501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145625" cy="210860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45625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spacing w:before="0" w:after="0" w:line="121" w:lineRule="exact"/>
              <w:rPr>
                <w:sz w:val="2"/>
                <w:szCs w:val="2"/>
              </w:rPr>
            </w:pPr>
          </w:p>
          <w:tbl>
            <w:tblPr>
              <w:tblW w:w="67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23"/>
              <w:gridCol w:w="1076"/>
            </w:tblGrid>
            <w:tr>
              <w:trPr>
                <w:trHeight w:val="493" w:hRule="atLeast"/>
              </w:trPr>
              <w:tc>
                <w:tcPr>
                  <w:tcW w:w="57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Segoe UI" w:hAnsi="Segoe UI" w:eastAsia="Segoe UI" w:cs="Segoe UI"/>
                      <w:b/>
                      <w:bCs/>
                      <w:color w:val="1C2430"/>
                      <w:w w:val="102"/>
                      <w:sz w:val="20"/>
                      <w:szCs w:val="20"/>
                    </w:rPr>
                    <w:t xml:space="preserve">Congé sabbatique – Projet personnel et mobilité</w:t>
                  </w: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 - Pause professionnelle volontaire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2024 - 2026</w:t>
                  </w:r>
                </w:p>
              </w:tc>
            </w:tr>
          </w:tbl>
          <w:p>
            <w:pPr>
              <w:widowControl/>
              <w:spacing w:before="0" w:after="0" w:line="45" w:lineRule="exact"/>
              <w:rPr>
                <w:sz w:val="2"/>
                <w:szCs w:val="2"/>
              </w:rPr>
            </w:pPr>
          </w:p>
          <w:tbl>
            <w:tblPr>
              <w:tblW w:w="67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23"/>
              <w:gridCol w:w="1076"/>
            </w:tblGrid>
            <w:tr>
              <w:trPr>
                <w:trHeight w:val="493" w:hRule="atLeast"/>
              </w:trPr>
              <w:tc>
                <w:tcPr>
                  <w:tcW w:w="57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Segoe UI" w:hAnsi="Segoe UI" w:eastAsia="Segoe UI" w:cs="Segoe UI"/>
                      <w:b/>
                      <w:bCs/>
                      <w:color w:val="1C2430"/>
                      <w:w w:val="102"/>
                      <w:sz w:val="20"/>
                      <w:szCs w:val="20"/>
                    </w:rPr>
                    <w:t xml:space="preserve">Chargée de formation et développement RH</w:t>
                  </w: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 - Allianz France, </w:t>
                  </w:r>
                  <w:r>
                    <w:rPr>
                      <w:rFonts w:ascii="Segoe UI" w:hAnsi="Segoe UI" w:eastAsia="Segoe UI" w:cs="Segoe UI"/>
                      <w:i/>
                      <w:iCs/>
                      <w:color w:val="1C2430"/>
                      <w:w w:val="102"/>
                      <w:sz w:val="20"/>
                      <w:szCs w:val="20"/>
                    </w:rPr>
                    <w:t xml:space="preserve">La Défense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2023 - 2024</w:t>
                  </w:r>
                </w:p>
              </w:tc>
            </w:tr>
          </w:tbl>
          <w:p>
            <w:pPr>
              <w:widowControl/>
              <w:spacing w:before="18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799"/>
              </w:tabs>
              <w:spacing w:before="40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- La Poste Immobilier, </w:t>
            </w:r>
            <w:r>
              <w:rPr>
                <w:rFonts w:ascii="Segoe UI" w:hAnsi="Segoe UI" w:eastAsia="Segoe UI" w:cs="Segoe UI"/>
                <w:i/>
                <w:iCs/>
                <w:color w:val="1C2430"/>
                <w:w w:val="102"/>
                <w:sz w:val="20"/>
                <w:szCs w:val="20"/>
              </w:rPr>
              <w:t xml:space="preserve">Paris 14e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47" w:lineRule="exact"/>
              <w:rPr>
                <w:sz w:val="2"/>
                <w:szCs w:val="2"/>
              </w:rPr>
            </w:pPr>
          </w:p>
          <w:tbl>
            <w:tblPr>
              <w:tblW w:w="67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23"/>
              <w:gridCol w:w="1076"/>
            </w:tblGrid>
            <w:tr>
              <w:trPr>
                <w:trHeight w:val="493" w:hRule="atLeast"/>
              </w:trPr>
              <w:tc>
                <w:tcPr>
                  <w:tcW w:w="57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Segoe UI" w:hAnsi="Segoe UI" w:eastAsia="Segoe UI" w:cs="Segoe UI"/>
                      <w:b/>
                      <w:bCs/>
                      <w:color w:val="1C2430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 - Groupe Pénélope, </w:t>
                  </w:r>
                  <w:r>
                    <w:rPr>
                      <w:rFonts w:ascii="Segoe UI" w:hAnsi="Segoe UI" w:eastAsia="Segoe UI" w:cs="Segoe UI"/>
                      <w:i/>
                      <w:iCs/>
                      <w:color w:val="1C2430"/>
                      <w:w w:val="102"/>
                      <w:sz w:val="20"/>
                      <w:szCs w:val="20"/>
                    </w:rPr>
                    <w:t xml:space="preserve">Paris 9e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18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- Groupe Pénélope, </w:t>
            </w:r>
            <w:r>
              <w:rPr>
                <w:rFonts w:ascii="Segoe UI" w:hAnsi="Segoe UI" w:eastAsia="Segoe UI" w:cs="Segoe UI"/>
                <w:i/>
                <w:iCs/>
                <w:color w:val="1C2430"/>
                <w:w w:val="102"/>
                <w:sz w:val="20"/>
                <w:szCs w:val="20"/>
              </w:rPr>
              <w:t xml:space="preserve">Montrouge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- Groupe Pénélope, </w:t>
            </w:r>
            <w:r>
              <w:rPr>
                <w:rFonts w:ascii="Segoe UI" w:hAnsi="Segoe UI" w:eastAsia="Segoe UI" w:cs="Segoe UI"/>
                <w:i/>
                <w:iCs/>
                <w:color w:val="1C2430"/>
                <w:w w:val="102"/>
                <w:sz w:val="20"/>
                <w:szCs w:val="20"/>
              </w:rPr>
              <w:t xml:space="preserve">Montrouge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spacing w:before="271" w:after="0" w:line="242" w:lineRule="exact"/>
              <w:ind w:left="150" w:right="5167"/>
              <w:outlineLvl w:val="0"/>
            </w:pPr>
            <w:r>
              <w:drawing>
                <wp:anchor distT="0" distB="0" distL="0" distR="0" simplePos="0" relativeHeight="2516501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144185</wp:posOffset>
                  </wp:positionV>
                  <wp:extent cx="1036677" cy="210860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36677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25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875949"/>
          <wp:effectExtent l="0" t="0" r="0" b="0"/>
          <wp:wrapNone/>
          <wp:docPr id="111" name="Decor 11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1875949"/>
                  </a:xfrm>
                  <a:prstGeom prst="roundRect">
                    <a:avLst>
                      <a:gd name="adj" fmla="val 13201"/>
                    </a:avLst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