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tbl>
      <w:tblPr>
        <w:tblW w:w="10999" w:type="dxa"/>
        <w:tblInd w:w="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43"/>
        <w:gridCol w:w="3108"/>
        <w:gridCol w:w="4348"/>
      </w:tblGrid>
      <w:tr>
        <w:trPr>
          <w:trHeight w:val="2426" w:hRule="atLeast"/>
        </w:trPr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12500" r="0" b="12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66" w:after="0" w:line="420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FFFFFF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13" w:after="0" w:line="293" w:lineRule="exact"/>
              <w:ind w:right="-150"/>
            </w:pPr>
            <w:r>
              <w:rPr>
                <w:rFonts w:ascii="Segoe UI" w:hAnsi="Segoe UI" w:eastAsia="Segoe UI" w:cs="Segoe UI"/>
                <w:color w:val="FFFFFF"/>
                <w:w w:val="101"/>
                <w:sz w:val="17"/>
                <w:szCs w:val="17"/>
              </w:rPr>
              <w:t xml:space="preserve">06 12 34 56 78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Segoe UI" w:hAnsi="Segoe UI" w:eastAsia="Segoe UI" w:cs="Segoe UI"/>
                <w:color w:val="FFFFFF"/>
                <w:w w:val="101"/>
                <w:sz w:val="17"/>
                <w:szCs w:val="17"/>
              </w:rPr>
              <w:t xml:space="preserve">camille.martin@exemple.fr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Segoe UI" w:hAnsi="Segoe UI" w:eastAsia="Segoe UI" w:cs="Segoe UI"/>
                <w:color w:val="FFFFFF"/>
                <w:w w:val="101"/>
                <w:sz w:val="17"/>
                <w:szCs w:val="17"/>
              </w:rPr>
              <w:t xml:space="preserve">Paris, 75012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82" w:after="0" w:line="328" w:lineRule="exact"/>
              <w:jc w:val="center"/>
            </w:pPr>
            <w:r>
              <w:rPr>
                <w:rFonts w:ascii="Segoe UI" w:hAnsi="Segoe UI" w:eastAsia="Segoe UI" w:cs="Segoe UI"/>
                <w:color w:val="FFFFFF"/>
                <w:spacing w:val="3"/>
                <w:w w:val="98"/>
                <w:sz w:val="29"/>
                <w:szCs w:val="29"/>
              </w:rPr>
              <w:t xml:space="preserve">CHARGÉE DE FORMATION</w:t>
            </w:r>
          </w:p>
        </w:tc>
        <w:tc>
          <w:tcPr>
            <w:tcW w:w="43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pBdr>
                <w:left w:val="single" w:sz="10" w:space="9" w:color="FFFFFF"/>
              </w:pBdr>
              <w:spacing w:before="0" w:after="0" w:line="231" w:lineRule="exact"/>
              <w:ind w:left="204" w:right="30"/>
            </w:pPr>
            <w:r>
              <w:rPr>
                <w:rFonts w:ascii="Segoe UI" w:hAnsi="Segoe UI" w:eastAsia="Segoe UI" w:cs="Segoe UI"/>
                <w:i/>
                <w:iCs/>
                <w:color w:val="FFFFFF"/>
                <w:w w:val="97"/>
                <w:sz w:val="17"/>
                <w:szCs w:val="17"/>
              </w:rPr>
              <w:t xml:space="preserve">Chargée de formation et de développement RH, je mets mon expérience au service de la montée en compétences des équipes.</w:t>
            </w:r>
          </w:p>
        </w:tc>
      </w:tr>
    </w:tbl>
    <w:p>
      <w:pPr>
        <w:widowControl/>
        <w:spacing w:before="0" w:after="0" w:line="60" w:lineRule="exact"/>
        <w:rPr>
          <w:sz w:val="2"/>
          <w:szCs w:val="2"/>
        </w:rPr>
      </w:pPr>
    </w:p>
    <w:tbl>
      <w:tblPr>
        <w:tblW w:w="10999" w:type="dxa"/>
        <w:tblInd w:w="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99"/>
        <w:gridCol w:w="6799"/>
      </w:tblGrid>
      <w:tr>
        <w:tc>
          <w:tcPr>
            <w:tcW w:w="41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pBdr>
                <w:bottom w:val="single" w:sz="5" w:space="2" w:color="B9C4D2"/>
              </w:pBdr>
              <w:spacing w:before="179" w:after="0" w:line="242" w:lineRule="exact"/>
              <w:ind w:right="-150"/>
              <w:outlineLvl w:val="0"/>
            </w:pPr>
            <w:r>
              <w:rPr>
                <w:rFonts w:ascii="Segoe UI" w:hAnsi="Segoe UI" w:eastAsia="Segoe UI" w:cs="Segoe UI"/>
                <w:b/>
                <w:bCs/>
                <w:color w:val="0B5C47"/>
                <w:spacing w:val="6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76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Administration du personnel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Gestion des contrats, CDD et avenants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Suivi des absences et congés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Recrutement et gestion des candidatures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Gestion des dossiers collaborateurs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Suivi des variables de paie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Tableaux de bord et reporting RH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87" w:after="0" w:line="234" w:lineRule="exact"/>
              <w:ind w:right="3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Formation et développement des</w:t>
              <w:br/>
              <w:t xml:space="preserve">compétences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93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Rédaction de documents administratifs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Application des procédures RH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87" w:after="0" w:line="234" w:lineRule="exact"/>
              <w:ind w:right="3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Accompagnement des collaborateurs et</w:t>
              <w:br/>
              <w:t xml:space="preserve">managers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5" w:space="2" w:color="B9C4D2"/>
              </w:pBdr>
              <w:spacing w:before="272" w:after="0" w:line="242" w:lineRule="exact"/>
              <w:ind w:right="-150"/>
              <w:outlineLvl w:val="0"/>
            </w:pPr>
            <w:r>
              <w:rPr>
                <w:rFonts w:ascii="Segoe UI" w:hAnsi="Segoe UI" w:eastAsia="Segoe UI" w:cs="Segoe UI"/>
                <w:b/>
                <w:bCs/>
                <w:color w:val="0B5C47"/>
                <w:spacing w:val="6"/>
                <w:w w:val="98"/>
                <w:sz w:val="20"/>
                <w:szCs w:val="20"/>
              </w:rPr>
              <w:t xml:space="preserve">COMPÉTENCES COMPORTEMENTALES</w:t>
            </w:r>
          </w:p>
          <w:p>
            <w:pPr>
              <w:widowControl/>
              <w:spacing w:before="46" w:after="0" w:line="35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Rigueur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Sens de l’écoute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Autonomie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5" w:space="2" w:color="B9C4D2"/>
              </w:pBdr>
              <w:spacing w:before="209" w:after="0" w:line="242" w:lineRule="exact"/>
              <w:ind w:right="-150"/>
              <w:outlineLvl w:val="0"/>
            </w:pPr>
            <w:r>
              <w:rPr>
                <w:rFonts w:ascii="Segoe UI" w:hAnsi="Segoe UI" w:eastAsia="Segoe UI" w:cs="Segoe UI"/>
                <w:b/>
                <w:bCs/>
                <w:color w:val="0B5C47"/>
                <w:spacing w:val="6"/>
                <w:w w:val="98"/>
                <w:sz w:val="20"/>
                <w:szCs w:val="20"/>
              </w:rPr>
              <w:t xml:space="preserve">LOGICIELS ET OUTILS</w:t>
            </w:r>
          </w:p>
          <w:p>
            <w:pPr>
              <w:widowControl/>
              <w:spacing w:before="64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Word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Excel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PowerPoint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Outlook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SuccessFactors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SAGE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Outils collaboratifs</w:t>
            </w:r>
          </w:p>
          <w:p>
            <w:pPr>
              <w:pStyle w:val="Titre1"/>
              <w:widowControl/>
              <w:pBdr>
                <w:bottom w:val="single" w:sz="5" w:space="2" w:color="B9C4D2"/>
              </w:pBdr>
              <w:spacing w:before="181" w:after="0" w:line="242" w:lineRule="exact"/>
              <w:ind w:right="-150"/>
              <w:outlineLvl w:val="0"/>
            </w:pPr>
            <w:r>
              <w:rPr>
                <w:rFonts w:ascii="Segoe UI" w:hAnsi="Segoe UI" w:eastAsia="Segoe UI" w:cs="Segoe UI"/>
                <w:b/>
                <w:bCs/>
                <w:color w:val="0B5C47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64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Espagnol - niveau Langue maternelle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Anglais - niveau B2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Allemand - niveau A2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Japonais - niveau A1</w:t>
            </w:r>
          </w:p>
          <w:p>
            <w:pPr>
              <w:pStyle w:val="Titre1"/>
              <w:widowControl/>
              <w:pBdr>
                <w:bottom w:val="single" w:sz="5" w:space="2" w:color="B9C4D2"/>
              </w:pBdr>
              <w:spacing w:before="181" w:after="0" w:line="242" w:lineRule="exact"/>
              <w:ind w:right="-150"/>
              <w:outlineLvl w:val="0"/>
            </w:pPr>
            <w:r>
              <w:rPr>
                <w:rFonts w:ascii="Segoe UI" w:hAnsi="Segoe UI" w:eastAsia="Segoe UI" w:cs="Segoe UI"/>
                <w:b/>
                <w:bCs/>
                <w:color w:val="0B5C47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69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Sport : judo (ceinture orange), Salsa (niveau intermédiaire), Crossfit</w:t>
            </w:r>
          </w:p>
          <w:p>
            <w:pPr>
              <w:widowControl/>
              <w:spacing w:before="0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Bénévolat : organisation d’événements sportifs</w:t>
            </w:r>
          </w:p>
          <w:p>
            <w:pPr>
              <w:widowControl/>
              <w:spacing w:before="0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Voyages culinaires : Colombie, Corée du Sud, Islande, Mexique, Turquie</w:t>
            </w:r>
          </w:p>
        </w:tc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pBdr>
                <w:bottom w:val="single" w:sz="5" w:space="2" w:color="B9C4D2"/>
              </w:pBdr>
              <w:spacing w:before="179" w:after="0" w:line="242" w:lineRule="exact"/>
              <w:ind w:right="-150"/>
              <w:outlineLvl w:val="0"/>
            </w:pPr>
            <w:r>
              <w:rPr>
                <w:rFonts w:ascii="Segoe UI" w:hAnsi="Segoe UI" w:eastAsia="Segoe UI" w:cs="Segoe UI"/>
                <w:b/>
                <w:bCs/>
                <w:color w:val="0B5C47"/>
                <w:spacing w:val="6"/>
                <w:w w:val="98"/>
                <w:sz w:val="20"/>
                <w:szCs w:val="20"/>
              </w:rPr>
              <w:t xml:space="preserve">EXPÉRIENCE PROFESSIONNELLE</w:t>
            </w:r>
          </w:p>
          <w:p>
            <w:pPr>
              <w:widowControl/>
              <w:tabs>
                <w:tab w:val="right" w:leader="none" w:pos="6799"/>
              </w:tabs>
              <w:spacing w:before="64" w:after="0" w:line="264" w:lineRule="exact"/>
            </w:pPr>
            <w:r>
              <w:rPr>
                <w:rFonts w:ascii="Segoe UI" w:hAnsi="Segoe UI" w:eastAsia="Segoe UI" w:cs="Segoe UI"/>
                <w:b/>
                <w:bCs/>
                <w:color w:val="1C2430"/>
                <w:w w:val="102"/>
                <w:sz w:val="20"/>
                <w:szCs w:val="20"/>
              </w:rPr>
              <w:t xml:space="preserve">Congé sabbatique – Projet personnel et mobilité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2024 - 2026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0B5C47"/>
                <w:w w:val="102"/>
                <w:sz w:val="20"/>
                <w:szCs w:val="20"/>
              </w:rPr>
              <w:t xml:space="preserve">Pause professionnelle volontaire</w:t>
            </w:r>
          </w:p>
          <w:p>
            <w:pPr>
              <w:widowControl/>
              <w:tabs>
                <w:tab w:val="right" w:leader="none" w:pos="6799"/>
              </w:tabs>
              <w:spacing w:before="35" w:after="0" w:line="264" w:lineRule="exact"/>
            </w:pPr>
            <w:r>
              <w:rPr>
                <w:rFonts w:ascii="Segoe UI" w:hAnsi="Segoe UI" w:eastAsia="Segoe UI" w:cs="Segoe UI"/>
                <w:b/>
                <w:bCs/>
                <w:color w:val="1C2430"/>
                <w:w w:val="102"/>
                <w:sz w:val="20"/>
                <w:szCs w:val="20"/>
              </w:rPr>
              <w:t xml:space="preserve">Chargée de formation et développement RH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2023 - 2024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0B5C47"/>
                <w:w w:val="102"/>
                <w:sz w:val="20"/>
                <w:szCs w:val="20"/>
              </w:rPr>
              <w:t xml:space="preserve">Allianz France,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0B5C47"/>
                <w:w w:val="102"/>
                <w:sz w:val="20"/>
                <w:szCs w:val="20"/>
              </w:rPr>
              <w:t xml:space="preserve">La Défense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Élaboration et suivi du planning des actions de formation.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d’un portefeuille de formations transverses et métiers.</w:t>
            </w:r>
          </w:p>
          <w:p>
            <w:pPr>
              <w:widowControl/>
              <w:spacing w:before="0" w:after="0" w:line="254" w:lineRule="exact"/>
              <w:ind w:left="240" w:right="3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Organisation et suivi des actions de formation avec les organismes et partenaires.</w:t>
            </w:r>
          </w:p>
          <w:p>
            <w:pPr>
              <w:widowControl/>
              <w:spacing w:before="0" w:after="0" w:line="254" w:lineRule="exact"/>
              <w:ind w:left="240" w:right="3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Suivi des inscriptions, sessions, participants et tableaux de bord formation.</w:t>
            </w:r>
          </w:p>
          <w:p>
            <w:pPr>
              <w:widowControl/>
              <w:tabs>
                <w:tab w:val="right" w:leader="none" w:pos="6799"/>
              </w:tabs>
              <w:spacing w:before="40" w:after="0" w:line="264" w:lineRule="exact"/>
            </w:pPr>
            <w:r>
              <w:rPr>
                <w:rFonts w:ascii="Segoe UI" w:hAnsi="Segoe UI" w:eastAsia="Segoe UI" w:cs="Segoe UI"/>
                <w:b/>
                <w:bCs/>
                <w:color w:val="1C2430"/>
                <w:w w:val="102"/>
                <w:sz w:val="20"/>
                <w:szCs w:val="20"/>
              </w:rPr>
              <w:t xml:space="preserve">Chargée de formation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2022 - 2023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0B5C47"/>
                <w:w w:val="102"/>
                <w:sz w:val="20"/>
                <w:szCs w:val="20"/>
              </w:rPr>
              <w:t xml:space="preserve">La Poste Immobilier,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0B5C47"/>
                <w:w w:val="102"/>
                <w:sz w:val="20"/>
                <w:szCs w:val="20"/>
              </w:rPr>
              <w:t xml:space="preserve">Paris 14e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Recensement et consolidation des besoins de formation.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Planification et suivi administratif des formations.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Suivi des tableaux de bord formation et alternance.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Création et mise à jour de supports et documents RH.</w:t>
            </w:r>
          </w:p>
          <w:p>
            <w:pPr>
              <w:widowControl/>
              <w:spacing w:before="0" w:after="0" w:line="47" w:lineRule="exact"/>
              <w:rPr>
                <w:sz w:val="2"/>
                <w:szCs w:val="2"/>
              </w:rPr>
            </w:pPr>
          </w:p>
          <w:tbl>
            <w:tblPr>
              <w:tblW w:w="679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723"/>
              <w:gridCol w:w="1076"/>
            </w:tblGrid>
            <w:tr>
              <w:trPr>
                <w:trHeight w:val="493" w:hRule="atLeast"/>
              </w:trPr>
              <w:tc>
                <w:tcPr>
                  <w:tcW w:w="572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254" w:lineRule="exact"/>
                    <w:ind w:right="30"/>
                  </w:pPr>
                  <w:r>
                    <w:rPr>
                      <w:rFonts w:ascii="Segoe UI" w:hAnsi="Segoe UI" w:eastAsia="Segoe UI" w:cs="Segoe UI"/>
                      <w:b/>
                      <w:bCs/>
                      <w:color w:val="1C2430"/>
                      <w:w w:val="102"/>
                      <w:sz w:val="20"/>
                      <w:szCs w:val="20"/>
                    </w:rPr>
                    <w:t xml:space="preserve">Responsable planning RH Grands Comptes et Prestation Prestige</w:t>
                  </w:r>
                </w:p>
              </w:tc>
              <w:tc>
                <w:tcPr>
                  <w:tcW w:w="107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64" w:lineRule="exact"/>
                    <w:ind w:right="-150"/>
                  </w:pPr>
                  <w:r>
                    <w:rPr>
                      <w:rFonts w:ascii="Segoe UI" w:hAnsi="Segoe UI" w:eastAsia="Segoe UI" w:cs="Segoe UI"/>
                      <w:color w:val="1C2430"/>
                      <w:w w:val="102"/>
                      <w:sz w:val="20"/>
                      <w:szCs w:val="20"/>
                    </w:rPr>
                    <w:t xml:space="preserve">2019 - 2022</w:t>
                  </w:r>
                </w:p>
              </w:tc>
            </w:tr>
          </w:tbl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0B5C47"/>
                <w:w w:val="102"/>
                <w:sz w:val="20"/>
                <w:szCs w:val="20"/>
              </w:rPr>
              <w:t xml:space="preserve">Groupe Pénélope,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0B5C47"/>
                <w:w w:val="102"/>
                <w:sz w:val="20"/>
                <w:szCs w:val="20"/>
              </w:rPr>
              <w:t xml:space="preserve">Paris 9e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et planification d’un portefeuille de collaborateurs.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Organisation des plannings et gestion des absences.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Coordination avec les équipes et les clients.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administrative du personnel.</w:t>
            </w:r>
          </w:p>
          <w:p>
            <w:pPr>
              <w:widowControl/>
              <w:tabs>
                <w:tab w:val="right" w:leader="none" w:pos="6799"/>
              </w:tabs>
              <w:spacing w:before="35" w:after="0" w:line="264" w:lineRule="exact"/>
            </w:pPr>
            <w:r>
              <w:rPr>
                <w:rFonts w:ascii="Segoe UI" w:hAnsi="Segoe UI" w:eastAsia="Segoe UI" w:cs="Segoe UI"/>
                <w:b/>
                <w:bCs/>
                <w:color w:val="1C2430"/>
                <w:w w:val="102"/>
                <w:sz w:val="20"/>
                <w:szCs w:val="20"/>
              </w:rPr>
              <w:t xml:space="preserve">Responsable de site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2019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0B5C47"/>
                <w:w w:val="102"/>
                <w:sz w:val="20"/>
                <w:szCs w:val="20"/>
              </w:rPr>
              <w:t xml:space="preserve">Groupe Pénélope,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0B5C47"/>
                <w:w w:val="102"/>
                <w:sz w:val="20"/>
                <w:szCs w:val="20"/>
              </w:rPr>
              <w:t xml:space="preserve">Montrouge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Management et organisation d’une équipe.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des plannings et des absences.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Recrutement et intégration des collaborateurs.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Reporting d’activité.</w:t>
            </w:r>
          </w:p>
          <w:p>
            <w:pPr>
              <w:widowControl/>
              <w:tabs>
                <w:tab w:val="right" w:leader="none" w:pos="6799"/>
              </w:tabs>
              <w:spacing w:before="35" w:after="0" w:line="264" w:lineRule="exact"/>
            </w:pPr>
            <w:r>
              <w:rPr>
                <w:rFonts w:ascii="Segoe UI" w:hAnsi="Segoe UI" w:eastAsia="Segoe UI" w:cs="Segoe UI"/>
                <w:b/>
                <w:bCs/>
                <w:color w:val="1C2430"/>
                <w:w w:val="102"/>
                <w:sz w:val="20"/>
                <w:szCs w:val="20"/>
              </w:rPr>
              <w:t xml:space="preserve">Hôtesse d’accueil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2017 - 2019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0B5C47"/>
                <w:w w:val="102"/>
                <w:sz w:val="20"/>
                <w:szCs w:val="20"/>
              </w:rPr>
              <w:t xml:space="preserve">Groupe Pénélope,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0B5C47"/>
                <w:w w:val="102"/>
                <w:sz w:val="20"/>
                <w:szCs w:val="20"/>
              </w:rPr>
              <w:t xml:space="preserve">Montrouge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Accueil, orientation et information.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des appels téléphoniques, plis, colis et stocks.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Création et remise de badges d’accès.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Reporting des fréquentations.</w:t>
            </w:r>
          </w:p>
          <w:p>
            <w:pPr>
              <w:pStyle w:val="Titre1"/>
              <w:widowControl/>
              <w:pBdr>
                <w:bottom w:val="single" w:sz="5" w:space="2" w:color="B9C4D2"/>
              </w:pBdr>
              <w:spacing w:before="181" w:after="0" w:line="242" w:lineRule="exact"/>
              <w:ind w:right="-150"/>
              <w:outlineLvl w:val="0"/>
            </w:pPr>
            <w:r>
              <w:rPr>
                <w:rFonts w:ascii="Segoe UI" w:hAnsi="Segoe UI" w:eastAsia="Segoe UI" w:cs="Segoe UI"/>
                <w:b/>
                <w:bCs/>
                <w:color w:val="0B5C47"/>
                <w:spacing w:val="6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spacing w:before="64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Master 2 - Directrice des ressources humaines - ISCG - 2024</w:t>
            </w:r>
          </w:p>
          <w:p>
            <w:pPr>
              <w:widowControl/>
              <w:spacing w:before="2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Master 1 - Responsable ressources humaines - ESGRH - 2023</w:t>
            </w:r>
          </w:p>
          <w:p>
            <w:pPr>
              <w:widowControl/>
              <w:spacing w:before="2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Échange - Échange Erasmus+ – 6 mois - Universidad de Cádiz - 2016</w:t>
            </w:r>
          </w:p>
          <w:p>
            <w:pPr>
              <w:widowControl/>
              <w:spacing w:before="25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Licence - Licence Langues Étrangères Appliquées - Université Paris-Est Marne-la-Vallée - 2016</w:t>
            </w:r>
          </w:p>
          <w:p>
            <w:pPr>
              <w:widowControl/>
              <w:spacing w:before="30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Baccalauréat - Baccalauréat scientifique, spécialité SVT - Lycée Gustave Eiffel - 2013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6" w:h="16838"/>
      <w:pgMar w:top="450" w:right="450" w:bottom="450" w:left="450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0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993" cy="1875949"/>
          <wp:effectExtent l="0" t="0" r="0" b="0"/>
          <wp:wrapNone/>
          <wp:docPr id="102" name="Decor 102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59993" cy="1875949"/>
                  </a:xfrm>
                  <a:prstGeom prst="rect">
                    <a:avLst/>
                  </a:prstGeom>
                  <a:solidFill>
                    <a:srgbClr val="0B5C47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Segoe UI" w:hAnsi="Segoe UI" w:eastAsia="Segoe UI" w:cs="Segoe UI"/>
        <w:sz w:val="20"/>
        <w:szCs w:val="20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/>
  <dc:language>fr-FR</dc:language>
  <dcterms:created xsi:type="dcterms:W3CDTF">2026-09-27T01:03:16Z</dcterms:created>
  <dcterms:modified xsi:type="dcterms:W3CDTF">2026-09-27T01:03:16Z</dcterms:modified>
</cp:coreProperties>
</file>