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Answers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1.</w:t>
        <w:tab/>
        <w:t xml:space="preserve">One, Kickstarter campaigns that start in the beginning of the year have a higher ratio of </w:t>
        <w:tab/>
        <w:tab/>
        <w:tab/>
        <w:t xml:space="preserve">success.  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Two, there are more entertainment related projects compared to other </w:t>
        <w:tab/>
        <w:tab/>
        <w:tab/>
        <w:tab/>
        <w:tab/>
        <w:t>categories, with the number of plays at about 5x the average number per sub-</w:t>
        <w:tab/>
        <w:tab/>
        <w:tab/>
        <w:tab/>
        <w:t>category.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Three, the category with the highest ratio of success is music, and the sub-categories </w:t>
        <w:tab/>
        <w:tab/>
        <w:tab/>
        <w:t>most responsible for this success are Rock and Indie-Rock.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 xml:space="preserve">To combine these three conclusions, your best bet at achieving a successful campaign </w:t>
        <w:tab/>
        <w:tab/>
        <w:tab/>
        <w:t>would be to start around early Spring as a rock band.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2.</w:t>
        <w:tab/>
        <w:t xml:space="preserve">A limitation of this data set is that it does not give any information on the size of the </w:t>
        <w:tab/>
        <w:tab/>
        <w:tab/>
        <w:t xml:space="preserve">project.  This data analysis values the success of a $100 project the same as the failure </w:t>
        <w:tab/>
        <w:tab/>
        <w:tab/>
        <w:t xml:space="preserve">of a $10,000 project.  Another limitation is that it does not address the degree of </w:t>
        <w:tab/>
        <w:tab/>
        <w:tab/>
        <w:tab/>
        <w:t xml:space="preserve">success or failure.  A successful project may have barely reached its goal, or it may </w:t>
        <w:tab/>
        <w:tab/>
        <w:tab/>
        <w:t xml:space="preserve">have doubled it.  Similarly, a failed project may have just missed its goal, or it may have </w:t>
        <w:tab/>
        <w:tab/>
        <w:tab/>
        <w:t>not been close at all.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3.</w:t>
        <w:tab/>
        <w:t>Ideas for other tables/graphs: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  <w:lang w:val="en-US"/>
        </w:rPr>
        <w:tab/>
        <w:t>Analysis comparing success ratio by</w:t>
      </w:r>
    </w:p>
    <w:p>
      <w:pPr>
        <w:pStyle w:val="Body"/>
        <w:numPr>
          <w:ilvl w:val="4"/>
          <w:numId w:val="2"/>
        </w:numPr>
        <w:bidi w:val="0"/>
      </w:pPr>
      <w:r>
        <w:rPr>
          <w:rtl w:val="0"/>
          <w:lang w:val="en-US"/>
        </w:rPr>
        <w:t>Campaign length</w:t>
      </w:r>
    </w:p>
    <w:p>
      <w:pPr>
        <w:pStyle w:val="Body"/>
        <w:numPr>
          <w:ilvl w:val="4"/>
          <w:numId w:val="2"/>
        </w:numPr>
        <w:bidi w:val="0"/>
      </w:pPr>
      <w:r>
        <w:rPr>
          <w:rtl w:val="0"/>
          <w:lang w:val="en-US"/>
        </w:rPr>
        <w:t>Whether or not the campaign was spotlighted</w:t>
      </w:r>
    </w:p>
    <w:p>
      <w:pPr>
        <w:pStyle w:val="Body"/>
        <w:numPr>
          <w:ilvl w:val="4"/>
          <w:numId w:val="2"/>
        </w:numPr>
        <w:bidi w:val="0"/>
      </w:pPr>
      <w:r>
        <w:rPr>
          <w:rtl w:val="0"/>
          <w:lang w:val="en-US"/>
        </w:rPr>
        <w:t>Project Size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  <w:lang w:val="en-US"/>
        </w:rPr>
        <w:tab/>
        <w:t>Comparing average donation to</w:t>
      </w:r>
    </w:p>
    <w:p>
      <w:pPr>
        <w:pStyle w:val="Body"/>
        <w:numPr>
          <w:ilvl w:val="4"/>
          <w:numId w:val="2"/>
        </w:numPr>
        <w:bidi w:val="0"/>
      </w:pPr>
      <w:r>
        <w:rPr>
          <w:rtl w:val="0"/>
          <w:lang w:val="en-US"/>
        </w:rPr>
        <w:t>Project Size</w:t>
      </w:r>
    </w:p>
    <w:p>
      <w:pPr>
        <w:pStyle w:val="Body"/>
        <w:numPr>
          <w:ilvl w:val="4"/>
          <w:numId w:val="2"/>
        </w:numPr>
        <w:bidi w:val="0"/>
      </w:pPr>
      <w:r>
        <w:rPr>
          <w:rtl w:val="0"/>
          <w:lang w:val="en-US"/>
        </w:rPr>
        <w:t>Project State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outline w:val="0"/>
          <w:color w:val="feffff"/>
          <w:sz w:val="28"/>
          <w:szCs w:val="28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outline w:val="0"/>
          <w:color w:val="feffff"/>
          <w:sz w:val="28"/>
          <w:szCs w:val="28"/>
          <w:shd w:val="clear" w:color="auto" w:fill="28292f"/>
          <w:rtl w:val="0"/>
          <w14:textFill>
            <w14:solidFill>
              <w14:srgbClr w14:val="FFFFFF">
                <w14:alpha w14:val="14999"/>
              </w14:srgbClr>
            </w14:solidFill>
          </w14:textFill>
        </w:rPr>
      </w:pPr>
    </w:p>
    <w:p>
      <w:pPr>
        <w:pStyle w:val="Body"/>
        <w:bidi w:val="0"/>
      </w:pPr>
      <w:r>
        <w:rPr>
          <w:rtl w:val="0"/>
          <w:lang w:val="en-US"/>
        </w:rPr>
        <w:t>BONUS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1.</w:t>
        <w:tab/>
        <w:t xml:space="preserve">In both successful and unsuccessful campaigns, the median summarizes the data more </w:t>
        <w:tab/>
        <w:t xml:space="preserve">effectively.  In both cases, the average is much higher than the mean, which means that </w:t>
        <w:tab/>
        <w:t>the data is skewed towards the large outliers.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2.</w:t>
        <w:tab/>
        <w:t xml:space="preserve">Compared to the unsuccessful campaigns, there is more variability in the successful </w:t>
        <w:tab/>
        <w:tab/>
        <w:tab/>
        <w:t>campaigns, and this makes sense since there is a larger range of values.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