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pPr>
      <w:r w:rsidDel="00000000" w:rsidR="00000000" w:rsidRPr="00000000">
        <w:rPr>
          <w:b w:val="1"/>
          <w:u w:val="single"/>
          <w:rtl w:val="0"/>
        </w:rPr>
        <w:t xml:space="preserve">Outcome Variable Data Source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Bureau of Labor Statistics: </w:t>
      </w:r>
      <w:hyperlink r:id="rId6">
        <w:r w:rsidDel="00000000" w:rsidR="00000000" w:rsidRPr="00000000">
          <w:rPr>
            <w:color w:val="1155cc"/>
            <w:u w:val="single"/>
            <w:rtl w:val="0"/>
          </w:rPr>
          <w:t xml:space="preserve">https://data.bls.gov/dataViewer/view/timeseries/LNS14000000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FRED’s U3: </w:t>
      </w:r>
      <w:hyperlink r:id="rId7">
        <w:r w:rsidDel="00000000" w:rsidR="00000000" w:rsidRPr="00000000">
          <w:rPr>
            <w:color w:val="1155cc"/>
            <w:u w:val="single"/>
            <w:rtl w:val="0"/>
          </w:rPr>
          <w:t xml:space="preserve">https://fred.stlouisfed.org/series/UNRATE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0" w:lineRule="auto"/>
        <w:rPr>
          <w:b w:val="1"/>
        </w:rPr>
      </w:pPr>
      <w:r w:rsidDel="00000000" w:rsidR="00000000" w:rsidRPr="00000000">
        <w:rPr>
          <w:b w:val="1"/>
          <w:u w:val="single"/>
          <w:rtl w:val="0"/>
        </w:rPr>
        <w:t xml:space="preserve">Interim Data Sources and </w:t>
      </w:r>
      <w:r w:rsidDel="00000000" w:rsidR="00000000" w:rsidRPr="00000000">
        <w:rPr>
          <w:b w:val="1"/>
          <w:u w:val="single"/>
          <w:rtl w:val="0"/>
        </w:rPr>
        <w:t xml:space="preserve">Meta Data</w:t>
      </w:r>
      <w:r w:rsidDel="00000000" w:rsidR="00000000" w:rsidRPr="00000000">
        <w:rPr>
          <w:rtl w:val="0"/>
        </w:rPr>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3829787234035"/>
        <w:gridCol w:w="2389.787234042553"/>
        <w:gridCol w:w="1573.2765957446807"/>
        <w:gridCol w:w="1573.2765957446807"/>
        <w:gridCol w:w="1573.2765957446807"/>
        <w:tblGridChange w:id="0">
          <w:tblGrid>
            <w:gridCol w:w="2250.3829787234035"/>
            <w:gridCol w:w="2389.787234042553"/>
            <w:gridCol w:w="1573.2765957446807"/>
            <w:gridCol w:w="1573.2765957446807"/>
            <w:gridCol w:w="1573.2765957446807"/>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 Cols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hyperlink r:id="rId8">
              <w:r w:rsidDel="00000000" w:rsidR="00000000" w:rsidRPr="00000000">
                <w:rPr>
                  <w:color w:val="1155cc"/>
                  <w:sz w:val="24"/>
                  <w:szCs w:val="24"/>
                  <w:u w:val="single"/>
                  <w:rtl w:val="0"/>
                </w:rPr>
                <w:t xml:space="preserve">CPI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1948-01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sz w:val="24"/>
                <w:szCs w:val="24"/>
              </w:rPr>
            </w:pPr>
            <w:hyperlink r:id="rId9">
              <w:r w:rsidDel="00000000" w:rsidR="00000000" w:rsidRPr="00000000">
                <w:rPr>
                  <w:color w:val="1155cc"/>
                  <w:sz w:val="24"/>
                  <w:szCs w:val="24"/>
                  <w:u w:val="single"/>
                  <w:rtl w:val="0"/>
                </w:rPr>
                <w:t xml:space="preserve">EFFR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2000-07-03 to 2024-11-09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sz w:val="24"/>
                <w:szCs w:val="24"/>
              </w:rPr>
            </w:pPr>
            <w:hyperlink r:id="rId10">
              <w:r w:rsidDel="00000000" w:rsidR="00000000" w:rsidRPr="00000000">
                <w:rPr>
                  <w:color w:val="1155cc"/>
                  <w:sz w:val="24"/>
                  <w:szCs w:val="24"/>
                  <w:u w:val="single"/>
                  <w:rtl w:val="0"/>
                </w:rPr>
                <w:t xml:space="preserve">IMPGS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sz w:val="24"/>
                <w:szCs w:val="24"/>
              </w:rPr>
            </w:pPr>
            <w:hyperlink r:id="rId11">
              <w:r w:rsidDel="00000000" w:rsidR="00000000" w:rsidRPr="00000000">
                <w:rPr>
                  <w:color w:val="1155cc"/>
                  <w:sz w:val="24"/>
                  <w:szCs w:val="24"/>
                  <w:u w:val="single"/>
                  <w:rtl w:val="0"/>
                </w:rPr>
                <w:t xml:space="preserve">EXPGS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sz w:val="24"/>
                <w:szCs w:val="24"/>
              </w:rPr>
            </w:pPr>
            <w:hyperlink r:id="rId12">
              <w:r w:rsidDel="00000000" w:rsidR="00000000" w:rsidRPr="00000000">
                <w:rPr>
                  <w:color w:val="1155cc"/>
                  <w:sz w:val="24"/>
                  <w:szCs w:val="24"/>
                  <w:u w:val="single"/>
                  <w:rtl w:val="0"/>
                </w:rPr>
                <w:t xml:space="preserve">GDI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sz w:val="24"/>
                <w:szCs w:val="24"/>
              </w:rPr>
            </w:pPr>
            <w:hyperlink r:id="rId13">
              <w:r w:rsidDel="00000000" w:rsidR="00000000" w:rsidRPr="00000000">
                <w:rPr>
                  <w:color w:val="1155cc"/>
                  <w:sz w:val="24"/>
                  <w:szCs w:val="24"/>
                  <w:u w:val="single"/>
                  <w:rtl w:val="0"/>
                </w:rPr>
                <w:t xml:space="preserve">GDP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sz w:val="24"/>
                <w:szCs w:val="24"/>
              </w:rPr>
            </w:pPr>
            <w:hyperlink r:id="rId14">
              <w:r w:rsidDel="00000000" w:rsidR="00000000" w:rsidRPr="00000000">
                <w:rPr>
                  <w:color w:val="1155cc"/>
                  <w:sz w:val="24"/>
                  <w:szCs w:val="24"/>
                  <w:u w:val="single"/>
                  <w:rtl w:val="0"/>
                </w:rPr>
                <w:t xml:space="preserve">WAPT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1977-01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sz w:val="24"/>
                <w:szCs w:val="24"/>
              </w:rPr>
            </w:pPr>
            <w:hyperlink r:id="rId15">
              <w:r w:rsidDel="00000000" w:rsidR="00000000" w:rsidRPr="00000000">
                <w:rPr>
                  <w:color w:val="1155cc"/>
                  <w:sz w:val="24"/>
                  <w:szCs w:val="24"/>
                  <w:u w:val="single"/>
                  <w:rtl w:val="0"/>
                </w:rPr>
                <w:t xml:space="preserve">CPI_Rent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1981-01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before="60" w:lineRule="auto"/>
              <w:rPr>
                <w:sz w:val="24"/>
                <w:szCs w:val="24"/>
              </w:rPr>
            </w:pPr>
            <w:hyperlink r:id="rId16">
              <w:r w:rsidDel="00000000" w:rsidR="00000000" w:rsidRPr="00000000">
                <w:rPr>
                  <w:color w:val="1155cc"/>
                  <w:sz w:val="24"/>
                  <w:szCs w:val="24"/>
                  <w:u w:val="single"/>
                  <w:rtl w:val="0"/>
                </w:rPr>
                <w:t xml:space="preserve">Annual Inflation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1960-01-01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spacing w:before="60" w:lineRule="auto"/>
              <w:rPr>
                <w:sz w:val="24"/>
                <w:szCs w:val="24"/>
              </w:rPr>
            </w:pPr>
            <w:hyperlink r:id="rId17">
              <w:r w:rsidDel="00000000" w:rsidR="00000000" w:rsidRPr="00000000">
                <w:rPr>
                  <w:color w:val="1155cc"/>
                  <w:sz w:val="24"/>
                  <w:szCs w:val="24"/>
                  <w:u w:val="single"/>
                  <w:rtl w:val="0"/>
                </w:rPr>
                <w:t xml:space="preserve">Gas Price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1990-08-20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before="60" w:lineRule="auto"/>
              <w:ind w:left="0" w:firstLine="0"/>
              <w:rPr>
                <w:sz w:val="24"/>
                <w:szCs w:val="24"/>
              </w:rPr>
            </w:pPr>
            <w:hyperlink r:id="rId18">
              <w:r w:rsidDel="00000000" w:rsidR="00000000" w:rsidRPr="00000000">
                <w:rPr>
                  <w:color w:val="1155cc"/>
                  <w:sz w:val="24"/>
                  <w:szCs w:val="24"/>
                  <w:u w:val="single"/>
                  <w:rtl w:val="0"/>
                </w:rPr>
                <w:t xml:space="preserve">Disposable Personal Income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1959-01-01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42">
      <w:pPr>
        <w:spacing w:before="0" w:lineRule="auto"/>
        <w:rPr>
          <w:b w:val="1"/>
          <w:u w:val="single"/>
        </w:rPr>
      </w:pPr>
      <w:r w:rsidDel="00000000" w:rsidR="00000000" w:rsidRPr="00000000">
        <w:rPr>
          <w:rtl w:val="0"/>
        </w:rPr>
      </w:r>
    </w:p>
    <w:p w:rsidR="00000000" w:rsidDel="00000000" w:rsidP="00000000" w:rsidRDefault="00000000" w:rsidRPr="00000000" w14:paraId="00000043">
      <w:pPr>
        <w:spacing w:before="0" w:lineRule="auto"/>
        <w:rPr>
          <w:b w:val="1"/>
          <w:u w:val="single"/>
        </w:rPr>
      </w:pPr>
      <w:r w:rsidDel="00000000" w:rsidR="00000000" w:rsidRPr="00000000">
        <w:rPr>
          <w:b w:val="1"/>
          <w:u w:val="single"/>
          <w:rtl w:val="0"/>
        </w:rPr>
        <w:t xml:space="preserve">Chronological Periods</w:t>
      </w:r>
    </w:p>
    <w:p w:rsidR="00000000" w:rsidDel="00000000" w:rsidP="00000000" w:rsidRDefault="00000000" w:rsidRPr="00000000" w14:paraId="00000044">
      <w:pPr>
        <w:rPr/>
      </w:pPr>
      <w:r w:rsidDel="00000000" w:rsidR="00000000" w:rsidRPr="00000000">
        <w:rPr>
          <w:rtl w:val="0"/>
        </w:rPr>
        <w:t xml:space="preserve">1948 (post-recession) - present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Bdr>
          <w:bottom w:color="auto" w:space="7" w:sz="0" w:val="none"/>
        </w:pBdr>
        <w:shd w:fill="ffffff" w:val="clear"/>
        <w:spacing w:after="0" w:before="0" w:line="300" w:lineRule="auto"/>
        <w:rPr>
          <w:b w:val="1"/>
          <w:u w:val="single"/>
        </w:rPr>
      </w:pPr>
      <w:r w:rsidDel="00000000" w:rsidR="00000000" w:rsidRPr="00000000">
        <w:rPr>
          <w:b w:val="1"/>
          <w:u w:val="single"/>
          <w:rtl w:val="0"/>
        </w:rPr>
        <w:t xml:space="preserve">Prediction strategies</w:t>
      </w:r>
    </w:p>
    <w:p w:rsidR="00000000" w:rsidDel="00000000" w:rsidP="00000000" w:rsidRDefault="00000000" w:rsidRPr="00000000" w14:paraId="00000047">
      <w:pPr>
        <w:keepNext w:val="0"/>
        <w:keepLines w:val="0"/>
        <w:pBdr>
          <w:bottom w:color="auto" w:space="7" w:sz="0" w:val="none"/>
        </w:pBdr>
        <w:shd w:fill="ffffff" w:val="clear"/>
        <w:spacing w:after="0" w:before="0" w:line="300" w:lineRule="auto"/>
        <w:rPr/>
      </w:pPr>
      <w:r w:rsidDel="00000000" w:rsidR="00000000" w:rsidRPr="00000000">
        <w:rPr>
          <w:rtl w:val="0"/>
        </w:rPr>
        <w:t xml:space="preserve">Treat all data as time series data and aim to predict the total unemployment rate at t1 using data before t1. E.g. Use all data before and including November 2024 to predict December 2024’s U3 unemployment rate. We’ll combine relevant datasets, imputing/calculating values as necessary, for modeling. We will try different statistical models to find the best one (in terms of prediction accuracy).</w:t>
      </w:r>
    </w:p>
    <w:p w:rsidR="00000000" w:rsidDel="00000000" w:rsidP="00000000" w:rsidRDefault="00000000" w:rsidRPr="00000000" w14:paraId="00000048">
      <w:pPr>
        <w:pStyle w:val="Heading1"/>
        <w:spacing w:after="0" w:before="0" w:lineRule="auto"/>
        <w:rPr>
          <w:b w:val="1"/>
          <w:sz w:val="30"/>
          <w:szCs w:val="30"/>
        </w:rPr>
      </w:pPr>
      <w:bookmarkStart w:colFirst="0" w:colLast="0" w:name="_yspvbn269dwc" w:id="0"/>
      <w:bookmarkEnd w:id="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after="0" w:before="0" w:lineRule="auto"/>
        <w:rPr>
          <w:b w:val="1"/>
          <w:sz w:val="30"/>
          <w:szCs w:val="30"/>
        </w:rPr>
      </w:pPr>
      <w:bookmarkStart w:colFirst="0" w:colLast="0" w:name="_s93u8i4ktb93" w:id="1"/>
      <w:bookmarkEnd w:id="1"/>
      <w:r w:rsidDel="00000000" w:rsidR="00000000" w:rsidRPr="00000000">
        <w:rPr>
          <w:b w:val="1"/>
          <w:sz w:val="30"/>
          <w:szCs w:val="30"/>
          <w:rtl w:val="0"/>
        </w:rPr>
        <w:t xml:space="preserve">(originals below)</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0" w:before="0" w:lineRule="auto"/>
        <w:rPr>
          <w:sz w:val="30"/>
          <w:szCs w:val="30"/>
        </w:rPr>
      </w:pPr>
      <w:bookmarkStart w:colFirst="0" w:colLast="0" w:name="_69tq6h98zr74" w:id="2"/>
      <w:bookmarkEnd w:id="2"/>
      <w:r w:rsidDel="00000000" w:rsidR="00000000" w:rsidRPr="00000000">
        <w:rPr>
          <w:b w:val="1"/>
          <w:sz w:val="30"/>
          <w:szCs w:val="30"/>
          <w:rtl w:val="0"/>
        </w:rPr>
        <w:t xml:space="preserve">Outcome Variable Data Source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Bureau of Labor Statistics: </w:t>
      </w:r>
      <w:hyperlink r:id="rId19">
        <w:r w:rsidDel="00000000" w:rsidR="00000000" w:rsidRPr="00000000">
          <w:rPr>
            <w:color w:val="1155cc"/>
            <w:u w:val="single"/>
            <w:rtl w:val="0"/>
          </w:rPr>
          <w:t xml:space="preserve">https://data.bls.gov/dataViewer/view/timeseries/LNS14000000</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FRED’s U3: </w:t>
      </w:r>
      <w:hyperlink r:id="rId20">
        <w:r w:rsidDel="00000000" w:rsidR="00000000" w:rsidRPr="00000000">
          <w:rPr>
            <w:color w:val="1155cc"/>
            <w:u w:val="single"/>
            <w:rtl w:val="0"/>
          </w:rPr>
          <w:t xml:space="preserve">https://fred.stlouisfed.org/series/UNRATE</w:t>
        </w:r>
      </w:hyperlink>
      <w:r w:rsidDel="00000000" w:rsidR="00000000" w:rsidRPr="00000000">
        <w:rPr>
          <w:rtl w:val="0"/>
        </w:rPr>
      </w:r>
    </w:p>
    <w:p w:rsidR="00000000" w:rsidDel="00000000" w:rsidP="00000000" w:rsidRDefault="00000000" w:rsidRPr="00000000" w14:paraId="0000004E">
      <w:pPr>
        <w:pStyle w:val="Heading1"/>
        <w:spacing w:before="0" w:lineRule="auto"/>
        <w:rPr>
          <w:b w:val="1"/>
        </w:rPr>
      </w:pPr>
      <w:bookmarkStart w:colFirst="0" w:colLast="0" w:name="_9ciip7oyc0yf" w:id="3"/>
      <w:bookmarkEnd w:id="3"/>
      <w:r w:rsidDel="00000000" w:rsidR="00000000" w:rsidRPr="00000000">
        <w:rPr>
          <w:b w:val="1"/>
          <w:sz w:val="30"/>
          <w:szCs w:val="30"/>
          <w:rtl w:val="0"/>
        </w:rPr>
        <w:t xml:space="preserve">Meta Data</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tbl>
      <w:tblPr>
        <w:tblStyle w:val="Table2"/>
        <w:tblW w:w="7605.0" w:type="dxa"/>
        <w:jc w:val="left"/>
        <w:tblLayout w:type="fixed"/>
        <w:tblLook w:val="0600"/>
      </w:tblPr>
      <w:tblGrid>
        <w:gridCol w:w="2535"/>
        <w:gridCol w:w="2535"/>
        <w:gridCol w:w="2535"/>
        <w:tblGridChange w:id="0">
          <w:tblGrid>
            <w:gridCol w:w="2535"/>
            <w:gridCol w:w="2535"/>
            <w:gridCol w:w="253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0">
            <w:pPr>
              <w:rPr>
                <w:b w:val="1"/>
                <w:sz w:val="15"/>
                <w:szCs w:val="15"/>
              </w:rPr>
            </w:pPr>
            <w:r w:rsidDel="00000000" w:rsidR="00000000" w:rsidRPr="00000000">
              <w:rPr>
                <w:b w:val="1"/>
                <w:sz w:val="15"/>
                <w:szCs w:val="15"/>
                <w:rtl w:val="0"/>
              </w:rPr>
              <w:t xml:space="preserve">source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1">
            <w:pPr>
              <w:spacing w:line="240" w:lineRule="auto"/>
              <w:rPr>
                <w:b w:val="1"/>
                <w:sz w:val="15"/>
                <w:szCs w:val="15"/>
              </w:rPr>
            </w:pPr>
            <w:r w:rsidDel="00000000" w:rsidR="00000000" w:rsidRPr="00000000">
              <w:rPr>
                <w:rtl w:val="0"/>
              </w:rPr>
              <w:t xml:space="preserve">DatsRange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2">
            <w:pPr>
              <w:spacing w:line="240" w:lineRule="auto"/>
              <w:rPr>
                <w:b w:val="1"/>
                <w:sz w:val="15"/>
                <w:szCs w:val="15"/>
              </w:rPr>
            </w:pPr>
            <w:r w:rsidDel="00000000" w:rsidR="00000000" w:rsidRPr="00000000">
              <w:rPr>
                <w:rtl w:val="0"/>
              </w:rPr>
              <w:t xml:space="preserve">frequency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b w:val="1"/>
                <w:sz w:val="15"/>
                <w:szCs w:val="15"/>
              </w:rPr>
            </w:pPr>
            <w:r w:rsidDel="00000000" w:rsidR="00000000" w:rsidRPr="00000000">
              <w:rPr>
                <w:b w:val="1"/>
                <w:sz w:val="15"/>
                <w:szCs w:val="15"/>
                <w:rtl w:val="0"/>
              </w:rPr>
              <w:t xml:space="preserve">Civilian Labor Force Level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b w:val="1"/>
                <w:sz w:val="15"/>
                <w:szCs w:val="15"/>
              </w:rPr>
            </w:pPr>
            <w:r w:rsidDel="00000000" w:rsidR="00000000" w:rsidRPr="00000000">
              <w:rPr>
                <w:b w:val="1"/>
                <w:sz w:val="15"/>
                <w:szCs w:val="15"/>
                <w:rtl w:val="0"/>
              </w:rPr>
              <w:t xml:space="preserve">Labor Force Participation Rate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b w:val="1"/>
                <w:sz w:val="15"/>
                <w:szCs w:val="15"/>
              </w:rPr>
            </w:pPr>
            <w:r w:rsidDel="00000000" w:rsidR="00000000" w:rsidRPr="00000000">
              <w:rPr>
                <w:b w:val="1"/>
                <w:sz w:val="15"/>
                <w:szCs w:val="15"/>
                <w:rtl w:val="0"/>
              </w:rPr>
              <w:t xml:space="preserve">Employment Level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b w:val="1"/>
                <w:sz w:val="15"/>
                <w:szCs w:val="15"/>
              </w:rPr>
            </w:pPr>
            <w:r w:rsidDel="00000000" w:rsidR="00000000" w:rsidRPr="00000000">
              <w:rPr>
                <w:b w:val="1"/>
                <w:sz w:val="15"/>
                <w:szCs w:val="15"/>
                <w:rtl w:val="0"/>
              </w:rPr>
              <w:t xml:space="preserve">Employment-Population Ratio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b w:val="1"/>
                <w:sz w:val="15"/>
                <w:szCs w:val="15"/>
              </w:rPr>
            </w:pPr>
            <w:r w:rsidDel="00000000" w:rsidR="00000000" w:rsidRPr="00000000">
              <w:rPr>
                <w:b w:val="1"/>
                <w:sz w:val="15"/>
                <w:szCs w:val="15"/>
                <w:rtl w:val="0"/>
              </w:rPr>
              <w:t xml:space="preserve">Employed, Usually Work Full 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line="240" w:lineRule="auto"/>
              <w:rPr>
                <w:b w:val="1"/>
                <w:sz w:val="15"/>
                <w:szCs w:val="15"/>
              </w:rPr>
            </w:pPr>
            <w:r w:rsidDel="00000000" w:rsidR="00000000" w:rsidRPr="00000000">
              <w:rPr>
                <w:rtl w:val="0"/>
              </w:rPr>
              <w:t xml:space="preserve">1968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b w:val="1"/>
                <w:sz w:val="15"/>
                <w:szCs w:val="15"/>
              </w:rPr>
            </w:pPr>
            <w:r w:rsidDel="00000000" w:rsidR="00000000" w:rsidRPr="00000000">
              <w:rPr>
                <w:b w:val="1"/>
                <w:sz w:val="15"/>
                <w:szCs w:val="15"/>
                <w:rtl w:val="0"/>
              </w:rPr>
              <w:t xml:space="preserve">Employed, Usually Work Part 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line="240" w:lineRule="auto"/>
              <w:rPr>
                <w:b w:val="1"/>
                <w:sz w:val="15"/>
                <w:szCs w:val="15"/>
              </w:rPr>
            </w:pPr>
            <w:r w:rsidDel="00000000" w:rsidR="00000000" w:rsidRPr="00000000">
              <w:rPr>
                <w:rtl w:val="0"/>
              </w:rPr>
              <w:t xml:space="preserve">1968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b w:val="1"/>
                <w:sz w:val="15"/>
                <w:szCs w:val="15"/>
              </w:rPr>
            </w:pPr>
            <w:r w:rsidDel="00000000" w:rsidR="00000000" w:rsidRPr="00000000">
              <w:rPr>
                <w:b w:val="1"/>
                <w:sz w:val="15"/>
                <w:szCs w:val="15"/>
                <w:rtl w:val="0"/>
              </w:rPr>
              <w:t xml:space="preserve">Unemployment Level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rPr>
                <w:b w:val="1"/>
                <w:sz w:val="15"/>
                <w:szCs w:val="15"/>
              </w:rPr>
            </w:pPr>
            <w:r w:rsidDel="00000000" w:rsidR="00000000" w:rsidRPr="00000000">
              <w:rPr>
                <w:b w:val="1"/>
                <w:sz w:val="15"/>
                <w:szCs w:val="15"/>
                <w:rtl w:val="0"/>
              </w:rPr>
              <w:t xml:space="preserve">Unemployment Rate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b w:val="1"/>
                <w:sz w:val="15"/>
                <w:szCs w:val="15"/>
              </w:rPr>
            </w:pPr>
            <w:r w:rsidDel="00000000" w:rsidR="00000000" w:rsidRPr="00000000">
              <w:rPr>
                <w:b w:val="1"/>
                <w:sz w:val="15"/>
                <w:szCs w:val="15"/>
                <w:rtl w:val="0"/>
              </w:rPr>
              <w:t xml:space="preserve">Average Weeks Unemployed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spacing w:line="240" w:lineRule="auto"/>
              <w:rPr>
                <w:b w:val="1"/>
                <w:sz w:val="15"/>
                <w:szCs w:val="15"/>
              </w:rPr>
            </w:pPr>
            <w:r w:rsidDel="00000000" w:rsidR="00000000" w:rsidRPr="00000000">
              <w:rPr>
                <w:rtl w:val="0"/>
              </w:rPr>
              <w:t xml:space="preserve">1967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b w:val="1"/>
                <w:sz w:val="15"/>
                <w:szCs w:val="15"/>
              </w:rPr>
            </w:pPr>
            <w:r w:rsidDel="00000000" w:rsidR="00000000" w:rsidRPr="00000000">
              <w:rPr>
                <w:b w:val="1"/>
                <w:sz w:val="15"/>
                <w:szCs w:val="15"/>
                <w:rtl w:val="0"/>
              </w:rPr>
              <w:t xml:space="preserve">Not in Labor Force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pacing w:line="240" w:lineRule="auto"/>
              <w:rPr>
                <w:b w:val="1"/>
                <w:sz w:val="15"/>
                <w:szCs w:val="15"/>
              </w:rPr>
            </w:pPr>
            <w:r w:rsidDel="00000000" w:rsidR="00000000" w:rsidRPr="00000000">
              <w:rPr>
                <w:rtl w:val="0"/>
              </w:rPr>
              <w:t xml:space="preserve">1967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b w:val="1"/>
                <w:sz w:val="15"/>
                <w:szCs w:val="15"/>
              </w:rPr>
            </w:pPr>
            <w:r w:rsidDel="00000000" w:rsidR="00000000" w:rsidRPr="00000000">
              <w:rPr>
                <w:b w:val="1"/>
                <w:sz w:val="15"/>
                <w:szCs w:val="15"/>
                <w:rtl w:val="0"/>
              </w:rPr>
              <w:t xml:space="preserve">Total unemployed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b w:val="1"/>
                <w:sz w:val="15"/>
                <w:szCs w:val="15"/>
              </w:rPr>
            </w:pPr>
            <w:r w:rsidDel="00000000" w:rsidR="00000000" w:rsidRPr="00000000">
              <w:rPr>
                <w:b w:val="1"/>
                <w:sz w:val="15"/>
                <w:szCs w:val="15"/>
                <w:rtl w:val="0"/>
              </w:rPr>
              <w:t xml:space="preserve">Multiple Jobholders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spacing w:line="240" w:lineRule="auto"/>
              <w:rPr>
                <w:b w:val="1"/>
                <w:sz w:val="15"/>
                <w:szCs w:val="15"/>
              </w:rPr>
            </w:pPr>
            <w:r w:rsidDel="00000000" w:rsidR="00000000" w:rsidRPr="00000000">
              <w:rPr>
                <w:rtl w:val="0"/>
              </w:rPr>
              <w:t xml:space="preserve">1967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b w:val="1"/>
                <w:sz w:val="15"/>
                <w:szCs w:val="15"/>
              </w:rPr>
            </w:pPr>
            <w:r w:rsidDel="00000000" w:rsidR="00000000" w:rsidRPr="00000000">
              <w:rPr>
                <w:b w:val="1"/>
                <w:sz w:val="15"/>
                <w:szCs w:val="15"/>
                <w:rtl w:val="0"/>
              </w:rPr>
              <w:t xml:space="preserve">Multiple Jobholders as a Percent of Employed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spacing w:line="240" w:lineRule="auto"/>
              <w:rPr>
                <w:b w:val="1"/>
                <w:sz w:val="15"/>
                <w:szCs w:val="15"/>
              </w:rPr>
            </w:pPr>
            <w:r w:rsidDel="00000000" w:rsidR="00000000" w:rsidRPr="00000000">
              <w:rPr>
                <w:rtl w:val="0"/>
              </w:rPr>
              <w:t xml:space="preserve">1979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600"/>
        <w:gridCol w:w="2370"/>
        <w:tblGridChange w:id="0">
          <w:tblGrid>
            <w:gridCol w:w="3390"/>
            <w:gridCol w:w="3600"/>
            <w:gridCol w:w="237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hd w:fill="ffffff" w:val="clear"/>
              <w:rPr/>
            </w:pPr>
            <w:hyperlink r:id="rId21">
              <w:r w:rsidDel="00000000" w:rsidR="00000000" w:rsidRPr="00000000">
                <w:rPr>
                  <w:color w:val="1155cc"/>
                  <w:sz w:val="24"/>
                  <w:szCs w:val="24"/>
                  <w:u w:val="single"/>
                  <w:rtl w:val="0"/>
                </w:rPr>
                <w:t xml:space="preserve">CPI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1948-01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Monthly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rPr>
                <w:sz w:val="24"/>
                <w:szCs w:val="24"/>
              </w:rPr>
            </w:pPr>
            <w:hyperlink r:id="rId22">
              <w:r w:rsidDel="00000000" w:rsidR="00000000" w:rsidRPr="00000000">
                <w:rPr>
                  <w:color w:val="1155cc"/>
                  <w:sz w:val="24"/>
                  <w:szCs w:val="24"/>
                  <w:u w:val="single"/>
                  <w:rtl w:val="0"/>
                </w:rPr>
                <w:t xml:space="preserve">EFFR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2000-07-03 to 2024-11-09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hd w:fill="ffffff" w:val="clear"/>
              <w:rPr>
                <w:sz w:val="24"/>
                <w:szCs w:val="24"/>
              </w:rPr>
            </w:pPr>
            <w:hyperlink r:id="rId23">
              <w:r w:rsidDel="00000000" w:rsidR="00000000" w:rsidRPr="00000000">
                <w:rPr>
                  <w:color w:val="1155cc"/>
                  <w:sz w:val="24"/>
                  <w:szCs w:val="24"/>
                  <w:u w:val="single"/>
                  <w:rtl w:val="0"/>
                </w:rPr>
                <w:t xml:space="preserve">IMPGS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Quarterly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hd w:fill="ffffff" w:val="clear"/>
              <w:rPr>
                <w:sz w:val="24"/>
                <w:szCs w:val="24"/>
              </w:rPr>
            </w:pPr>
            <w:hyperlink r:id="rId24">
              <w:r w:rsidDel="00000000" w:rsidR="00000000" w:rsidRPr="00000000">
                <w:rPr>
                  <w:color w:val="1155cc"/>
                  <w:sz w:val="24"/>
                  <w:szCs w:val="24"/>
                  <w:u w:val="single"/>
                  <w:rtl w:val="0"/>
                </w:rPr>
                <w:t xml:space="preserve">EXPGS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Quarterly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hd w:fill="ffffff" w:val="clear"/>
              <w:rPr>
                <w:sz w:val="24"/>
                <w:szCs w:val="24"/>
              </w:rPr>
            </w:pPr>
            <w:hyperlink r:id="rId25">
              <w:r w:rsidDel="00000000" w:rsidR="00000000" w:rsidRPr="00000000">
                <w:rPr>
                  <w:color w:val="1155cc"/>
                  <w:sz w:val="24"/>
                  <w:szCs w:val="24"/>
                  <w:u w:val="single"/>
                  <w:rtl w:val="0"/>
                </w:rPr>
                <w:t xml:space="preserve">GDI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Quarterly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hd w:fill="ffffff" w:val="clear"/>
              <w:rPr>
                <w:sz w:val="24"/>
                <w:szCs w:val="24"/>
              </w:rPr>
            </w:pPr>
            <w:hyperlink r:id="rId26">
              <w:r w:rsidDel="00000000" w:rsidR="00000000" w:rsidRPr="00000000">
                <w:rPr>
                  <w:color w:val="1155cc"/>
                  <w:sz w:val="24"/>
                  <w:szCs w:val="24"/>
                  <w:u w:val="single"/>
                  <w:rtl w:val="0"/>
                </w:rPr>
                <w:t xml:space="preserve">GDP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Quarterly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hd w:fill="ffffff" w:val="clear"/>
              <w:rPr>
                <w:sz w:val="24"/>
                <w:szCs w:val="24"/>
              </w:rPr>
            </w:pPr>
            <w:hyperlink r:id="rId27">
              <w:r w:rsidDel="00000000" w:rsidR="00000000" w:rsidRPr="00000000">
                <w:rPr>
                  <w:color w:val="1155cc"/>
                  <w:sz w:val="24"/>
                  <w:szCs w:val="24"/>
                  <w:u w:val="single"/>
                  <w:rtl w:val="0"/>
                </w:rPr>
                <w:t xml:space="preserve">WAPT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1977-01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Monthly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hd w:fill="ffffff" w:val="clear"/>
              <w:rPr>
                <w:sz w:val="24"/>
                <w:szCs w:val="24"/>
              </w:rPr>
            </w:pPr>
            <w:hyperlink r:id="rId28">
              <w:r w:rsidDel="00000000" w:rsidR="00000000" w:rsidRPr="00000000">
                <w:rPr>
                  <w:color w:val="1155cc"/>
                  <w:sz w:val="24"/>
                  <w:szCs w:val="24"/>
                  <w:u w:val="single"/>
                  <w:rtl w:val="0"/>
                </w:rPr>
                <w:t xml:space="preserve">CPI_Rent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1981-01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Monthly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hd w:fill="ffffff" w:val="clear"/>
              <w:spacing w:before="60" w:lineRule="auto"/>
              <w:rPr>
                <w:sz w:val="24"/>
                <w:szCs w:val="24"/>
              </w:rPr>
            </w:pPr>
            <w:hyperlink r:id="rId29">
              <w:r w:rsidDel="00000000" w:rsidR="00000000" w:rsidRPr="00000000">
                <w:rPr>
                  <w:color w:val="1155cc"/>
                  <w:sz w:val="24"/>
                  <w:szCs w:val="24"/>
                  <w:u w:val="single"/>
                  <w:rtl w:val="0"/>
                </w:rPr>
                <w:t xml:space="preserve">Annual Inflation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1960-01-01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Yearly</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hd w:fill="ffffff" w:val="clear"/>
              <w:spacing w:before="60" w:lineRule="auto"/>
              <w:rPr>
                <w:sz w:val="24"/>
                <w:szCs w:val="24"/>
              </w:rPr>
            </w:pPr>
            <w:hyperlink r:id="rId30">
              <w:r w:rsidDel="00000000" w:rsidR="00000000" w:rsidRPr="00000000">
                <w:rPr>
                  <w:color w:val="1155cc"/>
                  <w:sz w:val="24"/>
                  <w:szCs w:val="24"/>
                  <w:u w:val="single"/>
                  <w:rtl w:val="0"/>
                </w:rPr>
                <w:t xml:space="preserve">Gas Price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1990-08-20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Weekly</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hd w:fill="ffffff" w:val="clear"/>
              <w:spacing w:before="60" w:lineRule="auto"/>
              <w:rPr>
                <w:sz w:val="24"/>
                <w:szCs w:val="24"/>
              </w:rPr>
            </w:pPr>
            <w:hyperlink r:id="rId31">
              <w:r w:rsidDel="00000000" w:rsidR="00000000" w:rsidRPr="00000000">
                <w:rPr>
                  <w:color w:val="1155cc"/>
                  <w:sz w:val="24"/>
                  <w:szCs w:val="24"/>
                  <w:u w:val="single"/>
                  <w:rtl w:val="0"/>
                </w:rPr>
                <w:t xml:space="preserve">Disposable Personal Income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1959-01-01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Monthly</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pStyle w:val="Heading1"/>
        <w:spacing w:before="0" w:lineRule="auto"/>
        <w:rPr>
          <w:b w:val="1"/>
          <w:color w:val="1f2328"/>
          <w:sz w:val="30"/>
          <w:szCs w:val="30"/>
        </w:rPr>
      </w:pPr>
      <w:bookmarkStart w:colFirst="0" w:colLast="0" w:name="_ukd8x347nkl2" w:id="4"/>
      <w:bookmarkEnd w:id="4"/>
      <w:r w:rsidDel="00000000" w:rsidR="00000000" w:rsidRPr="00000000">
        <w:rPr>
          <w:b w:val="1"/>
          <w:color w:val="1f2328"/>
          <w:sz w:val="30"/>
          <w:szCs w:val="30"/>
          <w:rtl w:val="0"/>
        </w:rPr>
        <w:t xml:space="preserve">Chronological Periods</w:t>
      </w:r>
    </w:p>
    <w:p w:rsidR="00000000" w:rsidDel="00000000" w:rsidP="00000000" w:rsidRDefault="00000000" w:rsidRPr="00000000" w14:paraId="000000A1">
      <w:pPr>
        <w:rPr/>
      </w:pPr>
      <w:r w:rsidDel="00000000" w:rsidR="00000000" w:rsidRPr="00000000">
        <w:rPr>
          <w:rtl w:val="0"/>
        </w:rPr>
        <w:t xml:space="preserve">1948</w:t>
      </w:r>
      <w:r w:rsidDel="00000000" w:rsidR="00000000" w:rsidRPr="00000000">
        <w:rPr>
          <w:rtl w:val="0"/>
        </w:rPr>
        <w:t xml:space="preserve"> (post-recession) - present </w:t>
      </w:r>
      <w:r w:rsidDel="00000000" w:rsidR="00000000" w:rsidRPr="00000000">
        <w:rPr>
          <w:rtl w:val="0"/>
        </w:rPr>
      </w:r>
    </w:p>
    <w:p w:rsidR="00000000" w:rsidDel="00000000" w:rsidP="00000000" w:rsidRDefault="00000000" w:rsidRPr="00000000" w14:paraId="000000A2">
      <w:pPr>
        <w:pStyle w:val="Heading1"/>
        <w:keepNext w:val="0"/>
        <w:keepLines w:val="0"/>
        <w:pBdr>
          <w:bottom w:color="auto" w:space="7" w:sz="0" w:val="none"/>
        </w:pBdr>
        <w:shd w:fill="ffffff" w:val="clear"/>
        <w:spacing w:after="0" w:before="0" w:line="300" w:lineRule="auto"/>
        <w:rPr>
          <w:b w:val="1"/>
          <w:color w:val="1f2328"/>
          <w:sz w:val="48"/>
          <w:szCs w:val="48"/>
        </w:rPr>
      </w:pPr>
      <w:bookmarkStart w:colFirst="0" w:colLast="0" w:name="_15fkrt6cjz0n" w:id="5"/>
      <w:bookmarkEnd w:id="5"/>
      <w:r w:rsidDel="00000000" w:rsidR="00000000" w:rsidRPr="00000000">
        <w:rPr>
          <w:b w:val="1"/>
          <w:sz w:val="30"/>
          <w:szCs w:val="30"/>
          <w:rtl w:val="0"/>
        </w:rPr>
        <w:t xml:space="preserve">Data Sources for Feature Variables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From US Bureau of Labor Statistics:</w:t>
      </w:r>
    </w:p>
    <w:p w:rsidR="00000000" w:rsidDel="00000000" w:rsidP="00000000" w:rsidRDefault="00000000" w:rsidRPr="00000000" w14:paraId="000000A4">
      <w:pPr>
        <w:numPr>
          <w:ilvl w:val="0"/>
          <w:numId w:val="1"/>
        </w:numPr>
        <w:shd w:fill="ffffff" w:val="clear"/>
        <w:ind w:left="720" w:hanging="360"/>
        <w:rPr/>
      </w:pPr>
      <w:hyperlink r:id="rId32">
        <w:r w:rsidDel="00000000" w:rsidR="00000000" w:rsidRPr="00000000">
          <w:rPr>
            <w:color w:val="1155cc"/>
            <w:u w:val="single"/>
            <w:rtl w:val="0"/>
          </w:rPr>
          <w:t xml:space="preserve">Possible data sets</w:t>
        </w:r>
      </w:hyperlink>
      <w:r w:rsidDel="00000000" w:rsidR="00000000" w:rsidRPr="00000000">
        <w:rPr>
          <w:rtl w:val="0"/>
        </w:rPr>
        <w:t xml:space="preserve"> that include employment-related metrics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From FRED</w:t>
      </w:r>
      <w:r w:rsidDel="00000000" w:rsidR="00000000" w:rsidRPr="00000000">
        <w:rPr>
          <w:rtl w:val="0"/>
        </w:rPr>
      </w:r>
    </w:p>
    <w:p w:rsidR="00000000" w:rsidDel="00000000" w:rsidP="00000000" w:rsidRDefault="00000000" w:rsidRPr="00000000" w14:paraId="000000A6">
      <w:pPr>
        <w:numPr>
          <w:ilvl w:val="0"/>
          <w:numId w:val="1"/>
        </w:numPr>
        <w:shd w:fill="ffffff" w:val="clear"/>
        <w:spacing w:after="0" w:afterAutospacing="0"/>
        <w:ind w:left="720" w:hanging="360"/>
        <w:rPr/>
      </w:pPr>
      <w:hyperlink r:id="rId33">
        <w:r w:rsidDel="00000000" w:rsidR="00000000" w:rsidRPr="00000000">
          <w:rPr>
            <w:color w:val="1155cc"/>
            <w:sz w:val="24"/>
            <w:szCs w:val="24"/>
            <w:u w:val="single"/>
            <w:rtl w:val="0"/>
          </w:rPr>
          <w:t xml:space="preserve">Consumer Price Index</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(CPI)</w:t>
      </w:r>
    </w:p>
    <w:p w:rsidR="00000000" w:rsidDel="00000000" w:rsidP="00000000" w:rsidRDefault="00000000" w:rsidRPr="00000000" w14:paraId="000000A7">
      <w:pPr>
        <w:numPr>
          <w:ilvl w:val="0"/>
          <w:numId w:val="1"/>
        </w:numPr>
        <w:shd w:fill="ffffff" w:val="clear"/>
        <w:spacing w:after="0" w:afterAutospacing="0" w:before="0" w:beforeAutospacing="0" w:lineRule="auto"/>
        <w:ind w:left="720" w:hanging="360"/>
        <w:rPr/>
      </w:pPr>
      <w:hyperlink r:id="rId34">
        <w:r w:rsidDel="00000000" w:rsidR="00000000" w:rsidRPr="00000000">
          <w:rPr>
            <w:color w:val="1155cc"/>
            <w:sz w:val="24"/>
            <w:szCs w:val="24"/>
            <w:u w:val="single"/>
            <w:rtl w:val="0"/>
          </w:rPr>
          <w:t xml:space="preserve">Effective Federal Funds rate (interest rate)</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(EFFR)</w:t>
      </w:r>
    </w:p>
    <w:p w:rsidR="00000000" w:rsidDel="00000000" w:rsidP="00000000" w:rsidRDefault="00000000" w:rsidRPr="00000000" w14:paraId="000000A8">
      <w:pPr>
        <w:numPr>
          <w:ilvl w:val="0"/>
          <w:numId w:val="1"/>
        </w:numPr>
        <w:shd w:fill="ffffff" w:val="clear"/>
        <w:spacing w:after="0" w:afterAutospacing="0" w:before="0" w:beforeAutospacing="0" w:lineRule="auto"/>
        <w:ind w:left="720" w:hanging="360"/>
        <w:rPr/>
      </w:pPr>
      <w:hyperlink r:id="rId35">
        <w:r w:rsidDel="00000000" w:rsidR="00000000" w:rsidRPr="00000000">
          <w:rPr>
            <w:color w:val="1155cc"/>
            <w:sz w:val="24"/>
            <w:szCs w:val="24"/>
            <w:u w:val="single"/>
            <w:rtl w:val="0"/>
          </w:rPr>
          <w:t xml:space="preserve">Total Value of Imported Goods and Services</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(IMPGS)</w:t>
      </w:r>
    </w:p>
    <w:p w:rsidR="00000000" w:rsidDel="00000000" w:rsidP="00000000" w:rsidRDefault="00000000" w:rsidRPr="00000000" w14:paraId="000000A9">
      <w:pPr>
        <w:numPr>
          <w:ilvl w:val="0"/>
          <w:numId w:val="1"/>
        </w:numPr>
        <w:shd w:fill="ffffff" w:val="clear"/>
        <w:spacing w:after="0" w:afterAutospacing="0" w:before="0" w:beforeAutospacing="0" w:lineRule="auto"/>
        <w:ind w:left="720" w:hanging="360"/>
        <w:rPr/>
      </w:pPr>
      <w:hyperlink r:id="rId36">
        <w:r w:rsidDel="00000000" w:rsidR="00000000" w:rsidRPr="00000000">
          <w:rPr>
            <w:color w:val="1155cc"/>
            <w:sz w:val="24"/>
            <w:szCs w:val="24"/>
            <w:u w:val="single"/>
            <w:rtl w:val="0"/>
          </w:rPr>
          <w:t xml:space="preserve">Total Value of Exported Goods and Services</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(EXPGS)</w:t>
      </w:r>
    </w:p>
    <w:p w:rsidR="00000000" w:rsidDel="00000000" w:rsidP="00000000" w:rsidRDefault="00000000" w:rsidRPr="00000000" w14:paraId="000000AA">
      <w:pPr>
        <w:numPr>
          <w:ilvl w:val="0"/>
          <w:numId w:val="1"/>
        </w:numPr>
        <w:shd w:fill="ffffff" w:val="clear"/>
        <w:spacing w:after="0" w:afterAutospacing="0" w:before="0" w:beforeAutospacing="0" w:lineRule="auto"/>
        <w:ind w:left="720" w:hanging="360"/>
        <w:rPr/>
      </w:pPr>
      <w:hyperlink r:id="rId37">
        <w:r w:rsidDel="00000000" w:rsidR="00000000" w:rsidRPr="00000000">
          <w:rPr>
            <w:color w:val="1155cc"/>
            <w:sz w:val="24"/>
            <w:szCs w:val="24"/>
            <w:u w:val="single"/>
            <w:rtl w:val="0"/>
          </w:rPr>
          <w:t xml:space="preserve">Gross Domestic Income</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(GDI)</w:t>
      </w:r>
    </w:p>
    <w:p w:rsidR="00000000" w:rsidDel="00000000" w:rsidP="00000000" w:rsidRDefault="00000000" w:rsidRPr="00000000" w14:paraId="000000AB">
      <w:pPr>
        <w:numPr>
          <w:ilvl w:val="0"/>
          <w:numId w:val="1"/>
        </w:numPr>
        <w:shd w:fill="ffffff" w:val="clear"/>
        <w:spacing w:after="0" w:afterAutospacing="0" w:before="0" w:beforeAutospacing="0" w:lineRule="auto"/>
        <w:ind w:left="720" w:hanging="360"/>
        <w:rPr/>
      </w:pPr>
      <w:hyperlink r:id="rId38">
        <w:r w:rsidDel="00000000" w:rsidR="00000000" w:rsidRPr="00000000">
          <w:rPr>
            <w:color w:val="1155cc"/>
            <w:sz w:val="24"/>
            <w:szCs w:val="24"/>
            <w:u w:val="single"/>
            <w:rtl w:val="0"/>
          </w:rPr>
          <w:t xml:space="preserve">Gross Domestic Product</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(GDP)</w:t>
      </w:r>
    </w:p>
    <w:p w:rsidR="00000000" w:rsidDel="00000000" w:rsidP="00000000" w:rsidRDefault="00000000" w:rsidRPr="00000000" w14:paraId="000000AC">
      <w:pPr>
        <w:numPr>
          <w:ilvl w:val="0"/>
          <w:numId w:val="1"/>
        </w:numPr>
        <w:shd w:fill="ffffff" w:val="clear"/>
        <w:spacing w:after="0" w:afterAutospacing="0" w:before="0" w:beforeAutospacing="0" w:lineRule="auto"/>
        <w:ind w:left="720" w:hanging="360"/>
        <w:rPr/>
      </w:pPr>
      <w:hyperlink r:id="rId39">
        <w:r w:rsidDel="00000000" w:rsidR="00000000" w:rsidRPr="00000000">
          <w:rPr>
            <w:color w:val="1155cc"/>
            <w:sz w:val="24"/>
            <w:szCs w:val="24"/>
            <w:u w:val="single"/>
            <w:rtl w:val="0"/>
          </w:rPr>
          <w:t xml:space="preserve">Infra-Annual Labor Statistics: Working-Age Population Total: From 15 to 64 Years for United States</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(WAPT)</w:t>
      </w:r>
      <w:r w:rsidDel="00000000" w:rsidR="00000000" w:rsidRPr="00000000">
        <w:rPr>
          <w:rtl w:val="0"/>
        </w:rPr>
      </w:r>
    </w:p>
    <w:p w:rsidR="00000000" w:rsidDel="00000000" w:rsidP="00000000" w:rsidRDefault="00000000" w:rsidRPr="00000000" w14:paraId="000000AD">
      <w:pPr>
        <w:numPr>
          <w:ilvl w:val="0"/>
          <w:numId w:val="1"/>
        </w:numPr>
        <w:shd w:fill="ffffff" w:val="clear"/>
        <w:spacing w:after="0" w:afterAutospacing="0" w:before="0" w:beforeAutospacing="0" w:lineRule="auto"/>
        <w:ind w:left="720" w:hanging="360"/>
        <w:rPr/>
      </w:pPr>
      <w:hyperlink r:id="rId40">
        <w:r w:rsidDel="00000000" w:rsidR="00000000" w:rsidRPr="00000000">
          <w:rPr>
            <w:color w:val="1155cc"/>
            <w:sz w:val="24"/>
            <w:szCs w:val="24"/>
            <w:u w:val="single"/>
            <w:rtl w:val="0"/>
          </w:rPr>
          <w:t xml:space="preserve">Consumer Price Index for All Urban Consumers: Rent of Primary Residence in U.S. City Average</w:t>
        </w:r>
      </w:hyperlink>
      <w:r w:rsidDel="00000000" w:rsidR="00000000" w:rsidRPr="00000000">
        <w:rPr>
          <w:color w:val="1155cc"/>
          <w:sz w:val="24"/>
          <w:szCs w:val="24"/>
          <w:u w:val="single"/>
          <w:rtl w:val="0"/>
        </w:rPr>
        <w:t xml:space="preserve"> </w:t>
      </w:r>
      <w:r w:rsidDel="00000000" w:rsidR="00000000" w:rsidRPr="00000000">
        <w:rPr>
          <w:b w:val="1"/>
          <w:color w:val="1155cc"/>
          <w:sz w:val="24"/>
          <w:szCs w:val="24"/>
          <w:u w:val="single"/>
          <w:rtl w:val="0"/>
        </w:rPr>
        <w:t xml:space="preserve">(CPI_Rent)</w:t>
      </w:r>
    </w:p>
    <w:p w:rsidR="00000000" w:rsidDel="00000000" w:rsidP="00000000" w:rsidRDefault="00000000" w:rsidRPr="00000000" w14:paraId="000000AE">
      <w:pPr>
        <w:numPr>
          <w:ilvl w:val="0"/>
          <w:numId w:val="1"/>
        </w:numPr>
        <w:shd w:fill="ffffff" w:val="clear"/>
        <w:spacing w:after="0" w:afterAutospacing="0" w:before="0" w:beforeAutospacing="0" w:lineRule="auto"/>
        <w:ind w:left="720" w:hanging="360"/>
        <w:rPr>
          <w:sz w:val="24"/>
          <w:szCs w:val="24"/>
        </w:rPr>
      </w:pPr>
      <w:hyperlink r:id="rId41">
        <w:r w:rsidDel="00000000" w:rsidR="00000000" w:rsidRPr="00000000">
          <w:rPr>
            <w:color w:val="1155cc"/>
            <w:sz w:val="24"/>
            <w:szCs w:val="24"/>
            <w:u w:val="single"/>
            <w:rtl w:val="0"/>
          </w:rPr>
          <w:t xml:space="preserve">Annual Inflation</w:t>
        </w:r>
      </w:hyperlink>
      <w:r w:rsidDel="00000000" w:rsidR="00000000" w:rsidRPr="00000000">
        <w:rPr>
          <w:sz w:val="24"/>
          <w:szCs w:val="24"/>
          <w:u w:val="single"/>
          <w:rtl w:val="0"/>
        </w:rPr>
        <w:t xml:space="preserve"> (FRED)</w:t>
      </w:r>
    </w:p>
    <w:p w:rsidR="00000000" w:rsidDel="00000000" w:rsidP="00000000" w:rsidRDefault="00000000" w:rsidRPr="00000000" w14:paraId="000000AF">
      <w:pPr>
        <w:numPr>
          <w:ilvl w:val="1"/>
          <w:numId w:val="1"/>
        </w:numPr>
        <w:shd w:fill="ffffff" w:val="clear"/>
        <w:spacing w:after="0" w:afterAutospacing="0" w:before="0" w:beforeAutospacing="0" w:lineRule="auto"/>
        <w:ind w:left="1440" w:hanging="360"/>
        <w:rPr>
          <w:sz w:val="24"/>
          <w:szCs w:val="24"/>
          <w:u w:val="none"/>
        </w:rPr>
      </w:pPr>
      <w:hyperlink r:id="rId42">
        <w:r w:rsidDel="00000000" w:rsidR="00000000" w:rsidRPr="00000000">
          <w:rPr>
            <w:color w:val="1155cc"/>
            <w:sz w:val="24"/>
            <w:szCs w:val="24"/>
            <w:u w:val="single"/>
            <w:rtl w:val="0"/>
          </w:rPr>
          <w:t xml:space="preserve">Inflation - Economic Data Series | FRED | St. Louis Fed</w:t>
        </w:r>
      </w:hyperlink>
      <w:r w:rsidDel="00000000" w:rsidR="00000000" w:rsidRPr="00000000">
        <w:rPr>
          <w:sz w:val="24"/>
          <w:szCs w:val="24"/>
          <w:u w:val="single"/>
          <w:rtl w:val="0"/>
        </w:rPr>
        <w:t xml:space="preserve"> (other options)</w:t>
      </w:r>
    </w:p>
    <w:p w:rsidR="00000000" w:rsidDel="00000000" w:rsidP="00000000" w:rsidRDefault="00000000" w:rsidRPr="00000000" w14:paraId="000000B0">
      <w:pPr>
        <w:numPr>
          <w:ilvl w:val="1"/>
          <w:numId w:val="1"/>
        </w:numPr>
        <w:shd w:fill="ffffff" w:val="clear"/>
        <w:spacing w:after="0" w:afterAutospacing="0" w:before="0" w:beforeAutospacing="0" w:lineRule="auto"/>
        <w:ind w:left="1440" w:hanging="360"/>
        <w:rPr>
          <w:sz w:val="24"/>
          <w:szCs w:val="24"/>
          <w:u w:val="none"/>
        </w:rPr>
      </w:pPr>
      <w:hyperlink r:id="rId43">
        <w:r w:rsidDel="00000000" w:rsidR="00000000" w:rsidRPr="00000000">
          <w:rPr>
            <w:color w:val="1155cc"/>
            <w:sz w:val="24"/>
            <w:szCs w:val="24"/>
            <w:u w:val="single"/>
            <w:rtl w:val="0"/>
          </w:rPr>
          <w:t xml:space="preserve">https://fred.stlouisfed.org/series/T5YIFR</w:t>
        </w:r>
      </w:hyperlink>
      <w:r w:rsidDel="00000000" w:rsidR="00000000" w:rsidRPr="00000000">
        <w:rPr>
          <w:rtl w:val="0"/>
        </w:rPr>
      </w:r>
    </w:p>
    <w:p w:rsidR="00000000" w:rsidDel="00000000" w:rsidP="00000000" w:rsidRDefault="00000000" w:rsidRPr="00000000" w14:paraId="000000B1">
      <w:pPr>
        <w:numPr>
          <w:ilvl w:val="0"/>
          <w:numId w:val="1"/>
        </w:numPr>
        <w:shd w:fill="ffffff" w:val="clear"/>
        <w:spacing w:after="0" w:afterAutospacing="0" w:before="0" w:beforeAutospacing="0" w:lineRule="auto"/>
        <w:ind w:left="720" w:hanging="360"/>
        <w:rPr>
          <w:sz w:val="24"/>
          <w:szCs w:val="24"/>
          <w:u w:val="none"/>
        </w:rPr>
      </w:pPr>
      <w:hyperlink r:id="rId44">
        <w:r w:rsidDel="00000000" w:rsidR="00000000" w:rsidRPr="00000000">
          <w:rPr>
            <w:color w:val="1155cc"/>
            <w:sz w:val="24"/>
            <w:szCs w:val="24"/>
            <w:u w:val="single"/>
            <w:rtl w:val="0"/>
          </w:rPr>
          <w:t xml:space="preserve">US Regular All Formulations Gas Price</w:t>
        </w:r>
      </w:hyperlink>
      <w:r w:rsidDel="00000000" w:rsidR="00000000" w:rsidRPr="00000000">
        <w:rPr>
          <w:b w:val="1"/>
          <w:color w:val="1155cc"/>
          <w:sz w:val="24"/>
          <w:szCs w:val="24"/>
          <w:u w:val="single"/>
          <w:rtl w:val="0"/>
        </w:rPr>
        <w:t xml:space="preserve"> (GASREGW)</w:t>
      </w:r>
      <w:r w:rsidDel="00000000" w:rsidR="00000000" w:rsidRPr="00000000">
        <w:rPr>
          <w:rtl w:val="0"/>
        </w:rPr>
      </w:r>
    </w:p>
    <w:p w:rsidR="00000000" w:rsidDel="00000000" w:rsidP="00000000" w:rsidRDefault="00000000" w:rsidRPr="00000000" w14:paraId="000000B2">
      <w:pPr>
        <w:numPr>
          <w:ilvl w:val="0"/>
          <w:numId w:val="1"/>
        </w:numPr>
        <w:shd w:fill="ffffff" w:val="clear"/>
        <w:spacing w:after="0" w:afterAutospacing="0" w:before="0" w:beforeAutospacing="0" w:lineRule="auto"/>
        <w:ind w:left="720" w:hanging="360"/>
        <w:rPr>
          <w:sz w:val="24"/>
          <w:szCs w:val="24"/>
          <w:u w:val="none"/>
        </w:rPr>
      </w:pPr>
      <w:hyperlink r:id="rId45">
        <w:r w:rsidDel="00000000" w:rsidR="00000000" w:rsidRPr="00000000">
          <w:rPr>
            <w:color w:val="1155cc"/>
            <w:sz w:val="24"/>
            <w:szCs w:val="24"/>
            <w:u w:val="single"/>
            <w:rtl w:val="0"/>
          </w:rPr>
          <w:t xml:space="preserve">Personal Savings</w:t>
        </w:r>
      </w:hyperlink>
      <w:r w:rsidDel="00000000" w:rsidR="00000000" w:rsidRPr="00000000">
        <w:rPr>
          <w:sz w:val="24"/>
          <w:szCs w:val="24"/>
          <w:u w:val="single"/>
          <w:rtl w:val="0"/>
        </w:rPr>
        <w:t xml:space="preserve">(not really usable because stopped updating in 2023)</w:t>
      </w:r>
    </w:p>
    <w:p w:rsidR="00000000" w:rsidDel="00000000" w:rsidP="00000000" w:rsidRDefault="00000000" w:rsidRPr="00000000" w14:paraId="000000B3">
      <w:pPr>
        <w:numPr>
          <w:ilvl w:val="0"/>
          <w:numId w:val="1"/>
        </w:numPr>
        <w:shd w:fill="ffffff" w:val="clear"/>
        <w:spacing w:before="0" w:beforeAutospacing="0" w:lineRule="auto"/>
        <w:ind w:left="720" w:hanging="360"/>
        <w:rPr>
          <w:sz w:val="24"/>
          <w:szCs w:val="24"/>
          <w:u w:val="none"/>
        </w:rPr>
      </w:pPr>
      <w:hyperlink r:id="rId46">
        <w:r w:rsidDel="00000000" w:rsidR="00000000" w:rsidRPr="00000000">
          <w:rPr>
            <w:color w:val="1155cc"/>
            <w:sz w:val="24"/>
            <w:szCs w:val="24"/>
            <w:u w:val="single"/>
            <w:rtl w:val="0"/>
          </w:rPr>
          <w:t xml:space="preserve">Disposable Personal Income</w:t>
        </w:r>
      </w:hyperlink>
      <w:r w:rsidDel="00000000" w:rsidR="00000000" w:rsidRPr="00000000">
        <w:rPr>
          <w:sz w:val="24"/>
          <w:szCs w:val="24"/>
          <w:u w:val="single"/>
          <w:rtl w:val="0"/>
        </w:rPr>
        <w:t xml:space="preserve">(DPSI)</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From other sources:</w:t>
      </w:r>
    </w:p>
    <w:p w:rsidR="00000000" w:rsidDel="00000000" w:rsidP="00000000" w:rsidRDefault="00000000" w:rsidRPr="00000000" w14:paraId="000000B5">
      <w:pPr>
        <w:numPr>
          <w:ilvl w:val="0"/>
          <w:numId w:val="1"/>
        </w:numPr>
        <w:shd w:fill="ffffff" w:val="clear"/>
        <w:spacing w:after="0" w:afterAutospacing="0" w:before="60" w:lineRule="auto"/>
        <w:ind w:left="720" w:hanging="360"/>
        <w:rPr/>
      </w:pPr>
      <w:hyperlink r:id="rId47">
        <w:r w:rsidDel="00000000" w:rsidR="00000000" w:rsidRPr="00000000">
          <w:rPr>
            <w:color w:val="1155cc"/>
            <w:u w:val="single"/>
            <w:rtl w:val="0"/>
          </w:rPr>
          <w:t xml:space="preserve">US dollar value</w:t>
        </w:r>
      </w:hyperlink>
      <w:r w:rsidDel="00000000" w:rsidR="00000000" w:rsidRPr="00000000">
        <w:rPr>
          <w:rtl w:val="0"/>
        </w:rPr>
      </w:r>
    </w:p>
    <w:p w:rsidR="00000000" w:rsidDel="00000000" w:rsidP="00000000" w:rsidRDefault="00000000" w:rsidRPr="00000000" w14:paraId="000000B6">
      <w:pPr>
        <w:numPr>
          <w:ilvl w:val="0"/>
          <w:numId w:val="1"/>
        </w:numPr>
        <w:shd w:fill="ffffff" w:val="clear"/>
        <w:spacing w:before="0" w:beforeAutospacing="0" w:lineRule="auto"/>
        <w:ind w:left="720" w:hanging="360"/>
        <w:rPr>
          <w:u w:val="none"/>
        </w:rPr>
      </w:pPr>
      <w:hyperlink r:id="rId48">
        <w:r w:rsidDel="00000000" w:rsidR="00000000" w:rsidRPr="00000000">
          <w:rPr>
            <w:color w:val="1155cc"/>
            <w:u w:val="single"/>
            <w:rtl w:val="0"/>
          </w:rPr>
          <w:t xml:space="preserve">S&amp;P 500</w:t>
        </w:r>
      </w:hyperlink>
      <w:r w:rsidDel="00000000" w:rsidR="00000000" w:rsidRPr="00000000">
        <w:rPr>
          <w:rtl w:val="0"/>
        </w:rPr>
        <w:t xml:space="preserve">(SP500)</w:t>
      </w:r>
    </w:p>
    <w:p w:rsidR="00000000" w:rsidDel="00000000" w:rsidP="00000000" w:rsidRDefault="00000000" w:rsidRPr="00000000" w14:paraId="000000B7">
      <w:pPr>
        <w:pStyle w:val="Heading1"/>
        <w:keepNext w:val="0"/>
        <w:keepLines w:val="0"/>
        <w:pBdr>
          <w:bottom w:color="auto" w:space="7" w:sz="0" w:val="none"/>
        </w:pBdr>
        <w:shd w:fill="ffffff" w:val="clear"/>
        <w:spacing w:after="0" w:before="0" w:line="300" w:lineRule="auto"/>
        <w:rPr>
          <w:b w:val="1"/>
          <w:color w:val="1f2328"/>
          <w:sz w:val="48"/>
          <w:szCs w:val="48"/>
        </w:rPr>
      </w:pPr>
      <w:bookmarkStart w:colFirst="0" w:colLast="0" w:name="_waqk7r3me4k" w:id="6"/>
      <w:bookmarkEnd w:id="6"/>
      <w:r w:rsidDel="00000000" w:rsidR="00000000" w:rsidRPr="00000000">
        <w:rPr>
          <w:b w:val="1"/>
          <w:sz w:val="30"/>
          <w:szCs w:val="30"/>
          <w:rtl w:val="0"/>
        </w:rPr>
        <w:t xml:space="preserve">Prediction strategies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Treat all data as time series data, and aim to predict the total unemployment rate at t1 using data before t1. E.g. Use all data before and including 2024 Q3 to predict 2024 Q4’s U3 unemployment rate. We’ll combine relevant datasets, imputing/calculating values as necessary, for modeling. We will try different statistical models to find the best one (in terms of prediction accuracy).</w:t>
      </w:r>
      <w:r w:rsidDel="00000000" w:rsidR="00000000" w:rsidRPr="00000000">
        <w:rPr>
          <w:rtl w:val="0"/>
        </w:rPr>
      </w:r>
    </w:p>
    <w:sectPr>
      <w:headerReference r:id="rId4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red.stlouisfed.org/series/CUSR0000SEHA" TargetMode="External"/><Relationship Id="rId42" Type="http://schemas.openxmlformats.org/officeDocument/2006/relationships/hyperlink" Target="https://fred.stlouisfed.org/tags/series?t=inflation" TargetMode="External"/><Relationship Id="rId41" Type="http://schemas.openxmlformats.org/officeDocument/2006/relationships/hyperlink" Target="https://fred.stlouisfed.org/series/FPCPITOTLZGUSA" TargetMode="External"/><Relationship Id="rId44" Type="http://schemas.openxmlformats.org/officeDocument/2006/relationships/hyperlink" Target="https://fred.stlouisfed.org/series/GASREGW" TargetMode="External"/><Relationship Id="rId43" Type="http://schemas.openxmlformats.org/officeDocument/2006/relationships/hyperlink" Target="https://fred.stlouisfed.org/series/T5YIFR" TargetMode="External"/><Relationship Id="rId46" Type="http://schemas.openxmlformats.org/officeDocument/2006/relationships/hyperlink" Target="https://fred.stlouisfed.org/series/DSPI" TargetMode="External"/><Relationship Id="rId45" Type="http://schemas.openxmlformats.org/officeDocument/2006/relationships/hyperlink" Target="https://fred.stlouisfed.org/series/A071RC1A027NB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d.stlouisfed.org/series/EFFR" TargetMode="External"/><Relationship Id="rId48" Type="http://schemas.openxmlformats.org/officeDocument/2006/relationships/hyperlink" Target="https://fred.stlouisfed.org/series/SP500" TargetMode="External"/><Relationship Id="rId47" Type="http://schemas.openxmlformats.org/officeDocument/2006/relationships/hyperlink" Target="https://tradingeconomics.com/united-states/currency"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bls.gov/dataViewer/view/timeseries/LNS14000000" TargetMode="External"/><Relationship Id="rId7" Type="http://schemas.openxmlformats.org/officeDocument/2006/relationships/hyperlink" Target="https://fred.stlouisfed.org/series/UNRATE" TargetMode="External"/><Relationship Id="rId8" Type="http://schemas.openxmlformats.org/officeDocument/2006/relationships/hyperlink" Target="https://fred.stlouisfed.org/series/CPIAUCSL" TargetMode="External"/><Relationship Id="rId31" Type="http://schemas.openxmlformats.org/officeDocument/2006/relationships/hyperlink" Target="https://fred.stlouisfed.org/series/DSPI" TargetMode="External"/><Relationship Id="rId30" Type="http://schemas.openxmlformats.org/officeDocument/2006/relationships/hyperlink" Target="https://fred.stlouisfed.org/series/GASREGW" TargetMode="External"/><Relationship Id="rId33" Type="http://schemas.openxmlformats.org/officeDocument/2006/relationships/hyperlink" Target="https://fred.stlouisfed.org/series/CPIAUCSL" TargetMode="External"/><Relationship Id="rId32" Type="http://schemas.openxmlformats.org/officeDocument/2006/relationships/hyperlink" Target="https://data.bls.gov/toppicks?survey=ln" TargetMode="External"/><Relationship Id="rId35" Type="http://schemas.openxmlformats.org/officeDocument/2006/relationships/hyperlink" Target="https://fred.stlouisfed.org/series/IMPGS" TargetMode="External"/><Relationship Id="rId34" Type="http://schemas.openxmlformats.org/officeDocument/2006/relationships/hyperlink" Target="https://fred.stlouisfed.org/series/EFFR" TargetMode="External"/><Relationship Id="rId37" Type="http://schemas.openxmlformats.org/officeDocument/2006/relationships/hyperlink" Target="https://fred.stlouisfed.org/series/GDI" TargetMode="External"/><Relationship Id="rId36" Type="http://schemas.openxmlformats.org/officeDocument/2006/relationships/hyperlink" Target="https://fred.stlouisfed.org/series/EXPGS" TargetMode="External"/><Relationship Id="rId39" Type="http://schemas.openxmlformats.org/officeDocument/2006/relationships/hyperlink" Target="https://fred.stlouisfed.org/series/LFWA64TTUSM647S" TargetMode="External"/><Relationship Id="rId38" Type="http://schemas.openxmlformats.org/officeDocument/2006/relationships/hyperlink" Target="https://fred.stlouisfed.org/series/GDP" TargetMode="External"/><Relationship Id="rId20" Type="http://schemas.openxmlformats.org/officeDocument/2006/relationships/hyperlink" Target="https://fred.stlouisfed.org/series/UNRATE" TargetMode="External"/><Relationship Id="rId22" Type="http://schemas.openxmlformats.org/officeDocument/2006/relationships/hyperlink" Target="https://fred.stlouisfed.org/series/EFFR" TargetMode="External"/><Relationship Id="rId21" Type="http://schemas.openxmlformats.org/officeDocument/2006/relationships/hyperlink" Target="https://fred.stlouisfed.org/series/CPIAUCSL" TargetMode="External"/><Relationship Id="rId24" Type="http://schemas.openxmlformats.org/officeDocument/2006/relationships/hyperlink" Target="https://fred.stlouisfed.org/series/EXPGS" TargetMode="External"/><Relationship Id="rId23" Type="http://schemas.openxmlformats.org/officeDocument/2006/relationships/hyperlink" Target="https://fred.stlouisfed.org/series/IMPGS" TargetMode="External"/><Relationship Id="rId26" Type="http://schemas.openxmlformats.org/officeDocument/2006/relationships/hyperlink" Target="https://fred.stlouisfed.org/series/GDP" TargetMode="External"/><Relationship Id="rId25" Type="http://schemas.openxmlformats.org/officeDocument/2006/relationships/hyperlink" Target="https://fred.stlouisfed.org/series/GDI" TargetMode="External"/><Relationship Id="rId28" Type="http://schemas.openxmlformats.org/officeDocument/2006/relationships/hyperlink" Target="https://fred.stlouisfed.org/series/CUSR0000SEHA" TargetMode="External"/><Relationship Id="rId27" Type="http://schemas.openxmlformats.org/officeDocument/2006/relationships/hyperlink" Target="https://fred.stlouisfed.org/series/LFWA64TTUSM647S" TargetMode="External"/><Relationship Id="rId29" Type="http://schemas.openxmlformats.org/officeDocument/2006/relationships/hyperlink" Target="https://fred.stlouisfed.org/series/FPCPITOTLZGUSA" TargetMode="External"/><Relationship Id="rId11" Type="http://schemas.openxmlformats.org/officeDocument/2006/relationships/hyperlink" Target="https://fred.stlouisfed.org/series/EXPGS" TargetMode="External"/><Relationship Id="rId10" Type="http://schemas.openxmlformats.org/officeDocument/2006/relationships/hyperlink" Target="https://fred.stlouisfed.org/series/IMPGS" TargetMode="External"/><Relationship Id="rId13" Type="http://schemas.openxmlformats.org/officeDocument/2006/relationships/hyperlink" Target="https://fred.stlouisfed.org/series/GDP" TargetMode="External"/><Relationship Id="rId12" Type="http://schemas.openxmlformats.org/officeDocument/2006/relationships/hyperlink" Target="https://fred.stlouisfed.org/series/GDI" TargetMode="External"/><Relationship Id="rId15" Type="http://schemas.openxmlformats.org/officeDocument/2006/relationships/hyperlink" Target="https://fred.stlouisfed.org/series/CUSR0000SEHA" TargetMode="External"/><Relationship Id="rId14" Type="http://schemas.openxmlformats.org/officeDocument/2006/relationships/hyperlink" Target="https://fred.stlouisfed.org/series/LFWA64TTUSM647S" TargetMode="External"/><Relationship Id="rId17" Type="http://schemas.openxmlformats.org/officeDocument/2006/relationships/hyperlink" Target="https://fred.stlouisfed.org/series/GASREGW" TargetMode="External"/><Relationship Id="rId16" Type="http://schemas.openxmlformats.org/officeDocument/2006/relationships/hyperlink" Target="https://fred.stlouisfed.org/series/FPCPITOTLZGUSA" TargetMode="External"/><Relationship Id="rId19" Type="http://schemas.openxmlformats.org/officeDocument/2006/relationships/hyperlink" Target="https://data.bls.gov/dataViewer/view/timeseries/LNS14000000" TargetMode="External"/><Relationship Id="rId18" Type="http://schemas.openxmlformats.org/officeDocument/2006/relationships/hyperlink" Target="https://fred.stlouisfed.org/series/DS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