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Garamond" w:cs="Garamond" w:eastAsia="Garamond" w:hAnsi="Garamond"/>
          <w:b w:val="1"/>
          <w:sz w:val="44"/>
          <w:szCs w:val="44"/>
        </w:rPr>
      </w:pPr>
      <w:bookmarkStart w:colFirst="0" w:colLast="0" w:name="_b0t6fd32uvd" w:id="0"/>
      <w:bookmarkEnd w:id="0"/>
      <w:r w:rsidDel="00000000" w:rsidR="00000000" w:rsidRPr="00000000">
        <w:rPr>
          <w:rFonts w:ascii="Garamond" w:cs="Garamond" w:eastAsia="Garamond" w:hAnsi="Garamond"/>
          <w:b w:val="1"/>
          <w:sz w:val="44"/>
          <w:szCs w:val="44"/>
          <w:rtl w:val="0"/>
        </w:rPr>
        <w:t xml:space="preserve">Definition of the Business Problem and Analysis Scope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Business Problem</w:t>
      </w:r>
      <w:r w:rsidDel="00000000" w:rsidR="00000000" w:rsidRPr="00000000">
        <w:rPr>
          <w:rFonts w:ascii="Garamond" w:cs="Garamond" w:eastAsia="Garamond" w:hAnsi="Garamond"/>
          <w:sz w:val="24"/>
          <w:szCs w:val="24"/>
          <w:rtl w:val="0"/>
        </w:rPr>
        <w:t xml:space="preserve">:</w:t>
      </w:r>
      <w:r w:rsidDel="00000000" w:rsidR="00000000" w:rsidRPr="00000000">
        <w:rPr>
          <w:rtl w:val="0"/>
        </w:rPr>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The goal is to develop predictive models for the U.S. unemployment rate (U3) to understand labor market dynamics better and provide actionable insights for policymakers and economists. This involves providing the best prediction in terms of accuracy for the December U3 rate, and potentially identifying economic indicators influencing unemployment and forecasting unemployment rates over short-term horizons.</w:t>
      </w:r>
    </w:p>
    <w:p w:rsidR="00000000" w:rsidDel="00000000" w:rsidP="00000000" w:rsidRDefault="00000000" w:rsidRPr="00000000" w14:paraId="0000000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07">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Analysis Scope:</w:t>
      </w:r>
    </w:p>
    <w:p w:rsidR="00000000" w:rsidDel="00000000" w:rsidP="00000000" w:rsidRDefault="00000000" w:rsidRPr="00000000" w14:paraId="00000008">
      <w:pP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The analysis focuses on time series data from various economic indicators from 1948 to the present. The prediction strategy involves leveraging historical data to predict unemployment rates for future periods. Datasets will be combined, preprocessed, and modeled to identify trends and relationships between the outcome variable (unemployment rate) and predictors.</w:t>
      </w:r>
    </w:p>
    <w:p w:rsidR="00000000" w:rsidDel="00000000" w:rsidP="00000000" w:rsidRDefault="00000000" w:rsidRPr="00000000" w14:paraId="0000000A">
      <w:pPr>
        <w:rPr>
          <w:rFonts w:ascii="Garamond" w:cs="Garamond" w:eastAsia="Garamond" w:hAnsi="Garamond"/>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3829787234035"/>
        <w:gridCol w:w="2389.787234042553"/>
        <w:gridCol w:w="1573.2765957446807"/>
        <w:gridCol w:w="1573.2765957446807"/>
        <w:gridCol w:w="1573.2765957446807"/>
        <w:tblGridChange w:id="0">
          <w:tblGrid>
            <w:gridCol w:w="2250.3829787234035"/>
            <w:gridCol w:w="2389.787234042553"/>
            <w:gridCol w:w="1573.2765957446807"/>
            <w:gridCol w:w="1573.2765957446807"/>
            <w:gridCol w:w="1573.2765957446807"/>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6">
              <w:r w:rsidDel="00000000" w:rsidR="00000000" w:rsidRPr="00000000">
                <w:rPr>
                  <w:b w:val="1"/>
                  <w:rtl w:val="0"/>
                </w:rPr>
                <w:t xml:space="preserve">CPI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1948-01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7">
              <w:r w:rsidDel="00000000" w:rsidR="00000000" w:rsidRPr="00000000">
                <w:rPr>
                  <w:b w:val="1"/>
                  <w:rtl w:val="0"/>
                </w:rPr>
                <w:t xml:space="preserve">EFFR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2000-07-03 to 2024-11-09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8">
              <w:r w:rsidDel="00000000" w:rsidR="00000000" w:rsidRPr="00000000">
                <w:rPr>
                  <w:b w:val="1"/>
                  <w:rtl w:val="0"/>
                </w:rPr>
                <w:t xml:space="preserve">IMPGS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9">
              <w:r w:rsidDel="00000000" w:rsidR="00000000" w:rsidRPr="00000000">
                <w:rPr>
                  <w:b w:val="1"/>
                  <w:rtl w:val="0"/>
                </w:rPr>
                <w:t xml:space="preserve">EXPGS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0">
              <w:r w:rsidDel="00000000" w:rsidR="00000000" w:rsidRPr="00000000">
                <w:rPr>
                  <w:b w:val="1"/>
                  <w:rtl w:val="0"/>
                </w:rPr>
                <w:t xml:space="preserve">GDI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1">
              <w:r w:rsidDel="00000000" w:rsidR="00000000" w:rsidRPr="00000000">
                <w:rPr>
                  <w:b w:val="1"/>
                  <w:rtl w:val="0"/>
                </w:rPr>
                <w:t xml:space="preserve">GDP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1948 Q1 to 2024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2">
              <w:r w:rsidDel="00000000" w:rsidR="00000000" w:rsidRPr="00000000">
                <w:rPr>
                  <w:b w:val="1"/>
                  <w:rtl w:val="0"/>
                </w:rPr>
                <w:t xml:space="preserve">WAPT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1977-01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3">
              <w:r w:rsidDel="00000000" w:rsidR="00000000" w:rsidRPr="00000000">
                <w:rPr>
                  <w:b w:val="1"/>
                  <w:rtl w:val="0"/>
                </w:rPr>
                <w:t xml:space="preserve">CPI_Rent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1981-01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4">
              <w:r w:rsidDel="00000000" w:rsidR="00000000" w:rsidRPr="00000000">
                <w:rPr>
                  <w:b w:val="1"/>
                  <w:rtl w:val="0"/>
                </w:rPr>
                <w:t xml:space="preserve">Annual Inflation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1960-01-01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5">
              <w:r w:rsidDel="00000000" w:rsidR="00000000" w:rsidRPr="00000000">
                <w:rPr>
                  <w:b w:val="1"/>
                  <w:rtl w:val="0"/>
                </w:rPr>
                <w:t xml:space="preserve">Gas Price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1990-08-20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6">
              <w:r w:rsidDel="00000000" w:rsidR="00000000" w:rsidRPr="00000000">
                <w:rPr>
                  <w:b w:val="1"/>
                  <w:rtl w:val="0"/>
                </w:rPr>
                <w:t xml:space="preserve">Disposable Personal Income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1959-01-01 to 2024-09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Total Capital Expenditures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1946 Q4 </w:t>
            </w:r>
            <w:r w:rsidDel="00000000" w:rsidR="00000000" w:rsidRPr="00000000">
              <w:rPr>
                <w:b w:val="1"/>
                <w:rtl w:val="0"/>
              </w:rPr>
              <w:t xml:space="preserve"> to 2024-Q2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Industrial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1919-01 to 2024-10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r>
        <w:trPr>
          <w:cantSplit w:val="0"/>
          <w:trHeight w:val="70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Health Expenditures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 to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57">
      <w:pPr>
        <w:rPr>
          <w:b w:val="1"/>
        </w:rPr>
      </w:pPr>
      <w:r w:rsidDel="00000000" w:rsidR="00000000" w:rsidRPr="00000000">
        <w:rPr>
          <w:rtl w:val="0"/>
        </w:rPr>
      </w:r>
    </w:p>
    <w:tbl>
      <w:tblPr>
        <w:tblStyle w:val="Table2"/>
        <w:tblW w:w="9900.0" w:type="dxa"/>
        <w:jc w:val="left"/>
        <w:tblLayout w:type="fixed"/>
        <w:tblLook w:val="0600"/>
      </w:tblPr>
      <w:tblGrid>
        <w:gridCol w:w="2535"/>
        <w:gridCol w:w="2535"/>
        <w:gridCol w:w="4830"/>
        <w:tblGridChange w:id="0">
          <w:tblGrid>
            <w:gridCol w:w="2535"/>
            <w:gridCol w:w="2535"/>
            <w:gridCol w:w="483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8">
            <w:pPr>
              <w:rPr>
                <w:b w:val="1"/>
                <w:sz w:val="15"/>
                <w:szCs w:val="15"/>
              </w:rPr>
            </w:pPr>
            <w:r w:rsidDel="00000000" w:rsidR="00000000" w:rsidRPr="00000000">
              <w:rPr>
                <w:b w:val="1"/>
                <w:sz w:val="15"/>
                <w:szCs w:val="15"/>
                <w:rtl w:val="0"/>
              </w:rPr>
              <w:t xml:space="preserve">source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9">
            <w:pPr>
              <w:spacing w:line="240" w:lineRule="auto"/>
              <w:rPr>
                <w:b w:val="1"/>
                <w:sz w:val="15"/>
                <w:szCs w:val="15"/>
              </w:rPr>
            </w:pPr>
            <w:r w:rsidDel="00000000" w:rsidR="00000000" w:rsidRPr="00000000">
              <w:rPr>
                <w:rtl w:val="0"/>
              </w:rPr>
              <w:t xml:space="preserve">DatsRange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5A">
            <w:pPr>
              <w:spacing w:line="240" w:lineRule="auto"/>
              <w:rPr>
                <w:b w:val="1"/>
                <w:sz w:val="15"/>
                <w:szCs w:val="15"/>
              </w:rPr>
            </w:pPr>
            <w:r w:rsidDel="00000000" w:rsidR="00000000" w:rsidRPr="00000000">
              <w:rPr>
                <w:rtl w:val="0"/>
              </w:rPr>
              <w:t xml:space="preserve">frequency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b w:val="1"/>
                <w:sz w:val="15"/>
                <w:szCs w:val="15"/>
              </w:rPr>
            </w:pPr>
            <w:r w:rsidDel="00000000" w:rsidR="00000000" w:rsidRPr="00000000">
              <w:rPr>
                <w:b w:val="1"/>
                <w:sz w:val="15"/>
                <w:szCs w:val="15"/>
                <w:rtl w:val="0"/>
              </w:rPr>
              <w:t xml:space="preserve">Civilian Labor Force Level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b w:val="1"/>
                <w:sz w:val="15"/>
                <w:szCs w:val="15"/>
              </w:rPr>
            </w:pPr>
            <w:r w:rsidDel="00000000" w:rsidR="00000000" w:rsidRPr="00000000">
              <w:rPr>
                <w:b w:val="1"/>
                <w:sz w:val="15"/>
                <w:szCs w:val="15"/>
                <w:rtl w:val="0"/>
              </w:rPr>
              <w:t xml:space="preserve">Labor Force Participation Rate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b w:val="1"/>
                <w:sz w:val="15"/>
                <w:szCs w:val="15"/>
              </w:rPr>
            </w:pPr>
            <w:r w:rsidDel="00000000" w:rsidR="00000000" w:rsidRPr="00000000">
              <w:rPr>
                <w:b w:val="1"/>
                <w:sz w:val="15"/>
                <w:szCs w:val="15"/>
                <w:rtl w:val="0"/>
              </w:rPr>
              <w:t xml:space="preserve">Employment Level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b w:val="1"/>
                <w:sz w:val="15"/>
                <w:szCs w:val="15"/>
              </w:rPr>
            </w:pPr>
            <w:r w:rsidDel="00000000" w:rsidR="00000000" w:rsidRPr="00000000">
              <w:rPr>
                <w:b w:val="1"/>
                <w:sz w:val="15"/>
                <w:szCs w:val="15"/>
                <w:rtl w:val="0"/>
              </w:rPr>
              <w:t xml:space="preserve">Employment-Population Ratio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b w:val="1"/>
                <w:sz w:val="15"/>
                <w:szCs w:val="15"/>
              </w:rPr>
            </w:pPr>
            <w:r w:rsidDel="00000000" w:rsidR="00000000" w:rsidRPr="00000000">
              <w:rPr>
                <w:b w:val="1"/>
                <w:sz w:val="15"/>
                <w:szCs w:val="15"/>
                <w:rtl w:val="0"/>
              </w:rPr>
              <w:t xml:space="preserve">Employed, Usually Work Full 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spacing w:line="240" w:lineRule="auto"/>
              <w:rPr>
                <w:b w:val="1"/>
                <w:sz w:val="15"/>
                <w:szCs w:val="15"/>
              </w:rPr>
            </w:pPr>
            <w:r w:rsidDel="00000000" w:rsidR="00000000" w:rsidRPr="00000000">
              <w:rPr>
                <w:rtl w:val="0"/>
              </w:rPr>
              <w:t xml:space="preserve">1968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rPr>
                <w:b w:val="1"/>
                <w:sz w:val="15"/>
                <w:szCs w:val="15"/>
              </w:rPr>
            </w:pPr>
            <w:r w:rsidDel="00000000" w:rsidR="00000000" w:rsidRPr="00000000">
              <w:rPr>
                <w:b w:val="1"/>
                <w:sz w:val="15"/>
                <w:szCs w:val="15"/>
                <w:rtl w:val="0"/>
              </w:rPr>
              <w:t xml:space="preserve">Employed, Usually Work Part Time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line="240" w:lineRule="auto"/>
              <w:rPr>
                <w:b w:val="1"/>
                <w:sz w:val="15"/>
                <w:szCs w:val="15"/>
              </w:rPr>
            </w:pPr>
            <w:r w:rsidDel="00000000" w:rsidR="00000000" w:rsidRPr="00000000">
              <w:rPr>
                <w:rtl w:val="0"/>
              </w:rPr>
              <w:t xml:space="preserve">1968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b w:val="1"/>
                <w:sz w:val="15"/>
                <w:szCs w:val="15"/>
              </w:rPr>
            </w:pPr>
            <w:r w:rsidDel="00000000" w:rsidR="00000000" w:rsidRPr="00000000">
              <w:rPr>
                <w:b w:val="1"/>
                <w:sz w:val="15"/>
                <w:szCs w:val="15"/>
                <w:rtl w:val="0"/>
              </w:rPr>
              <w:t xml:space="preserve">Unemployment Level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b w:val="1"/>
                <w:sz w:val="15"/>
                <w:szCs w:val="15"/>
              </w:rPr>
            </w:pPr>
            <w:r w:rsidDel="00000000" w:rsidR="00000000" w:rsidRPr="00000000">
              <w:rPr>
                <w:b w:val="1"/>
                <w:sz w:val="15"/>
                <w:szCs w:val="15"/>
                <w:rtl w:val="0"/>
              </w:rPr>
              <w:t xml:space="preserve">Unemployment Rate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b w:val="1"/>
                <w:sz w:val="15"/>
                <w:szCs w:val="15"/>
              </w:rPr>
            </w:pPr>
            <w:r w:rsidDel="00000000" w:rsidR="00000000" w:rsidRPr="00000000">
              <w:rPr>
                <w:b w:val="1"/>
                <w:sz w:val="15"/>
                <w:szCs w:val="15"/>
                <w:rtl w:val="0"/>
              </w:rPr>
              <w:t xml:space="preserve">Average Weeks Unemployed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spacing w:line="240" w:lineRule="auto"/>
              <w:rPr>
                <w:b w:val="1"/>
                <w:sz w:val="15"/>
                <w:szCs w:val="15"/>
              </w:rPr>
            </w:pPr>
            <w:r w:rsidDel="00000000" w:rsidR="00000000" w:rsidRPr="00000000">
              <w:rPr>
                <w:rtl w:val="0"/>
              </w:rPr>
              <w:t xml:space="preserve">1967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b w:val="1"/>
                <w:sz w:val="15"/>
                <w:szCs w:val="15"/>
              </w:rPr>
            </w:pPr>
            <w:r w:rsidDel="00000000" w:rsidR="00000000" w:rsidRPr="00000000">
              <w:rPr>
                <w:b w:val="1"/>
                <w:sz w:val="15"/>
                <w:szCs w:val="15"/>
                <w:rtl w:val="0"/>
              </w:rPr>
              <w:t xml:space="preserve">Not in Labor Force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spacing w:line="240" w:lineRule="auto"/>
              <w:rPr>
                <w:b w:val="1"/>
                <w:sz w:val="15"/>
                <w:szCs w:val="15"/>
              </w:rPr>
            </w:pPr>
            <w:r w:rsidDel="00000000" w:rsidR="00000000" w:rsidRPr="00000000">
              <w:rPr>
                <w:rtl w:val="0"/>
              </w:rPr>
              <w:t xml:space="preserve">1967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b w:val="1"/>
                <w:sz w:val="15"/>
                <w:szCs w:val="15"/>
              </w:rPr>
            </w:pPr>
            <w:r w:rsidDel="00000000" w:rsidR="00000000" w:rsidRPr="00000000">
              <w:rPr>
                <w:b w:val="1"/>
                <w:sz w:val="15"/>
                <w:szCs w:val="15"/>
                <w:rtl w:val="0"/>
              </w:rPr>
              <w:t xml:space="preserve">Total unemployed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spacing w:line="240" w:lineRule="auto"/>
              <w:rPr>
                <w:b w:val="1"/>
                <w:sz w:val="15"/>
                <w:szCs w:val="15"/>
              </w:rPr>
            </w:pPr>
            <w:r w:rsidDel="00000000" w:rsidR="00000000" w:rsidRPr="00000000">
              <w:rPr>
                <w:rtl w:val="0"/>
              </w:rPr>
              <w:t xml:space="preserve">1948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b w:val="1"/>
                <w:sz w:val="15"/>
                <w:szCs w:val="15"/>
              </w:rPr>
            </w:pPr>
            <w:r w:rsidDel="00000000" w:rsidR="00000000" w:rsidRPr="00000000">
              <w:rPr>
                <w:b w:val="1"/>
                <w:sz w:val="15"/>
                <w:szCs w:val="15"/>
                <w:rtl w:val="0"/>
              </w:rPr>
              <w:t xml:space="preserve">Multiple Jobholders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spacing w:line="240" w:lineRule="auto"/>
              <w:rPr>
                <w:b w:val="1"/>
                <w:sz w:val="15"/>
                <w:szCs w:val="15"/>
              </w:rPr>
            </w:pPr>
            <w:r w:rsidDel="00000000" w:rsidR="00000000" w:rsidRPr="00000000">
              <w:rPr>
                <w:rtl w:val="0"/>
              </w:rPr>
              <w:t xml:space="preserve">1967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rPr>
                <w:b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spacing w:line="240" w:lineRule="auto"/>
              <w:rPr/>
            </w:pP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rPr>
                <w:b w:val="1"/>
                <w:sz w:val="15"/>
                <w:szCs w:val="15"/>
              </w:rPr>
            </w:pPr>
            <w:r w:rsidDel="00000000" w:rsidR="00000000" w:rsidRPr="00000000">
              <w:rPr>
                <w:b w:val="1"/>
                <w:sz w:val="15"/>
                <w:szCs w:val="15"/>
                <w:rtl w:val="0"/>
              </w:rPr>
              <w:t xml:space="preserve">Multiple Jobholders as a Percent of Employed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pacing w:line="240" w:lineRule="auto"/>
              <w:rPr>
                <w:b w:val="1"/>
                <w:sz w:val="15"/>
                <w:szCs w:val="15"/>
              </w:rPr>
            </w:pPr>
            <w:r w:rsidDel="00000000" w:rsidR="00000000" w:rsidRPr="00000000">
              <w:rPr>
                <w:rtl w:val="0"/>
              </w:rPr>
              <w:t xml:space="preserve">1979 Q1 to 2024 Q3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pacing w:line="240" w:lineRule="auto"/>
              <w:rPr>
                <w:b w:val="1"/>
                <w:sz w:val="15"/>
                <w:szCs w:val="15"/>
              </w:rPr>
            </w:pPr>
            <w:r w:rsidDel="00000000" w:rsidR="00000000" w:rsidRPr="00000000">
              <w:rPr>
                <w:rtl w:val="0"/>
              </w:rPr>
              <w:t xml:space="preserve">Monthly</w:t>
            </w:r>
            <w:r w:rsidDel="00000000" w:rsidR="00000000" w:rsidRPr="00000000">
              <w:rPr>
                <w:rtl w:val="0"/>
              </w:rPr>
            </w:r>
          </w:p>
        </w:tc>
      </w:tr>
    </w:tbl>
    <w:p w:rsidR="00000000" w:rsidDel="00000000" w:rsidP="00000000" w:rsidRDefault="00000000" w:rsidRPr="00000000" w14:paraId="00000085">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Prediction Strategies</w:t>
      </w:r>
    </w:p>
    <w:p w:rsidR="00000000" w:rsidDel="00000000" w:rsidP="00000000" w:rsidRDefault="00000000" w:rsidRPr="00000000" w14:paraId="00000086">
      <w:pP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87">
      <w:pPr>
        <w:rPr>
          <w:rFonts w:ascii="Garamond" w:cs="Garamond" w:eastAsia="Garamond" w:hAnsi="Garamond"/>
          <w:b w:val="1"/>
        </w:rPr>
      </w:pPr>
      <w:r w:rsidDel="00000000" w:rsidR="00000000" w:rsidRPr="00000000">
        <w:rPr>
          <w:rFonts w:ascii="Garamond" w:cs="Garamond" w:eastAsia="Garamond" w:hAnsi="Garamond"/>
          <w:b w:val="1"/>
          <w:rtl w:val="0"/>
        </w:rPr>
        <w:t xml:space="preserve">Objective:</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Predict the unemployment rate att+1 (e.g., December 2024) using all available data up to time 𝑡 (e.g., November 2024).</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b w:val="1"/>
          <w:rtl w:val="0"/>
        </w:rPr>
        <w:t xml:space="preserve">Approach</w:t>
      </w:r>
      <w:r w:rsidDel="00000000" w:rsidR="00000000" w:rsidRPr="00000000">
        <w:rPr>
          <w:rFonts w:ascii="Garamond" w:cs="Garamond" w:eastAsia="Garamond" w:hAnsi="Garamond"/>
          <w:b w:val="1"/>
          <w:sz w:val="24"/>
          <w:szCs w:val="24"/>
          <w:rtl w:val="0"/>
        </w:rPr>
        <w:t xml:space="preserve">:</w:t>
      </w:r>
      <w:r w:rsidDel="00000000" w:rsidR="00000000" w:rsidRPr="00000000">
        <w:rPr>
          <w:rtl w:val="0"/>
        </w:rPr>
      </w:r>
    </w:p>
    <w:p w:rsidR="00000000" w:rsidDel="00000000" w:rsidP="00000000" w:rsidRDefault="00000000" w:rsidRPr="00000000" w14:paraId="0000008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Treat all data as time series.</w:t>
      </w:r>
    </w:p>
    <w:p w:rsidR="00000000" w:rsidDel="00000000" w:rsidP="00000000" w:rsidRDefault="00000000" w:rsidRPr="00000000" w14:paraId="0000008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Impute or calculate missing values as needed.</w:t>
      </w:r>
    </w:p>
    <w:p w:rsidR="00000000" w:rsidDel="00000000" w:rsidP="00000000" w:rsidRDefault="00000000" w:rsidRPr="00000000" w14:paraId="0000008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various statistical and machine learning models, selecting the best-performing one based on accuracy.</w:t>
      </w:r>
    </w:p>
    <w:p w:rsidR="00000000" w:rsidDel="00000000" w:rsidP="00000000" w:rsidRDefault="00000000" w:rsidRPr="00000000" w14:paraId="0000008D">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ed.stlouisfed.org/series/GDP" TargetMode="External"/><Relationship Id="rId10" Type="http://schemas.openxmlformats.org/officeDocument/2006/relationships/hyperlink" Target="https://fred.stlouisfed.org/series/GDI" TargetMode="External"/><Relationship Id="rId13" Type="http://schemas.openxmlformats.org/officeDocument/2006/relationships/hyperlink" Target="https://fred.stlouisfed.org/series/CUSR0000SEHA" TargetMode="External"/><Relationship Id="rId12" Type="http://schemas.openxmlformats.org/officeDocument/2006/relationships/hyperlink" Target="https://fred.stlouisfed.org/series/LFWA64TTUSM647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d.stlouisfed.org/series/EXPGS" TargetMode="External"/><Relationship Id="rId15" Type="http://schemas.openxmlformats.org/officeDocument/2006/relationships/hyperlink" Target="https://fred.stlouisfed.org/series/GASREGW" TargetMode="External"/><Relationship Id="rId14" Type="http://schemas.openxmlformats.org/officeDocument/2006/relationships/hyperlink" Target="https://fred.stlouisfed.org/series/FPCPITOTLZGUSA" TargetMode="External"/><Relationship Id="rId16" Type="http://schemas.openxmlformats.org/officeDocument/2006/relationships/hyperlink" Target="https://fred.stlouisfed.org/series/DSPI" TargetMode="External"/><Relationship Id="rId5" Type="http://schemas.openxmlformats.org/officeDocument/2006/relationships/styles" Target="styles.xml"/><Relationship Id="rId6" Type="http://schemas.openxmlformats.org/officeDocument/2006/relationships/hyperlink" Target="https://fred.stlouisfed.org/series/CPIAUCSL" TargetMode="External"/><Relationship Id="rId7" Type="http://schemas.openxmlformats.org/officeDocument/2006/relationships/hyperlink" Target="https://fred.stlouisfed.org/series/EFFR" TargetMode="External"/><Relationship Id="rId8" Type="http://schemas.openxmlformats.org/officeDocument/2006/relationships/hyperlink" Target="https://fred.stlouisfed.org/series/IMP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