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Content>
        <w:p w:rsidR="00872520" w:rsidRDefault="00872520">
          <w:pPr>
            <w:pStyle w:val="TtulodeTDC"/>
          </w:pPr>
          <w:r>
            <w:t>Índice</w:t>
          </w:r>
        </w:p>
        <w:p w:rsidR="00872520" w:rsidRPr="007337A3" w:rsidRDefault="00302DAC">
          <w:pPr>
            <w:pStyle w:val="TDC1"/>
            <w:tabs>
              <w:tab w:val="right" w:leader="dot" w:pos="8494"/>
            </w:tabs>
            <w:rPr>
              <w:rFonts w:eastAsiaTheme="minorEastAsia"/>
              <w:noProof/>
              <w:sz w:val="24"/>
              <w:lang w:val="es-UY" w:eastAsia="es-UY"/>
            </w:rPr>
          </w:pPr>
          <w:r>
            <w:fldChar w:fldCharType="begin"/>
          </w:r>
          <w:r w:rsidR="00872520">
            <w:instrText xml:space="preserve"> TOC \o "1-3" \h \z \u </w:instrText>
          </w:r>
          <w:r>
            <w:fldChar w:fldCharType="separate"/>
          </w:r>
          <w:hyperlink w:anchor="_Toc403423004" w:history="1">
            <w:r w:rsidR="00872520" w:rsidRPr="007337A3">
              <w:rPr>
                <w:rStyle w:val="Hipervnculo"/>
                <w:rFonts w:eastAsia="Times New Roman"/>
                <w:noProof/>
                <w:sz w:val="24"/>
                <w:lang w:eastAsia="es-UY"/>
              </w:rPr>
              <w:t>Introducción</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00872520" w:rsidRPr="007337A3">
              <w:rPr>
                <w:noProof/>
                <w:webHidden/>
                <w:sz w:val="24"/>
              </w:rPr>
              <w:t>4</w:t>
            </w:r>
            <w:r w:rsidRPr="007337A3">
              <w:rPr>
                <w:noProof/>
                <w:webHidden/>
                <w:sz w:val="24"/>
              </w:rPr>
              <w:fldChar w:fldCharType="end"/>
            </w:r>
          </w:hyperlink>
        </w:p>
        <w:p w:rsidR="00872520" w:rsidRPr="007337A3" w:rsidRDefault="00302DAC">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_Toc403423005 \h </w:instrText>
            </w:r>
            <w:r w:rsidRPr="007337A3">
              <w:rPr>
                <w:noProof/>
                <w:webHidden/>
                <w:sz w:val="24"/>
              </w:rPr>
            </w:r>
            <w:r w:rsidRPr="007337A3">
              <w:rPr>
                <w:noProof/>
                <w:webHidden/>
                <w:sz w:val="24"/>
              </w:rPr>
              <w:fldChar w:fldCharType="separate"/>
            </w:r>
            <w:r w:rsidR="00872520" w:rsidRPr="007337A3">
              <w:rPr>
                <w:noProof/>
                <w:webHidden/>
                <w:sz w:val="24"/>
              </w:rPr>
              <w:t>5</w:t>
            </w:r>
            <w:r w:rsidRPr="007337A3">
              <w:rPr>
                <w:noProof/>
                <w:webHidden/>
                <w:sz w:val="24"/>
              </w:rPr>
              <w:fldChar w:fldCharType="end"/>
            </w:r>
          </w:hyperlink>
        </w:p>
        <w:p w:rsidR="00872520" w:rsidRPr="007337A3" w:rsidRDefault="00302DAC">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_Toc403423006 \h </w:instrText>
            </w:r>
            <w:r w:rsidRPr="007337A3">
              <w:rPr>
                <w:noProof/>
                <w:webHidden/>
                <w:sz w:val="24"/>
              </w:rPr>
            </w:r>
            <w:r w:rsidRPr="007337A3">
              <w:rPr>
                <w:noProof/>
                <w:webHidden/>
                <w:sz w:val="24"/>
              </w:rPr>
              <w:fldChar w:fldCharType="separate"/>
            </w:r>
            <w:r w:rsidR="00872520" w:rsidRPr="007337A3">
              <w:rPr>
                <w:noProof/>
                <w:webHidden/>
                <w:sz w:val="24"/>
              </w:rPr>
              <w:t>6</w:t>
            </w:r>
            <w:r w:rsidRPr="007337A3">
              <w:rPr>
                <w:noProof/>
                <w:webHidden/>
                <w:sz w:val="24"/>
              </w:rPr>
              <w:fldChar w:fldCharType="end"/>
            </w:r>
          </w:hyperlink>
        </w:p>
        <w:p w:rsidR="00872520" w:rsidRPr="007337A3" w:rsidRDefault="00302DAC">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_Toc403423007 \h </w:instrText>
            </w:r>
            <w:r w:rsidRPr="007337A3">
              <w:rPr>
                <w:noProof/>
                <w:webHidden/>
                <w:sz w:val="24"/>
              </w:rPr>
            </w:r>
            <w:r w:rsidRPr="007337A3">
              <w:rPr>
                <w:noProof/>
                <w:webHidden/>
                <w:sz w:val="24"/>
              </w:rPr>
              <w:fldChar w:fldCharType="separate"/>
            </w:r>
            <w:r w:rsidR="00872520" w:rsidRPr="007337A3">
              <w:rPr>
                <w:noProof/>
                <w:webHidden/>
                <w:sz w:val="24"/>
              </w:rPr>
              <w:t>8</w:t>
            </w:r>
            <w:r w:rsidRPr="007337A3">
              <w:rPr>
                <w:noProof/>
                <w:webHidden/>
                <w:sz w:val="24"/>
              </w:rPr>
              <w:fldChar w:fldCharType="end"/>
            </w:r>
          </w:hyperlink>
        </w:p>
        <w:p w:rsidR="00872520" w:rsidRPr="007337A3" w:rsidRDefault="00302DAC">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_Toc403423008 \h </w:instrText>
            </w:r>
            <w:r w:rsidRPr="007337A3">
              <w:rPr>
                <w:noProof/>
                <w:webHidden/>
                <w:sz w:val="24"/>
              </w:rPr>
            </w:r>
            <w:r w:rsidRPr="007337A3">
              <w:rPr>
                <w:noProof/>
                <w:webHidden/>
                <w:sz w:val="24"/>
              </w:rPr>
              <w:fldChar w:fldCharType="separate"/>
            </w:r>
            <w:r w:rsidR="00872520" w:rsidRPr="007337A3">
              <w:rPr>
                <w:noProof/>
                <w:webHidden/>
                <w:sz w:val="24"/>
              </w:rPr>
              <w:t>10</w:t>
            </w:r>
            <w:r w:rsidRPr="007337A3">
              <w:rPr>
                <w:noProof/>
                <w:webHidden/>
                <w:sz w:val="24"/>
              </w:rPr>
              <w:fldChar w:fldCharType="end"/>
            </w:r>
          </w:hyperlink>
        </w:p>
        <w:p w:rsidR="00872520" w:rsidRDefault="00302DAC">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_Toc403423009 \h </w:instrText>
            </w:r>
            <w:r w:rsidRPr="007337A3">
              <w:rPr>
                <w:noProof/>
                <w:webHidden/>
                <w:sz w:val="24"/>
              </w:rPr>
            </w:r>
            <w:r w:rsidRPr="007337A3">
              <w:rPr>
                <w:noProof/>
                <w:webHidden/>
                <w:sz w:val="24"/>
              </w:rPr>
              <w:fldChar w:fldCharType="separate"/>
            </w:r>
            <w:r w:rsidR="00872520" w:rsidRPr="007337A3">
              <w:rPr>
                <w:noProof/>
                <w:webHidden/>
                <w:sz w:val="24"/>
              </w:rPr>
              <w:t>13</w:t>
            </w:r>
            <w:r w:rsidRPr="007337A3">
              <w:rPr>
                <w:noProof/>
                <w:webHidden/>
                <w:sz w:val="24"/>
              </w:rPr>
              <w:fldChar w:fldCharType="end"/>
            </w:r>
          </w:hyperlink>
        </w:p>
        <w:p w:rsidR="00872520" w:rsidRDefault="00302DAC">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Pr>
          <w:rFonts w:eastAsia="Times New Roman" w:cstheme="minorHAnsi"/>
          <w:color w:val="000000"/>
          <w:sz w:val="24"/>
          <w:szCs w:val="24"/>
          <w:lang w:val="es-UY" w:eastAsia="es-UY"/>
        </w:rPr>
        <w:t>.</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se define como una variante específica en el campo de la optimización combinatoria en el que un cierto número de clientes debe ser atendido por una flota de vehículos, de acuerdo a una serie de restricciones que definen las distintas variantes del problema. 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El problema VRP consta de encontrar buenas rutas en el mismo contexto, con la diferencia de que la empresa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w:t>
      </w:r>
      <w:r w:rsidRPr="00C93AE4">
        <w:rPr>
          <w:rFonts w:eastAsia="Times New Roman" w:cstheme="minorHAnsi"/>
          <w:color w:val="000000"/>
          <w:sz w:val="24"/>
          <w:szCs w:val="24"/>
          <w:lang w:val="es-UY" w:eastAsia="es-UY"/>
        </w:rPr>
        <w:lastRenderedPageBreak/>
        <w:t xml:space="preserve">“recoger”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C93AE4">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rPr>
          <w:rFonts w:eastAsia="Times New Roman"/>
          <w:lang w:val="es-UY" w:eastAsia="es-UY"/>
        </w:rPr>
      </w:pPr>
      <w:bookmarkStart w:id="2" w:name="_Toc336011416"/>
      <w:bookmarkStart w:id="3" w:name="_Toc403423005"/>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155AC0">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p>
    <w:p w:rsidR="00155AC0" w:rsidRDefault="00155AC0" w:rsidP="00155AC0">
      <w:pPr>
        <w:shd w:val="clear" w:color="auto" w:fill="FFFFFF"/>
        <w:spacing w:after="0" w:line="360" w:lineRule="auto"/>
        <w:ind w:firstLine="708"/>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 xml:space="preserve">La definición formal de TSP </w:t>
      </w:r>
      <w:r>
        <w:rPr>
          <w:rFonts w:eastAsia="Times New Roman" w:cstheme="minorHAnsi"/>
          <w:color w:val="000000"/>
          <w:sz w:val="24"/>
          <w:szCs w:val="24"/>
          <w:lang w:val="es-UY" w:eastAsia="es-UY"/>
        </w:rPr>
        <w:t>establece minimizar el costo total</w:t>
      </w:r>
      <w:r w:rsidRPr="00155AC0">
        <w:rPr>
          <w:rFonts w:eastAsia="Times New Roman" w:cstheme="minorHAnsi"/>
          <w:color w:val="000000"/>
          <w:sz w:val="24"/>
          <w:szCs w:val="24"/>
          <w:lang w:val="es-UY" w:eastAsia="es-UY"/>
        </w:rPr>
        <w:t>:</w:t>
      </w:r>
    </w:p>
    <w:p w:rsidR="00155AC0" w:rsidRPr="00155AC0" w:rsidRDefault="00302DAC"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nary>
        </m:oMath>
      </m:oMathPara>
    </w:p>
    <w:p w:rsidR="00B26A3C" w:rsidRDefault="00155AC0" w:rsidP="00B26A3C">
      <w:pPr>
        <w:spacing w:after="200" w:line="276" w:lineRule="atLeast"/>
        <w:ind w:firstLine="708"/>
        <w:jc w:val="both"/>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w:t>
      </w:r>
      <w:r w:rsidRPr="00155AC0">
        <w:rPr>
          <w:rFonts w:eastAsia="Times New Roman" w:cstheme="minorHAnsi"/>
          <w:color w:val="000000"/>
          <w:sz w:val="24"/>
          <w:szCs w:val="24"/>
          <w:lang w:val="es-UY" w:eastAsia="es-UY"/>
        </w:rPr>
        <w:t>es el cost</w:t>
      </w:r>
      <w:r w:rsidR="006E1103">
        <w:rPr>
          <w:rFonts w:eastAsia="Times New Roman" w:cstheme="minorHAnsi"/>
          <w:color w:val="000000"/>
          <w:sz w:val="24"/>
          <w:szCs w:val="24"/>
          <w:lang w:val="es-UY" w:eastAsia="es-UY"/>
        </w:rPr>
        <w:t>o</w:t>
      </w:r>
      <w:r w:rsidRPr="00155AC0">
        <w:rPr>
          <w:rFonts w:eastAsia="Times New Roman" w:cstheme="minorHAnsi"/>
          <w:color w:val="000000"/>
          <w:sz w:val="24"/>
          <w:szCs w:val="24"/>
          <w:lang w:val="es-UY" w:eastAsia="es-UY"/>
        </w:rPr>
        <w:t xml:space="preserve"> de recorrer el tramo de </w:t>
      </w:r>
      <m:oMath>
        <m:r>
          <w:rPr>
            <w:rFonts w:ascii="Cambria Math" w:eastAsia="Times New Roman" w:hAnsi="Cambria Math" w:cstheme="minorHAnsi"/>
            <w:color w:val="000000"/>
            <w:sz w:val="24"/>
            <w:szCs w:val="24"/>
            <w:lang w:val="es-UY" w:eastAsia="es-UY"/>
          </w:rPr>
          <m:t>i</m:t>
        </m:r>
      </m:oMath>
      <w:r w:rsidRPr="00155AC0">
        <w:rPr>
          <w:rFonts w:eastAsia="Times New Roman" w:cstheme="minorHAnsi"/>
          <w:color w:val="000000"/>
          <w:sz w:val="24"/>
          <w:szCs w:val="24"/>
          <w:lang w:val="es-UY" w:eastAsia="es-UY"/>
        </w:rPr>
        <w:t> a </w:t>
      </w:r>
      <m:oMath>
        <m:r>
          <w:rPr>
            <w:rFonts w:ascii="Cambria Math" w:eastAsia="Times New Roman" w:hAnsi="Cambria Math" w:cstheme="minorHAnsi"/>
            <w:color w:val="000000"/>
            <w:sz w:val="24"/>
            <w:szCs w:val="24"/>
            <w:lang w:val="es-UY" w:eastAsia="es-UY"/>
          </w:rPr>
          <m:t>j</m:t>
        </m:r>
      </m:oMath>
      <w:proofErr w:type="gramStart"/>
      <w:r w:rsidRPr="00155AC0">
        <w:rPr>
          <w:rFonts w:eastAsia="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sidRPr="00155AC0">
        <w:rPr>
          <w:rFonts w:eastAsia="Times New Roman" w:cstheme="minorHAnsi"/>
          <w:color w:val="000000"/>
          <w:sz w:val="24"/>
          <w:szCs w:val="24"/>
          <w:lang w:val="es-UY" w:eastAsia="es-UY"/>
        </w:rPr>
        <w:t>,</w:t>
      </w:r>
      <w:proofErr w:type="gramEnd"/>
      <w:r w:rsidRPr="00155AC0">
        <w:rPr>
          <w:rFonts w:eastAsia="Times New Roman" w:cstheme="minorHAnsi"/>
          <w:color w:val="000000"/>
          <w:sz w:val="24"/>
          <w:szCs w:val="24"/>
          <w:lang w:val="es-UY" w:eastAsia="es-UY"/>
        </w:rPr>
        <w:t xml:space="preserve"> una variable binaria que nos indica si se recorre o no dicho tramo y </w:t>
      </w:r>
      <m:oMath>
        <m:r>
          <w:rPr>
            <w:rFonts w:ascii="Cambria Math" w:eastAsia="Times New Roman" w:hAnsi="Cambria Math" w:cstheme="minorHAnsi"/>
            <w:color w:val="000000"/>
            <w:sz w:val="24"/>
            <w:szCs w:val="24"/>
            <w:lang w:val="es-UY" w:eastAsia="es-UY"/>
          </w:rPr>
          <m:t>n</m:t>
        </m:r>
      </m:oMath>
      <w:r w:rsidRPr="00155AC0">
        <w:rPr>
          <w:rFonts w:eastAsia="Times New Roman" w:cstheme="minorHAnsi"/>
          <w:color w:val="000000"/>
          <w:sz w:val="24"/>
          <w:szCs w:val="24"/>
          <w:lang w:val="es-UY" w:eastAsia="es-UY"/>
        </w:rPr>
        <w:t xml:space="preserve"> el número de </w:t>
      </w:r>
      <w:r w:rsidR="006E1103">
        <w:rPr>
          <w:rFonts w:eastAsia="Times New Roman" w:cstheme="minorHAnsi"/>
          <w:color w:val="000000"/>
          <w:sz w:val="24"/>
          <w:szCs w:val="24"/>
          <w:lang w:val="es-UY" w:eastAsia="es-UY"/>
        </w:rPr>
        <w:t>clientes</w:t>
      </w:r>
      <w:r w:rsidRPr="00155AC0">
        <w:rPr>
          <w:rFonts w:eastAsia="Times New Roman" w:cstheme="minorHAnsi"/>
          <w:color w:val="000000"/>
          <w:sz w:val="24"/>
          <w:szCs w:val="24"/>
          <w:lang w:val="es-UY" w:eastAsia="es-UY"/>
        </w:rPr>
        <w:t>. Estaría sujeto a las siguientes restricciones</w:t>
      </w:r>
      <w:r w:rsidR="00B26A3C">
        <w:rPr>
          <w:rFonts w:eastAsia="Times New Roman" w:cstheme="minorHAnsi"/>
          <w:color w:val="000000"/>
          <w:sz w:val="24"/>
          <w:szCs w:val="24"/>
          <w:lang w:val="es-UY" w:eastAsia="es-UY"/>
        </w:rPr>
        <w:t>.</w:t>
      </w:r>
    </w:p>
    <w:p w:rsidR="00155AC0" w:rsidRDefault="00155AC0"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De cada nodo parte uno y solo un arco:</w:t>
      </w:r>
    </w:p>
    <w:p w:rsidR="00B26A3C" w:rsidRPr="00B26A3C" w:rsidRDefault="00302DAC"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Default="00B26A3C" w:rsidP="00B26A3C">
      <w:pPr>
        <w:pStyle w:val="Prrafodelista"/>
        <w:numPr>
          <w:ilvl w:val="0"/>
          <w:numId w:val="2"/>
        </w:numPr>
        <w:spacing w:after="200" w:line="276" w:lineRule="atLeast"/>
        <w:jc w:val="both"/>
        <w:rPr>
          <w:rFonts w:cstheme="minorHAnsi"/>
          <w:color w:val="000000"/>
        </w:rPr>
      </w:pPr>
      <w:r w:rsidRPr="00155AC0">
        <w:rPr>
          <w:rFonts w:cstheme="minorHAnsi"/>
          <w:color w:val="000000"/>
        </w:rPr>
        <w:t>A cada nodo llega uno y solo un arco</w:t>
      </w:r>
      <w:r w:rsidRPr="00B26A3C">
        <w:rPr>
          <w:rFonts w:cstheme="minorHAnsi"/>
          <w:color w:val="000000"/>
        </w:rPr>
        <w:t>:</w:t>
      </w:r>
    </w:p>
    <w:p w:rsidR="00B26A3C" w:rsidRPr="00B26A3C" w:rsidRDefault="00302DAC" w:rsidP="006E1103">
      <w:pPr>
        <w:pStyle w:val="Prrafodelista"/>
        <w:spacing w:after="200" w:line="276" w:lineRule="atLeast"/>
        <w:jc w:val="both"/>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Pr="00B26A3C" w:rsidRDefault="00B26A3C"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E</w:t>
      </w:r>
      <w:r w:rsidRPr="00155AC0">
        <w:rPr>
          <w:rFonts w:cstheme="minorHAnsi"/>
          <w:color w:val="000000"/>
        </w:rPr>
        <w:t>vitando la formación de sub-ciclos</w:t>
      </w:r>
      <w:r>
        <w:rPr>
          <w:rFonts w:cstheme="minorHAnsi"/>
          <w:color w:val="000000"/>
        </w:rPr>
        <w:t>:</w:t>
      </w:r>
    </w:p>
    <w:p w:rsidR="00B26A3C" w:rsidRPr="00B26A3C" w:rsidRDefault="00302DAC" w:rsidP="006E1103">
      <w:pPr>
        <w:pStyle w:val="Prrafodelista"/>
        <w:spacing w:after="200" w:line="276" w:lineRule="atLeast"/>
        <w:jc w:val="both"/>
        <w:rPr>
          <w:rFonts w:cstheme="minorHAnsi"/>
          <w:color w:val="000000"/>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j</m:t>
              </m:r>
            </m:sub>
          </m:sSub>
          <m:r>
            <w:rPr>
              <w:rFonts w:ascii="Cambria Math" w:hAnsi="Cambria Math" w:cstheme="minorHAnsi"/>
              <w:color w:val="000000"/>
              <w:sz w:val="32"/>
            </w:rPr>
            <m:t>+n</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≤n-1,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 …,n</m:t>
              </m:r>
            </m:e>
          </m:d>
          <m:r>
            <w:rPr>
              <w:rFonts w:ascii="Cambria Math" w:hAnsi="Cambria Math" w:cstheme="minorHAnsi"/>
              <w:color w:val="000000"/>
              <w:sz w:val="32"/>
            </w:rPr>
            <m:t>, x, y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oMath>
      </m:oMathPara>
    </w:p>
    <w:p w:rsidR="00155AC0" w:rsidRPr="00155AC0" w:rsidRDefault="00155AC0" w:rsidP="00B26A3C">
      <w:pPr>
        <w:spacing w:after="60" w:line="276" w:lineRule="atLeast"/>
        <w:ind w:left="1848" w:hanging="357"/>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lastRenderedPageBreak/>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4" w:name="_Toc336011417"/>
      <w:bookmarkStart w:id="5" w:name="_Toc40342300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4"/>
      <w:r w:rsidRPr="009B69E2">
        <w:t>)</w:t>
      </w:r>
      <w:bookmarkEnd w:id="5"/>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672CF7">
        <w:rPr>
          <w:rFonts w:eastAsia="Times New Roman" w:cstheme="minorHAnsi"/>
          <w:color w:val="000000"/>
          <w:sz w:val="24"/>
          <w:szCs w:val="24"/>
          <w:lang w:val="es-UY" w:eastAsia="es-UY"/>
        </w:rPr>
        <w:t xml:space="preserve">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on"/>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Default="001548AB" w:rsidP="001548AB">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proofErr w:type="spellStart"/>
      <w:r>
        <w:rPr>
          <w:rFonts w:eastAsia="Times New Roman" w:cstheme="minorHAnsi"/>
          <w:color w:val="000000"/>
          <w:sz w:val="24"/>
          <w:szCs w:val="24"/>
          <w:lang w:val="es-UY" w:eastAsia="es-UY"/>
        </w:rPr>
        <w:t>Toth</w:t>
      </w:r>
      <w:proofErr w:type="spellEnd"/>
      <w:r>
        <w:rPr>
          <w:rFonts w:eastAsia="Times New Roman" w:cstheme="minorHAnsi"/>
          <w:color w:val="000000"/>
          <w:sz w:val="24"/>
          <w:szCs w:val="24"/>
          <w:lang w:val="es-UY" w:eastAsia="es-UY"/>
        </w:rPr>
        <w:t xml:space="preserve">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poner </w:t>
      </w:r>
      <w:proofErr w:type="spellStart"/>
      <w:r>
        <w:rPr>
          <w:rFonts w:eastAsia="Times New Roman" w:cstheme="minorHAnsi"/>
          <w:color w:val="000000"/>
          <w:sz w:val="24"/>
          <w:szCs w:val="24"/>
          <w:lang w:val="es-UY" w:eastAsia="es-UY"/>
        </w:rPr>
        <w:t>refernencia</w:t>
      </w:r>
      <w:proofErr w:type="spellEnd"/>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m:t>
              </m:r>
              <m:r>
                <w:rPr>
                  <w:rFonts w:ascii="Cambria Math" w:eastAsia="Times New Roman" w:hAnsi="Cambria Math" w:cstheme="minorHAnsi"/>
                  <w:color w:val="000000"/>
                  <w:sz w:val="28"/>
                  <w:szCs w:val="24"/>
                  <w:lang w:val="es-UY" w:eastAsia="es-UY"/>
                </w:rPr>
                <m:t>∈</m:t>
              </m:r>
              <m:r>
                <w:rPr>
                  <w:rFonts w:ascii="Cambria Math" w:eastAsia="Times New Roman" w:hAnsi="Cambria Math" w:cstheme="minorHAnsi"/>
                  <w:color w:val="000000"/>
                  <w:sz w:val="28"/>
                  <w:szCs w:val="24"/>
                  <w:lang w:val="es-UY" w:eastAsia="es-UY"/>
                </w:rPr>
                <m:t>V</m:t>
              </m:r>
            </m:sub>
            <m:sup/>
            <m:e>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m:t>
                  </m:r>
                  <m:r>
                    <w:rPr>
                      <w:rFonts w:ascii="Cambria Math" w:eastAsia="Times New Roman" w:hAnsi="Cambria Math" w:cstheme="minorHAnsi"/>
                      <w:color w:val="000000"/>
                      <w:sz w:val="28"/>
                      <w:szCs w:val="24"/>
                      <w:lang w:val="es-UY" w:eastAsia="es-UY"/>
                    </w:rPr>
                    <m:t>∈</m:t>
                  </m:r>
                  <m:r>
                    <w:rPr>
                      <w:rFonts w:ascii="Cambria Math" w:eastAsia="Times New Roman" w:hAnsi="Cambria Math" w:cstheme="minorHAnsi"/>
                      <w:color w:val="000000"/>
                      <w:sz w:val="28"/>
                      <w:szCs w:val="24"/>
                      <w:lang w:val="es-UY" w:eastAsia="es-UY"/>
                    </w:rPr>
                    <m:t>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1548AB"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1548AB" w:rsidP="006E1103">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m:t>
              </m:r>
              <m:r>
                <w:rPr>
                  <w:rFonts w:ascii="Cambria Math" w:hAnsi="Cambria Math" w:cstheme="minorHAnsi"/>
                  <w:color w:val="000000"/>
                  <w:sz w:val="28"/>
                </w:rPr>
                <m:t>∈V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 xml:space="preserve">=1     ∀ </m:t>
              </m:r>
              <m:r>
                <w:rPr>
                  <w:rFonts w:ascii="Cambria Math" w:hAnsi="Cambria Math" w:cstheme="minorHAnsi"/>
                  <w:color w:val="000000"/>
                  <w:sz w:val="28"/>
                </w:rPr>
                <m:t>i</m:t>
              </m:r>
              <m:r>
                <w:rPr>
                  <w:rFonts w:ascii="Cambria Math" w:hAnsi="Cambria Math" w:cstheme="minorHAnsi"/>
                  <w:color w:val="000000"/>
                  <w:sz w:val="28"/>
                </w:rPr>
                <m:t xml:space="preserve">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3779C1" w:rsidP="003779C1">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m:t>
              </m:r>
              <m:r>
                <w:rPr>
                  <w:rFonts w:ascii="Cambria Math" w:hAnsi="Cambria Math" w:cstheme="minorHAnsi"/>
                  <w:color w:val="000000"/>
                  <w:sz w:val="28"/>
                </w:rPr>
                <m:t>∈V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m:t>
                  </m:r>
                  <m:r>
                    <w:rPr>
                      <w:rFonts w:ascii="Cambria Math" w:hAnsi="Cambria Math" w:cstheme="minorHAnsi"/>
                      <w:color w:val="000000"/>
                      <w:sz w:val="28"/>
                    </w:rPr>
                    <m:t>0</m:t>
                  </m:r>
                </m:sub>
              </m:sSub>
              <m:r>
                <w:rPr>
                  <w:rFonts w:ascii="Cambria Math" w:hAnsi="Cambria Math" w:cstheme="minorHAnsi"/>
                  <w:color w:val="000000"/>
                  <w:sz w:val="28"/>
                </w:rPr>
                <m:t>-</m:t>
              </m:r>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m:t>
                  </m:r>
                  <m:r>
                    <w:rPr>
                      <w:rFonts w:ascii="Cambria Math" w:hAnsi="Cambria Math" w:cstheme="minorHAnsi"/>
                      <w:color w:val="000000"/>
                      <w:sz w:val="28"/>
                    </w:rPr>
                    <m:t>∈V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DB166D" w:rsidP="0059657D">
      <w:pPr>
        <w:pStyle w:val="Prrafodelista"/>
        <w:spacing w:after="200" w:line="276" w:lineRule="atLeast"/>
        <w:rPr>
          <w:rFonts w:cstheme="minorHAnsi"/>
          <w:color w:val="000000"/>
          <w:sz w:val="32"/>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m:t>
            </m:r>
            <m:r>
              <w:rPr>
                <w:rFonts w:ascii="Cambria Math" w:eastAsia="Times New Roman" w:hAnsi="Cambria Math" w:cstheme="minorHAnsi"/>
                <w:color w:val="000000"/>
                <w:sz w:val="24"/>
                <w:szCs w:val="24"/>
                <w:lang w:val="es-UY" w:eastAsia="es-UY"/>
              </w:rPr>
              <m:t>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DB166D" w:rsidP="00DB166D">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m:t>
              </m:r>
              <m:r>
                <w:rPr>
                  <w:rFonts w:ascii="Cambria Math" w:hAnsi="Cambria Math" w:cstheme="minorHAnsi"/>
                  <w:color w:val="000000"/>
                  <w:sz w:val="28"/>
                </w:rPr>
                <m:t>∈V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m:t>
                  </m:r>
                  <m:r>
                    <w:rPr>
                      <w:rFonts w:ascii="Cambria Math" w:hAnsi="Cambria Math" w:cstheme="minorHAnsi"/>
                      <w:color w:val="000000"/>
                      <w:sz w:val="28"/>
                    </w:rPr>
                    <m:t>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6" w:name="_Toc403423007"/>
      <w:r>
        <w:rPr>
          <w:rFonts w:eastAsia="Times New Roman"/>
          <w:lang w:val="es-UY" w:eastAsia="es-UY"/>
        </w:rPr>
        <w:lastRenderedPageBreak/>
        <w:t>Variantes del VRP</w:t>
      </w:r>
      <w:bookmarkEnd w:id="6"/>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lastRenderedPageBreak/>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6F051F" w:rsidRPr="006F051F" w:rsidRDefault="006F051F" w:rsidP="006F051F">
      <w:pPr>
        <w:pStyle w:val="Ttulo2"/>
        <w:rPr>
          <w:rFonts w:eastAsia="Times New Roman" w:cstheme="minorHAnsi"/>
          <w:color w:val="000000"/>
          <w:sz w:val="24"/>
          <w:szCs w:val="24"/>
          <w:lang w:val="en-US" w:eastAsia="es-UY"/>
        </w:rPr>
      </w:pPr>
      <w:bookmarkStart w:id="7" w:name="_Toc403423008"/>
      <w:r w:rsidRPr="006F051F">
        <w:rPr>
          <w:lang w:val="en-US"/>
        </w:rPr>
        <w:t>Multi-Depot Vehicle Routing Problem (MDVRP)</w:t>
      </w:r>
      <w:bookmarkEnd w:id="7"/>
    </w:p>
    <w:p w:rsidR="00672CF7" w:rsidRDefault="00672CF7" w:rsidP="00672CF7">
      <w:pPr>
        <w:shd w:val="clear" w:color="auto" w:fill="FFFFFF"/>
        <w:spacing w:after="0" w:line="240" w:lineRule="auto"/>
        <w:rPr>
          <w:rFonts w:eastAsia="Times New Roman" w:cstheme="minorHAnsi"/>
          <w:color w:val="000000"/>
          <w:sz w:val="24"/>
          <w:szCs w:val="24"/>
          <w:lang w:val="en-US" w:eastAsia="es-UY"/>
        </w:rPr>
      </w:pPr>
    </w:p>
    <w:p w:rsidR="00672CF7" w:rsidRPr="00672CF7"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Cómo ya se mencionó, el problema MDVRP y sus variantes son problemas NP-</w:t>
      </w:r>
      <w:proofErr w:type="spellStart"/>
      <w:r w:rsidRPr="00672CF7">
        <w:rPr>
          <w:rFonts w:eastAsia="Times New Roman" w:cstheme="minorHAnsi"/>
          <w:color w:val="000000"/>
          <w:sz w:val="24"/>
          <w:szCs w:val="24"/>
          <w:lang w:val="es-UY" w:eastAsia="es-UY"/>
        </w:rPr>
        <w:t>Hard</w:t>
      </w:r>
      <w:proofErr w:type="spellEnd"/>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w:t>
      </w:r>
      <w:r w:rsidRPr="00672CF7">
        <w:rPr>
          <w:rFonts w:eastAsia="Times New Roman" w:cstheme="minorHAnsi"/>
          <w:color w:val="000000"/>
          <w:sz w:val="24"/>
          <w:szCs w:val="24"/>
          <w:lang w:val="es-UY" w:eastAsia="es-UY"/>
        </w:rPr>
        <w:lastRenderedPageBreak/>
        <w:t xml:space="preserve">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xml:space="preserve">]. En el cual se convierte el problema de </w:t>
      </w:r>
      <w:proofErr w:type="spellStart"/>
      <w:r w:rsidRPr="00672CF7">
        <w:rPr>
          <w:rFonts w:eastAsia="Times New Roman" w:cstheme="minorHAnsi"/>
          <w:color w:val="000000"/>
          <w:sz w:val="24"/>
          <w:szCs w:val="24"/>
          <w:lang w:val="es-UY" w:eastAsia="es-UY"/>
        </w:rPr>
        <w:t>multi-depot</w:t>
      </w:r>
      <w:proofErr w:type="spellEnd"/>
      <w:r w:rsidRPr="00672CF7">
        <w:rPr>
          <w:rFonts w:eastAsia="Times New Roman" w:cstheme="minorHAnsi"/>
          <w:color w:val="000000"/>
          <w:sz w:val="24"/>
          <w:szCs w:val="24"/>
          <w:lang w:val="es-UY" w:eastAsia="es-UY"/>
        </w:rPr>
        <w:t>, en un problema single-</w:t>
      </w:r>
      <w:proofErr w:type="spellStart"/>
      <w:r w:rsidRPr="00672CF7">
        <w:rPr>
          <w:rFonts w:eastAsia="Times New Roman" w:cstheme="minorHAnsi"/>
          <w:color w:val="000000"/>
          <w:sz w:val="24"/>
          <w:szCs w:val="24"/>
          <w:lang w:val="es-UY" w:eastAsia="es-UY"/>
        </w:rPr>
        <w:t>depot</w:t>
      </w:r>
      <w:proofErr w:type="spellEnd"/>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1-El costo desde el depósito virtual al depósito “real” es cero. 2-Un vehículo que parte del depósito virtual solo puede ir a un depósito real. 3-El vehículo termina su recorrido en el depósito real visitado. 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rsidP="006F051F">
      <w:pPr>
        <w:spacing w:line="360" w:lineRule="auto"/>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r w:rsidRPr="006F051F">
        <w:rPr>
          <w:rFonts w:eastAsia="Times New Roman" w:cstheme="minorHAnsi"/>
          <w:color w:val="FF0000"/>
          <w:sz w:val="24"/>
          <w:szCs w:val="24"/>
          <w:lang w:val="es-UY" w:eastAsia="es-UY"/>
        </w:rPr>
        <w:br w:type="page"/>
      </w: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2DAC"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2DAC"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302DAC"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2DAC"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2DAC"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302DAC"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2DAC"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2DAC"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302DAC"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2DAC"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2DAC"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302DAC"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w:t>
      </w:r>
      <w:r>
        <w:rPr>
          <w:rFonts w:ascii="Times New Roman" w:eastAsia="Times New Roman" w:hAnsi="Times New Roman" w:cs="Times New Roman"/>
          <w:color w:val="000000"/>
          <w:sz w:val="24"/>
          <w:szCs w:val="24"/>
          <w:lang w:eastAsia="es-UY"/>
        </w:rPr>
        <w:lastRenderedPageBreak/>
        <w:t xml:space="preserve">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2DAC">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2DAC">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302DAC">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bookmarkStart w:id="8" w:name="_GoBack"/>
      <w:bookmarkEnd w:id="8"/>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8"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9"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0"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1"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lastRenderedPageBreak/>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302DAC"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2"/>
          <w:footerReference w:type="default" r:id="rId13"/>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2DAC"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9" w:name="_Toc403423009" w:displacedByCustomXml="prev"/>
        <w:p w:rsidR="001F4C25" w:rsidRDefault="001F4C25">
          <w:pPr>
            <w:pStyle w:val="Ttulo1"/>
          </w:pPr>
          <w:r>
            <w:t>Bibliografía</w:t>
          </w:r>
          <w:bookmarkEnd w:id="9"/>
        </w:p>
        <w:sdt>
          <w:sdtPr>
            <w:id w:val="111145805"/>
            <w:bibliography/>
          </w:sdtPr>
          <w:sdtContent>
            <w:p w:rsidR="001F4C25" w:rsidRDefault="00302DAC">
              <w:pPr>
                <w:rPr>
                  <w:noProof/>
                </w:rPr>
              </w:pPr>
              <w:r w:rsidRPr="00302DAC">
                <w:fldChar w:fldCharType="begin"/>
              </w:r>
              <w:r w:rsidR="001F4C25">
                <w:instrText>BIBLIOGRAPHY</w:instrText>
              </w:r>
              <w:r w:rsidRPr="00302DAC">
                <w:fldChar w:fldCharType="separate"/>
              </w:r>
            </w:p>
            <w:tbl>
              <w:tblPr>
                <w:tblW w:w="5000" w:type="pct"/>
                <w:tblCellSpacing w:w="15" w:type="dxa"/>
                <w:tblCellMar>
                  <w:top w:w="15" w:type="dxa"/>
                  <w:left w:w="15" w:type="dxa"/>
                  <w:bottom w:w="15" w:type="dxa"/>
                  <w:right w:w="15" w:type="dxa"/>
                </w:tblCellMar>
                <w:tblLook w:val="04A0"/>
              </w:tblPr>
              <w:tblGrid>
                <w:gridCol w:w="332"/>
                <w:gridCol w:w="8262"/>
              </w:tblGrid>
              <w:tr w:rsidR="001F4C25" w:rsidRPr="00AF0620">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AF0620">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AF0620">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AF0620">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302DAC">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6B1" w:rsidRDefault="00D066B1" w:rsidP="00530530">
      <w:pPr>
        <w:spacing w:after="0" w:line="240" w:lineRule="auto"/>
      </w:pPr>
      <w:r>
        <w:separator/>
      </w:r>
    </w:p>
  </w:endnote>
  <w:endnote w:type="continuationSeparator" w:id="0">
    <w:p w:rsidR="00D066B1" w:rsidRDefault="00D066B1"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80752"/>
      <w:docPartObj>
        <w:docPartGallery w:val="Page Numbers (Bottom of Page)"/>
        <w:docPartUnique/>
      </w:docPartObj>
    </w:sdtPr>
    <w:sdtContent>
      <w:p w:rsidR="00832798" w:rsidRDefault="00832798">
        <w:pPr>
          <w:pStyle w:val="Piedepgina"/>
          <w:jc w:val="center"/>
        </w:pPr>
        <w:fldSimple w:instr=" PAGE   \* MERGEFORMAT ">
          <w:r w:rsidR="004A4306">
            <w:rPr>
              <w:noProof/>
            </w:rPr>
            <w:t>10</w:t>
          </w:r>
        </w:fldSimple>
      </w:p>
    </w:sdtContent>
  </w:sdt>
  <w:p w:rsidR="00832798" w:rsidRDefault="008327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6B1" w:rsidRDefault="00D066B1" w:rsidP="00530530">
      <w:pPr>
        <w:spacing w:after="0" w:line="240" w:lineRule="auto"/>
      </w:pPr>
      <w:r>
        <w:separator/>
      </w:r>
    </w:p>
  </w:footnote>
  <w:footnote w:type="continuationSeparator" w:id="0">
    <w:p w:rsidR="00D066B1" w:rsidRDefault="00D066B1" w:rsidP="005305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798" w:rsidRDefault="0083279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3">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2534A"/>
    <w:rsid w:val="000D6B22"/>
    <w:rsid w:val="00120CD4"/>
    <w:rsid w:val="00121AEB"/>
    <w:rsid w:val="00130026"/>
    <w:rsid w:val="001548AB"/>
    <w:rsid w:val="00155AC0"/>
    <w:rsid w:val="00185751"/>
    <w:rsid w:val="001F4C25"/>
    <w:rsid w:val="00284361"/>
    <w:rsid w:val="00294DA5"/>
    <w:rsid w:val="002D3CBF"/>
    <w:rsid w:val="00302DAC"/>
    <w:rsid w:val="00365D37"/>
    <w:rsid w:val="0037165D"/>
    <w:rsid w:val="003779C1"/>
    <w:rsid w:val="003A4E48"/>
    <w:rsid w:val="003B27FF"/>
    <w:rsid w:val="004376CA"/>
    <w:rsid w:val="004535B2"/>
    <w:rsid w:val="004A4306"/>
    <w:rsid w:val="004C5979"/>
    <w:rsid w:val="00501475"/>
    <w:rsid w:val="00520DB9"/>
    <w:rsid w:val="00530530"/>
    <w:rsid w:val="005352A7"/>
    <w:rsid w:val="00590B4E"/>
    <w:rsid w:val="0059657D"/>
    <w:rsid w:val="005C5FE1"/>
    <w:rsid w:val="005D5D46"/>
    <w:rsid w:val="00672CF7"/>
    <w:rsid w:val="00691B83"/>
    <w:rsid w:val="006D73B6"/>
    <w:rsid w:val="006E1103"/>
    <w:rsid w:val="006E5A23"/>
    <w:rsid w:val="006E704F"/>
    <w:rsid w:val="006F051F"/>
    <w:rsid w:val="007337A3"/>
    <w:rsid w:val="007662D4"/>
    <w:rsid w:val="00832798"/>
    <w:rsid w:val="00872520"/>
    <w:rsid w:val="008C71B7"/>
    <w:rsid w:val="00905143"/>
    <w:rsid w:val="00927B67"/>
    <w:rsid w:val="009425A7"/>
    <w:rsid w:val="009A2C51"/>
    <w:rsid w:val="009B69E2"/>
    <w:rsid w:val="00AE2157"/>
    <w:rsid w:val="00AF0620"/>
    <w:rsid w:val="00B10BDD"/>
    <w:rsid w:val="00B26A3C"/>
    <w:rsid w:val="00BB3E6E"/>
    <w:rsid w:val="00BB4736"/>
    <w:rsid w:val="00BE2FFB"/>
    <w:rsid w:val="00BF3392"/>
    <w:rsid w:val="00BF37BA"/>
    <w:rsid w:val="00C93AE4"/>
    <w:rsid w:val="00D066B1"/>
    <w:rsid w:val="00D13191"/>
    <w:rsid w:val="00D3314F"/>
    <w:rsid w:val="00DB166D"/>
    <w:rsid w:val="00E122D5"/>
    <w:rsid w:val="00E745E0"/>
    <w:rsid w:val="00EF182D"/>
    <w:rsid w:val="00FC456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jacobea.edu.mx/n5/3.Desarrollo%20de%20un%20m%C3%A9todo%20h%C3%ADbrido%20para%20la%20resoluci%C3%B3n%20del%20MDVRP%20V2.pdf)"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ing.us.es/proyectos/abreproy/5166/fichero/Volumen+1%252FCap%EDtulo+4.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laccei.org/LACCEI2012-Panama/RefereedPapers/RP029.pdf" TargetMode="External"/><Relationship Id="rId4" Type="http://schemas.openxmlformats.org/officeDocument/2006/relationships/settings" Target="settings.xml"/><Relationship Id="rId9" Type="http://schemas.openxmlformats.org/officeDocument/2006/relationships/hyperlink" Target="http://www.laccei.org/LACCEI2012-Panama/RefereedPapers/RP029.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0312"/>
    <w:rsid w:val="00DC0312"/>
    <w:rsid w:val="00F0285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8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02850"/>
    <w:rPr>
      <w:color w:val="808080"/>
    </w:rPr>
  </w:style>
  <w:style w:type="paragraph" w:customStyle="1" w:styleId="7356272389DF410D9754A09C83FEFC20">
    <w:name w:val="7356272389DF410D9754A09C83FEFC20"/>
    <w:rsid w:val="00DC0312"/>
  </w:style>
  <w:style w:type="paragraph" w:customStyle="1" w:styleId="EFE039782650494EB0CF8B6F5067345B">
    <w:name w:val="EFE039782650494EB0CF8B6F5067345B"/>
    <w:rsid w:val="00DC03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D26FAFC7-557A-4CB9-BA4C-CE0693B1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13</Pages>
  <Words>3090</Words>
  <Characters>16996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26</cp:revision>
  <dcterms:created xsi:type="dcterms:W3CDTF">2014-10-09T18:11:00Z</dcterms:created>
  <dcterms:modified xsi:type="dcterms:W3CDTF">2014-11-18T02:10:00Z</dcterms:modified>
</cp:coreProperties>
</file>