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1E32F4">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1E32F4">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1E32F4">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1E32F4">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1E32F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1E32F4" w:rsidRPr="00EF758D" w:rsidRDefault="001E32F4"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1E32F4" w:rsidRDefault="001E32F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1E32F4" w:rsidRDefault="001E32F4"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1E32F4" w:rsidRDefault="001E32F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1E32F4" w:rsidRDefault="001E32F4" w:rsidP="00274CE5">
                  <w:pPr>
                    <w:rPr>
                      <w:rFonts w:eastAsiaTheme="minorEastAsia"/>
                      <w:lang w:val="en-US"/>
                    </w:rPr>
                  </w:pPr>
                  <w:proofErr w:type="spellStart"/>
                  <w:r>
                    <w:rPr>
                      <w:rFonts w:eastAsiaTheme="minorEastAsia"/>
                      <w:lang w:val="en-US"/>
                    </w:rPr>
                    <w:t>s.a.</w:t>
                  </w:r>
                  <w:proofErr w:type="spellEnd"/>
                </w:p>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1E32F4" w:rsidRPr="0034085F" w:rsidRDefault="001E32F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1E32F4" w:rsidRPr="00750D83"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1E32F4"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1E32F4" w:rsidRDefault="001E32F4"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1E32F4" w:rsidRDefault="001E32F4" w:rsidP="00274CE5">
                  <w:pPr>
                    <w:rPr>
                      <w:rFonts w:eastAsiaTheme="minorEastAsia"/>
                      <w:lang w:val="en-US"/>
                    </w:rPr>
                  </w:pPr>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1E32F4" w:rsidRDefault="001E32F4"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1E32F4" w:rsidRDefault="001E32F4"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1E32F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1E32F4"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1E32F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1E32F4" w:rsidRDefault="001E32F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1E32F4" w:rsidRDefault="001E32F4" w:rsidP="00274CE5">
                  <w:pPr>
                    <w:rPr>
                      <w:rFonts w:eastAsiaTheme="minorEastAsia"/>
                      <w:lang w:val="en-US"/>
                    </w:rPr>
                  </w:pPr>
                  <w:proofErr w:type="spellStart"/>
                  <w:r>
                    <w:rPr>
                      <w:rFonts w:eastAsiaTheme="minorEastAsia"/>
                      <w:lang w:val="en-US"/>
                    </w:rPr>
                    <w:t>s.a.</w:t>
                  </w:r>
                  <w:proofErr w:type="spellEnd"/>
                </w:p>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1E32F4" w:rsidRPr="0034085F" w:rsidRDefault="001E32F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1E32F4" w:rsidRPr="00750D83"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1E32F4" w:rsidRDefault="001E32F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1E32F4" w:rsidRDefault="001E32F4"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1E32F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1E32F4"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1E32F4" w:rsidRPr="00750D83" w:rsidRDefault="001E32F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1E32F4" w:rsidRPr="00750D83" w:rsidRDefault="001E32F4"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1E32F4" w:rsidRDefault="001E32F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1E32F4" w:rsidRDefault="001E32F4"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1E32F4"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1E32F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D5D32">
      <w:pPr>
        <w:pStyle w:val="Ttulo3"/>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xml:space="preserve">.  Se utiliza el criterio del costo que se agrega al insertar al cliente entre </w:t>
      </w:r>
      <w:r w:rsidR="00B462B2">
        <w:rPr>
          <w:lang w:val="es-UY"/>
        </w:rPr>
        <w:lastRenderedPageBreak/>
        <w:t>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885FC7">
      <w:pPr>
        <w:pStyle w:val="Ttulo3"/>
        <w:rPr>
          <w:lang w:val="es-UY"/>
        </w:rPr>
      </w:pPr>
      <w:r>
        <w:rPr>
          <w:lang w:val="es-UY"/>
        </w:rPr>
        <w:t>Heurísticas de dos fases</w:t>
      </w:r>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el algo</w:t>
      </w:r>
      <w:bookmarkStart w:id="16" w:name="_GoBack"/>
      <w:bookmarkEnd w:id="16"/>
      <w:r w:rsidR="00E37FD1">
        <w:rPr>
          <w:lang w:val="es-UY"/>
        </w:rPr>
        <w:t xml:space="preserve">ritmo </w:t>
      </w:r>
      <w:r>
        <w:rPr>
          <w:lang w:val="es-UY"/>
        </w:rPr>
        <w:t>con más restricciones, como por ejemplo con la restricción de que el largo total de una ruta no puede ser mayor a un valor predeterminado.</w:t>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lastRenderedPageBreak/>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1E32F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521" w:rsidRDefault="00413521" w:rsidP="00530530">
      <w:pPr>
        <w:spacing w:after="0" w:line="240" w:lineRule="auto"/>
      </w:pPr>
      <w:r>
        <w:separator/>
      </w:r>
    </w:p>
  </w:endnote>
  <w:endnote w:type="continuationSeparator" w:id="0">
    <w:p w:rsidR="00413521" w:rsidRDefault="0041352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1E32F4" w:rsidRDefault="001E32F4">
        <w:pPr>
          <w:pStyle w:val="Piedepgina"/>
          <w:jc w:val="center"/>
        </w:pPr>
        <w:r>
          <w:fldChar w:fldCharType="begin"/>
        </w:r>
        <w:r>
          <w:instrText xml:space="preserve"> PAGE   \* MERGEFORMAT </w:instrText>
        </w:r>
        <w:r>
          <w:fldChar w:fldCharType="separate"/>
        </w:r>
        <w:r w:rsidR="00E37FD1">
          <w:rPr>
            <w:noProof/>
          </w:rPr>
          <w:t>22</w:t>
        </w:r>
        <w:r>
          <w:rPr>
            <w:noProof/>
          </w:rPr>
          <w:fldChar w:fldCharType="end"/>
        </w:r>
      </w:p>
    </w:sdtContent>
  </w:sdt>
  <w:p w:rsidR="001E32F4" w:rsidRDefault="001E32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521" w:rsidRDefault="00413521" w:rsidP="00530530">
      <w:pPr>
        <w:spacing w:after="0" w:line="240" w:lineRule="auto"/>
      </w:pPr>
      <w:r>
        <w:separator/>
      </w:r>
    </w:p>
  </w:footnote>
  <w:footnote w:type="continuationSeparator" w:id="0">
    <w:p w:rsidR="00413521" w:rsidRDefault="0041352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E32F4"/>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37FD1"/>
    <w:rsid w:val="00E471E2"/>
    <w:rsid w:val="00E5633F"/>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F72729C6-422E-465C-8493-32A6A9AB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25</Pages>
  <Words>6688</Words>
  <Characters>36785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44</cp:revision>
  <cp:lastPrinted>2014-12-23T14:28:00Z</cp:lastPrinted>
  <dcterms:created xsi:type="dcterms:W3CDTF">2015-01-27T20:56:00Z</dcterms:created>
  <dcterms:modified xsi:type="dcterms:W3CDTF">2015-02-06T16:16:00Z</dcterms:modified>
</cp:coreProperties>
</file>