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86"/>
            <w:shd w:fill="F6F1E7"/>
            <w:tcMar>
              <w:top w:w="430" w:type="dxa"/>
              <w:start w:w="420" w:type="dxa"/>
              <w:bottom w:w="420" w:type="dxa"/>
              <w:end w:w="420" w:type="dxa"/>
            </w:tcMar>
          </w:tcPr>
          <w:p>
            <w:r>
              <w:rPr>
                <w:rFonts w:ascii="Inter" w:hAnsi="Inter"/>
                <w:b/>
                <w:color w:val="B4602F"/>
                <w:sz w:val="18"/>
              </w:rPr>
              <w:t>BRIEFING MESTRE</w:t>
            </w:r>
          </w:p>
          <w:p>
            <w:pPr>
              <w:spacing w:before="140" w:after="180"/>
            </w:pPr>
            <w:r>
              <w:rPr>
                <w:rFonts w:ascii="Liberation Serif" w:hAnsi="Liberation Serif"/>
                <w:b/>
                <w:color w:val="221F1A"/>
                <w:sz w:val="68"/>
              </w:rPr>
              <w:t>Instituto Urupema</w:t>
            </w:r>
          </w:p>
          <w:p>
            <w:pPr>
              <w:spacing w:after="320"/>
            </w:pPr>
            <w:r>
              <w:rPr>
                <w:rFonts w:ascii="Inter" w:hAnsi="Inter"/>
                <w:b w:val="0"/>
                <w:color w:val="221F1A"/>
                <w:sz w:val="28"/>
              </w:rPr>
              <w:t>Branding, identidade visual e governança da marca</w:t>
            </w:r>
          </w:p>
          <w:p>
            <w:pPr>
              <w:spacing w:after="360"/>
            </w:pPr>
            <w:r>
              <w:rPr>
                <w:rFonts w:ascii="Inter" w:hAnsi="Inter"/>
                <w:color w:val="6F6A62"/>
                <w:sz w:val="21"/>
              </w:rPr>
              <w:t>Objetivo desta etapa: consolidar o Instituto Urupema em um sistema de marca institucional canônico, coerente, aplicável e governável — sem recomeçar do zero.</w:t>
            </w:r>
          </w:p>
          <w:p>
            <w:pPr>
              <w:jc w:val="left"/>
            </w:pPr>
            <w:r>
              <w:rPr>
                <w:color w:val="221F1A"/>
                <w:sz w:val="28"/>
              </w:rPr>
              <w:t>━━━━</w:t>
            </w:r>
            <w:r>
              <w:rPr>
                <w:color w:val="B4602F"/>
                <w:sz w:val="28"/>
              </w:rPr>
              <w:t xml:space="preserve">  ━━━━</w:t>
            </w:r>
            <w:r>
              <w:rPr>
                <w:color w:val="221F1A"/>
                <w:sz w:val="28"/>
              </w:rPr>
              <w:t xml:space="preserve">  ━━━━</w:t>
            </w:r>
          </w:p>
        </w:tc>
      </w:tr>
    </w:tbl>
    <w:p>
      <w:pPr>
        <w:widowControl/>
        <w:spacing w:before="140"/>
        <w:jc w:val="right"/>
      </w:pPr>
      <w:r>
        <w:rPr>
          <w:rFonts w:ascii="Inter" w:hAnsi="Inter"/>
          <w:color w:val="6F6A62"/>
          <w:sz w:val="17"/>
        </w:rPr>
        <w:t>Documento único para orientar estratégia, sistema visual, linguagem, aplicações e documentação.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Mandato do trabalho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086"/>
            <w:shd w:fill="F6F1E7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</w:pPr>
            <w:r>
              <w:rPr>
                <w:rFonts w:ascii="Inter" w:hAnsi="Inter"/>
                <w:b/>
                <w:color w:val="B4602F"/>
                <w:sz w:val="16"/>
              </w:rPr>
              <w:t>PONTO DE PARTIDA</w:t>
            </w:r>
          </w:p>
          <w:p>
            <w:pPr>
              <w:spacing w:after="0"/>
            </w:pPr>
            <w:r>
              <w:t>O Instituto Urupema já tem nome, uma tese institucional, um símbolo e uma direção visual em uso. Este trabalho não é um exercício de naming nem um convite para “inventar outra marca”. É uma etapa de organização, amadurecimento, documentação e expansão do sistema existente.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>O resultado esperado é uma identidade que funcione como infraestrutura institucional: clara o suficiente para orientar qualquer fornecedor ou equipe interna, flexível o suficiente para acomodar produtos e programas futuros, e disciplinada o suficiente para permanecer reconhecível ao longo do tempo.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Consolidar estratégia, posicionamento, arquitetura de marca, linguagem verbal e sistema visual em uma única fonte de verdade.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Resolver inconsistências e lacunas sem apagar decisões já maduras apenas por preferência estética.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Provar o sistema em situações reais: ciência, convênios, produto digital, infraestrutura, educação, parceria e impacto social.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Documentar regras de uso, governança e evolução da marca para reduzir deriva futura.</w:t>
      </w:r>
    </w:p>
    <w:p>
      <w:pPr>
        <w:pStyle w:val="Heading1"/>
        <w:widowControl/>
      </w:pPr>
      <w:r>
        <w:t>2. O que é o Instituto Urupema</w:t>
      </w:r>
    </w:p>
    <w:p>
      <w:pPr>
        <w:widowControl/>
      </w:pPr>
      <w:r>
        <w:t>O Instituto Urupema é uma Instituição de Ciência e Tecnologia (ICT) privada e sem fins lucrativos, dedicada a pesquisa, desenvolvimento e inovação em tecnologias de dados, inteligência artificial e infraestrutura computacional. Sua função não é oferecer uma lista de serviços desconectados: há uma tese única que organiza sua atuação.</w:t>
      </w:r>
    </w:p>
    <w:p>
      <w:pPr>
        <w:pStyle w:val="PullQuote"/>
        <w:widowControl/>
      </w:pPr>
      <w:r>
        <w:t>“Refinar tecnologia em bem comum.”</w:t>
      </w:r>
    </w:p>
    <w:p>
      <w:pPr>
        <w:widowControl/>
      </w:pPr>
      <w:r>
        <w:t>A referência da urupema — uma malha que filtra com critério — oferece o modelo mental da instituição: tecnologia bruta entra; passa por regras, evidência, responsabilidade e contexto; torna-se valor utilizável; e chega a pessoas e organizações que, sem essa infraestrutura, poderiam ficar de fora.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086"/>
            <w:shd w:fill="F6F1E7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</w:pPr>
            <w:r>
              <w:rPr>
                <w:rFonts w:ascii="Inter" w:hAnsi="Inter"/>
                <w:b/>
                <w:color w:val="B4602F"/>
                <w:sz w:val="16"/>
              </w:rPr>
              <w:t>PRINCÍPIO TRANSVERSAL</w:t>
            </w:r>
          </w:p>
          <w:p>
            <w:pPr>
              <w:spacing w:after="0"/>
            </w:pPr>
            <w:r>
              <w:t>O teste da urupema: toda iniciativa deve conseguir responder à lógica “tecnologia bruta entra, passa por critério, vira valor para quem precisa”. O que não cabe nessa lógica deve ser tratado como exceção estratégica, não como extensão automática de escopo.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3. Eixos institucionais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1. Pesquisa e plataformas de dados</w:t>
      </w:r>
    </w:p>
    <w:p>
      <w:pPr>
        <w:widowControl/>
        <w:spacing w:after="120"/>
        <w:ind w:left="312"/>
      </w:pPr>
      <w:r>
        <w:t>PD&amp;I em governança de dados, inteligência artificial, interoperabilidade e sistemas federados. O Instituto cria mecanismos para que datasets, modelos, execuções e resultados possam ser identificados, versionados, autorizados, rastreados e auditados.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2. Soberania digital e infraestrutura</w:t>
      </w:r>
    </w:p>
    <w:p>
      <w:pPr>
        <w:widowControl/>
        <w:spacing w:after="120"/>
        <w:ind w:left="312"/>
      </w:pPr>
      <w:r>
        <w:t>Operação e desenvolvimento de infraestrutura computacional soberana para sustentar as plataformas do Instituto, atender instituições parceiras e apoiar projetos sociais que não teriam acesso adequado a capacidade computacional.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3. Educação e trabalho</w:t>
      </w:r>
    </w:p>
    <w:p>
      <w:pPr>
        <w:widowControl/>
        <w:spacing w:after="120"/>
        <w:ind w:left="312"/>
      </w:pPr>
      <w:r>
        <w:t>Cursos e trilhas em IA e tecnologia com compromisso concreto de empregabilidade, priorizando pessoas fora do mercado de trabalho. A ambição não é apenas “formar”: é construir uma ponte mensurável entre formação e trabalho.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4. Extensão tecnológica</w:t>
      </w:r>
    </w:p>
    <w:p>
      <w:pPr>
        <w:widowControl/>
        <w:spacing w:after="120"/>
        <w:ind w:left="312"/>
      </w:pPr>
      <w:r>
        <w:t>Consultorias, treinamentos corporativos e projetos de PD&amp;I sob encomenda transferem conhecimento para organizações públicas e privadas e ajudam a sustentar financeiramente a missão. Essas atividades não devem deslocar PD&amp;I da posição de atividade-fim institucional.</w:t>
      </w:r>
    </w:p>
    <w:p>
      <w:pPr>
        <w:pStyle w:val="Heading1"/>
        <w:widowControl/>
      </w:pPr>
      <w:r>
        <w:t>4. A tese tecnológica que a marca precisa compreender</w:t>
      </w:r>
    </w:p>
    <w:p>
      <w:pPr>
        <w:widowControl/>
      </w:pPr>
      <w:r>
        <w:t>A identidade não pode ser construída como se o Instituto fosse apenas uma organização de “governança de dados”. Há uma visão técnica maior: colaboração científica e computacional entre instituições sem exigir perda de controle sobre ativos, contexto ou responsabilidade.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Federação: instituições e nós podem cooperar sem que todo dado precise ser centralizado em uma única infraestrutura.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Soberania: cada participante preserva autoridade legítima sobre acesso, processamento, exportação e condições de uso.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Política e revogação: autorizações precisam ser explícitas, aplicáveis e reversíveis; acesso não é sinônimo de posse permanente.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Proveniência e evidência: resultados relevantes devem carregar trilha suficiente para explicar origem, versão, regra, execução e responsabilidade.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Compute-to-data / data-at-origin: em cenários sensíveis, a computação pode ir até o dado em vez de obrigar o dado a circular.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Neutralidade: a camada de confiança não pode parecer um instrumento comercial de uma parte contra as outras; confiança técnica e institucional depende de separação clara entre governança e interesse comercial.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086"/>
            <w:shd w:fill="F6F1E7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</w:pPr>
            <w:r>
              <w:rPr>
                <w:rFonts w:ascii="Inter" w:hAnsi="Inter"/>
                <w:b/>
                <w:color w:val="B4602F"/>
                <w:sz w:val="16"/>
              </w:rPr>
              <w:t>IMPORTANTE SOBRE NOMES</w:t>
            </w:r>
          </w:p>
          <w:p>
            <w:pPr>
              <w:spacing w:after="0"/>
            </w:pPr>
            <w:r>
              <w:t>Os nomes atuais de plataformas, módulos, kernels, “factories”, planos ou constituições internas são referências de trabalho, não dogmas de marca. O nome Instituto Urupema é fixo. Nomes de sistemas, camadas e produtos podem ser reorganizados, simplificados ou substituídos se isso melhorar clareza estratégica. Não desenhar a arquitetura de marca em torno de siglas ou nomes internos como se fossem imutáveis.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5. Posicionamento da marca</w:t>
      </w:r>
    </w:p>
    <w:p>
      <w:pPr>
        <w:widowControl/>
      </w:pPr>
      <w:r>
        <w:t>O território desejado é o de uma instituição brasileira de ciência e tecnologia que transforma complexidade técnica em infraestrutura de confiança e acesso. O Instituto deve parecer capaz de operar por décadas — e não uma startup que depende da estética tecnológica do momento.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5043"/>
            <w:shd w:fill="F6F1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Inter" w:hAnsi="Inter"/>
                <w:b/>
                <w:color w:val="B4602F"/>
                <w:sz w:val="17"/>
              </w:rPr>
              <w:t>DEVE PARECER</w:t>
            </w:r>
          </w:p>
        </w:tc>
        <w:tc>
          <w:tcPr>
            <w:tcW w:type="dxa" w:w="5043"/>
            <w:shd w:fill="E7DFD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Inter" w:hAnsi="Inter"/>
                <w:b/>
                <w:color w:val="6F6A62"/>
                <w:sz w:val="17"/>
              </w:rPr>
              <w:t>NÃO DEVE PARECER</w:t>
            </w:r>
          </w:p>
        </w:tc>
      </w:tr>
      <w:tr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Institucional sem ser burocrática</w:t>
            </w:r>
          </w:p>
        </w:tc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Consultoria genérica</w:t>
            </w:r>
          </w:p>
        </w:tc>
      </w:tr>
      <w:tr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Brasileira sem folclore</w:t>
            </w:r>
          </w:p>
        </w:tc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Empresa de cloud/hosting</w:t>
            </w:r>
          </w:p>
        </w:tc>
      </w:tr>
      <w:tr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Tecnológica sem futurismo genérico</w:t>
            </w:r>
          </w:p>
        </w:tc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ONG ambiental</w:t>
            </w:r>
          </w:p>
        </w:tc>
      </w:tr>
      <w:tr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Científica sem parecer universidade tradicional</w:t>
            </w:r>
          </w:p>
        </w:tc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Edtech isolada</w:t>
            </w:r>
          </w:p>
        </w:tc>
      </w:tr>
      <w:tr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Sóbria, confiável e operacional</w:t>
            </w:r>
          </w:p>
        </w:tc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Cybersecurity ou blockchain genérica</w:t>
            </w:r>
          </w:p>
        </w:tc>
      </w:tr>
      <w:tr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Capaz de combinar rigor técnico e impacto público</w:t>
            </w:r>
          </w:p>
        </w:tc>
        <w:tc>
          <w:tcPr>
            <w:tcW w:type="dxa" w:w="4592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spacing w:after="0"/>
            </w:pPr>
            <w:r>
              <w:t>• Marca “tropical” construída por verde, folhas ou fibras ilustradas</w:t>
            </w:r>
          </w:p>
        </w:tc>
      </w:tr>
    </w:tbl>
    <w:p>
      <w:pPr>
        <w:pStyle w:val="Heading1"/>
        <w:widowControl/>
      </w:pPr>
      <w:r>
        <w:t>6. Arquitetura de marca</w:t>
      </w:r>
    </w:p>
    <w:p>
      <w:pPr>
        <w:widowControl/>
      </w:pPr>
      <w:r>
        <w:t>A arquitetura deve partir da instituição, não dos sistemas. O Instituto Urupema é a marca-mãe, a fonte de autoridade institucional e o endosso que conecta pesquisa, produtos, infraestrutura, formação e extensão.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Marca-mãe: Instituto Urupema.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Produtos e plataformas: podem ter nomes próprios quando isso melhora uso e adoção, sempre com endosso claro do Instituto.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Programas de educação, impacto ou pesquisa: podem ganhar nomes descritivos ou próprios, desde que não concorram com a marca-mãe.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Componentes técnicos internos: não precisam virar marcas. Evitar multiplicar nomes públicos para arquitetura que só precisa ser compreendida por equipes técnicas.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Selo/atestação: se existir, deve significar uma afirmação operacional verificável; nunca usar “verificado” como ornamento promocional.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086"/>
            <w:shd w:fill="F6F1E7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</w:pPr>
            <w:r>
              <w:rPr>
                <w:rFonts w:ascii="Inter" w:hAnsi="Inter"/>
                <w:b/>
                <w:color w:val="B4602F"/>
                <w:sz w:val="16"/>
              </w:rPr>
              <w:t>REGRA DE ENDOSSO</w:t>
            </w:r>
          </w:p>
          <w:p>
            <w:pPr>
              <w:spacing w:after="0"/>
            </w:pPr>
            <w:r>
              <w:t>A marca-mãe deve continuar reconhecível mesmo quando um produto tem personalidade própria. A relação recomendada é “&lt;produto&gt; — um produto do Instituto Urupema” ou fórmula equivalente. A nomenclatura específica pode evoluir; a lógica de endosso deve permanecer.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7. Sistema verbal</w:t>
      </w:r>
    </w:p>
    <w:p>
      <w:pPr>
        <w:widowControl/>
      </w:pPr>
      <w:r>
        <w:t>A linguagem precisa fazer o mesmo trabalho da arquitetura: transformar complexidade em critério. O Instituto deve falar com precisão, sobriedade e consequência. A metáfora da urupema sustenta a marca; não deve aparecer em cada frase.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Tese institucional atual: “Refinar tecnologia em bem comum.”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Proofline atual: “O que passa, passa com prova.”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Ideia criativa de sistema: “A malha vem antes do fluxo.”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Tom: institucional, preciso, humano e demonstrável. Evitar jargão vazio de inovação e superlativos sem evidência.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Vocabulário preferencial: critério, evidência, soberania, origem, responsabilidade, cooperação, infraestrutura, pesquisa, acesso, trabalho, confiança.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Promessas como “soberano”, “verificado”, “auditável” ou “seguro” devem ser usadas apenas quando houver mecanismo real que sustente a afirmação.</w:t>
      </w:r>
    </w:p>
    <w:p>
      <w:pPr>
        <w:pStyle w:val="Heading1"/>
        <w:widowControl/>
      </w:pPr>
      <w:r>
        <w:t>8. Sistema visual existente: ponto de partida</w:t>
      </w:r>
    </w:p>
    <w:p>
      <w:pPr>
        <w:widowControl/>
      </w:pPr>
      <w:r>
        <w:t>O pacote de identidade já existente é a referência visual inicial. O trabalho deve partir dele, identificar o que está sólido, corrigir o que não escala e documentar o sistema com precisão. Não se espera um redesenho cosmético apenas para marcar autoria.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Símbolo: malha geométrica de nove barras, com intervenção pontual de urucum. Deve permanecer abstrata; não transformar em peneira literal.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Paleta-base atual: Palha #F6F1E7, Areia #E7DFD0, Tinta #221F1A e Urucum #B4602F.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Princípio cromático: Tinta/Palha sustentam a instituição; Urucum é sinal, evento ou decisão — nunca fundo dominante ou gradiente decorativo.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Tipografia atual: Newsreader para títulos, selo e voz institucional; Space Grotesk para rótulos, interface e dados. Qualquer mudança precisa demonstrar ganho funcional ou técnico, não apenas gosto.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Monocromia primeiro: o símbolo deve sobreviver a carimbo, relevo seco, cabeçalho de convênio, certificado, favicon e reprodução de baixa qualidade.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Evitar: folhas, fibras desenhadas, grafismos “indígenas” inventados, escudos, cadeados, hexágonos tech, redes de pontos e estética genérica de blockchain/cybersecurity.</w:t>
      </w:r>
    </w:p>
    <w:p>
      <w:pPr>
        <w:pStyle w:val="Heading1"/>
        <w:widowControl/>
      </w:pPr>
      <w:r>
        <w:t>9. Públicos e contextos de credibilidade</w:t>
      </w:r>
    </w:p>
    <w:p>
      <w:pPr>
        <w:widowControl/>
      </w:pPr>
      <w:r>
        <w:t>A identidade deve funcionar diante de públicos com critérios de confiança diferentes. Isso precisa ser testado, não presumido.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Conselho, dirigentes e potenciais mantenedores: precisam enxergar permanência institucional, foco e governança.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Órgãos públicos, ICTs, universidades e agências de fomento: precisam reconhecer legitimidade científica, capacidade operacional e clareza de missão.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Pesquisadores, engenheiros e times de dados: precisam perceber rigor técnico, interoperabilidade, soberania e ausência de marketing vazio.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Empresas e parceiros de PD&amp;I: precisam enxergar competência, neutralidade, confiabilidade e capacidade de entrega.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Alunos e pessoas em transição profissional: precisam perceber acesso, dignidade, possibilidade concreta de trabalho e pertencimento — sem estética assistencialista.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Projetos sociais e organizações menores: precisam entender que infraestrutura e tecnologia podem ser acessíveis sem perda de qualidade ou autonomia.</w:t>
      </w:r>
    </w:p>
    <w:p>
      <w:pPr>
        <w:pStyle w:val="Heading1"/>
        <w:widowControl/>
      </w:pPr>
      <w:r>
        <w:t>10. Aplicações obrigatórias para provar a identidade</w:t>
      </w:r>
    </w:p>
    <w:p>
      <w:pPr>
        <w:widowControl/>
      </w:pPr>
      <w:r>
        <w:t>O sistema não deve ser aprovado apenas em pranchas de marca. Ele deve ser testado nos ambientes onde a instituição realmente ganha ou perde credibilidade.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Site institucional: home, página de pesquisa, programa social e chamada de parceria.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Proposta institucional / edital / convênio: capa, miolo, tabela, assinatura e anexos.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Relatório técnico ou científico: capa, figuras, notas, referências e dados.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Produto digital: interface de plataforma de dados, evidência, permissões, lineage e estados de confiança.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Infraestrutura: painel, documentação técnica, status, alertas e ambientes de operação.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Educação e trabalho: landing page, certificado, trilha de aprendizagem e comunicação de recolocação.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Parceria: co-branding com universidade, governo, empresa e organização social.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Selo/atestação: versão impressa e digital, com regra clara sobre quando pode existir.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Microaplicações: favicon, avatar, assinatura de e-mail, social card, crachá, carimbo e fundo escuro.</w:t>
      </w:r>
    </w:p>
    <w:p>
      <w:pPr>
        <w:pStyle w:val="Heading1"/>
        <w:widowControl/>
      </w:pPr>
      <w:r>
        <w:t>11. Entregáveis esperados desta fase</w:t>
      </w:r>
    </w:p>
    <w:p>
      <w:pPr>
        <w:widowControl/>
      </w:pPr>
      <w:r>
        <w:t>A organização da marca deve terminar em um sistema utilizável por outras pessoas sem depender da presença do criador original.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1. Brand strategy consolidada</w:t>
      </w:r>
    </w:p>
    <w:p>
      <w:pPr>
        <w:widowControl/>
        <w:spacing w:after="120"/>
        <w:ind w:left="312"/>
      </w:pPr>
      <w:r>
        <w:t>Posicionamento, tese, promessa, diferenciação, públicos, personalidade, princípios, território verbal e limites de marca em linguagem canônica.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2. Arquitetura de marca</w:t>
      </w:r>
    </w:p>
    <w:p>
      <w:pPr>
        <w:widowControl/>
        <w:spacing w:after="120"/>
        <w:ind w:left="312"/>
      </w:pPr>
      <w:r>
        <w:t>Mapa de marca-mãe, produtos, programas, iniciativas e componentes técnicos, com regras de naming, endosso, co-branding e critérios para criar — ou não criar — novas marcas.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3. Sistema verbal</w:t>
      </w:r>
    </w:p>
    <w:p>
      <w:pPr>
        <w:widowControl/>
        <w:spacing w:after="120"/>
        <w:ind w:left="312"/>
      </w:pPr>
      <w:r>
        <w:t>Boilerplates, descritores, tagline/proofline, mensagens por público, princípios de tom, vocabulário, exemplos de escrita e proibições.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4. Sistema visual documentado</w:t>
      </w:r>
    </w:p>
    <w:p>
      <w:pPr>
        <w:widowControl/>
        <w:spacing w:after="120"/>
        <w:ind w:left="312"/>
      </w:pPr>
      <w:r>
        <w:t>Logotipos e assinaturas master, reduções, área de proteção, fundos, versões mono/negativa, paleta, tipografia, grid, iconografia, fotografia/ilustração, dados/diagramas, motion e acessibilidade.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5. Design tokens e ativos de produção</w:t>
      </w:r>
    </w:p>
    <w:p>
      <w:pPr>
        <w:widowControl/>
        <w:spacing w:after="120"/>
        <w:ind w:left="312"/>
      </w:pPr>
      <w:r>
        <w:t>Variáveis cromáticas, tipográficas e espaciais, arquivos vetoriais, assets digitais e regras compatíveis com produto e comunicação.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6. Templates prioritários</w:t>
      </w:r>
    </w:p>
    <w:p>
      <w:pPr>
        <w:widowControl/>
        <w:spacing w:after="120"/>
        <w:ind w:left="312"/>
      </w:pPr>
      <w:r>
        <w:t>Apresentação, proposta/convênio, relatório, social card, certificado, assinatura de e-mail e componentes digitais de marca.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7. Brand governance</w:t>
      </w:r>
    </w:p>
    <w:p>
      <w:pPr>
        <w:widowControl/>
        <w:spacing w:after="120"/>
        <w:ind w:left="312"/>
      </w:pPr>
      <w:r>
        <w:t>Fonte de verdade, versionamento, responsáveis, processo de aprovação, política de exceção e forma de registrar mudanças futuras.</w:t>
      </w:r>
    </w:p>
    <w:p>
      <w:pPr>
        <w:widowControl/>
        <w:spacing w:before="100" w:after="40"/>
      </w:pPr>
      <w:r>
        <w:rPr>
          <w:rFonts w:ascii="Inter" w:hAnsi="Inter"/>
          <w:b/>
          <w:color w:val="221F1A"/>
          <w:sz w:val="21"/>
        </w:rPr>
        <w:t>8. Brandbook final</w:t>
      </w:r>
    </w:p>
    <w:p>
      <w:pPr>
        <w:widowControl/>
        <w:spacing w:after="120"/>
        <w:ind w:left="312"/>
      </w:pPr>
      <w:r>
        <w:t>Documento conciso o suficiente para ser usado e completo o suficiente para evitar interpretações erradas. O brandbook deve explicar decisões, não apenas exibir exemplos.</w:t>
      </w:r>
    </w:p>
    <w:p>
      <w:pPr>
        <w:pStyle w:val="Heading1"/>
        <w:widowControl/>
      </w:pPr>
      <w:r>
        <w:t>12. Decisões já tomadas x decisões abertas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5043"/>
            <w:shd w:fill="F6F1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Inter" w:hAnsi="Inter"/>
                <w:b/>
                <w:color w:val="B4602F"/>
                <w:sz w:val="16"/>
              </w:rPr>
              <w:t>TRATAR COMO FIXO / FORTE RESTRIÇÃO</w:t>
            </w:r>
          </w:p>
        </w:tc>
        <w:tc>
          <w:tcPr>
            <w:tcW w:type="dxa" w:w="5043"/>
            <w:shd w:fill="E7DFD0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Inter" w:hAnsi="Inter"/>
                <w:b/>
                <w:color w:val="6F6A62"/>
                <w:sz w:val="16"/>
              </w:rPr>
              <w:t>PODE SER REVISADO / ORGANIZADO</w:t>
            </w:r>
          </w:p>
        </w:tc>
      </w:tr>
      <w:tr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Nome Instituto Urupema</w:t>
            </w:r>
          </w:p>
        </w:tc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Nomes de produtos, módulos, kernels, planos e componentes internos</w:t>
            </w:r>
          </w:p>
        </w:tc>
      </w:tr>
      <w:tr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Tese de “refinar tecnologia em bem comum” como centro do posicionamento</w:t>
            </w:r>
          </w:p>
        </w:tc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Taxonomia pública da arquitetura tecnológica</w:t>
            </w:r>
          </w:p>
        </w:tc>
      </w:tr>
      <w:tr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Urupema como metáfora de critério/malha, não como ilustração literal</w:t>
            </w:r>
          </w:p>
        </w:tc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Descritores secundários</w:t>
            </w:r>
          </w:p>
        </w:tc>
      </w:tr>
      <w:tr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Instituto como marca-mãe</w:t>
            </w:r>
          </w:p>
        </w:tc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Sistema de endosso entre produtos e programas</w:t>
            </w:r>
          </w:p>
        </w:tc>
      </w:tr>
      <w:tr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PD&amp;I como núcleo institucional</w:t>
            </w:r>
          </w:p>
        </w:tc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Detalhes de tipografia, proporções e tokens quando houver justificativa funcional</w:t>
            </w:r>
          </w:p>
        </w:tc>
      </w:tr>
      <w:tr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Soberania, federação, evidência e acesso como capacidades estruturais</w:t>
            </w:r>
          </w:p>
        </w:tc>
        <w:tc>
          <w:tcPr>
            <w:tcW w:type="dxa" w:w="4592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pPr>
              <w:spacing w:after="0"/>
            </w:pPr>
            <w:r>
              <w:t>• Templates, iconografia, fotografia, motion e expansão do sistema</w:t>
            </w:r>
          </w:p>
        </w:tc>
      </w:tr>
    </w:tbl>
    <w:p>
      <w:pPr>
        <w:pStyle w:val="Heading1"/>
        <w:widowControl/>
      </w:pPr>
      <w:r>
        <w:t>13. Guardrails institucionais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Não transformar o Instituto em uma “plataforma de tudo”. A marca deve ajudar a conter escopo, não mascarar dispersão.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Separar autoridade de governança e interesse comercial. Serviços podem sustentar a missão; não podem comprometer a percepção de neutralidade dos mecanismos de confiança.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Não confundir soberania com isolamento. A promessa é colaboração sob controle e evidência, não autossuficiência total.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Não confundir impacto social com linguagem assistencialista. Educação e infraestrutura social devem comunicar agência, trabalho, capacidade e acesso.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Não construir brasilidade por estereótipo visual. A origem brasileira pode aparecer por linguagem, matéria, ritmo, escolha cultural e repertório — sem folclorização.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Não usar selo, prova ou “verificado” como estética. Toda atestação precisa responder “o que foi verificado, sob qual regra e com qual evidência?”.</w:t>
      </w:r>
    </w:p>
    <w:p>
      <w:pPr>
        <w:pStyle w:val="Heading1"/>
        <w:widowControl/>
      </w:pPr>
      <w:r>
        <w:t>14. Critérios de sucesso</w:t>
      </w:r>
    </w:p>
    <w:p>
      <w:pPr>
        <w:widowControl/>
      </w:pPr>
      <w:r>
        <w:t>Considerar o trabalho concluído quando o sistema conseguir responder, sem depender de explicação oral do fundador ou do designer: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Quem é o Instituto Urupema e por que ele existe?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O que pertence à marca-mãe e o que merece nome próprio?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Como a marca se comporta em ciência, produto, governo, educação e impacto social sem parecer cinco organizações diferentes?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Como aplicar a identidade em preto e branco, fundo escuro, interface e documento oficial?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Como escrever sobre soberania, evidência e impacto sem exagerar promessas?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Quando uma nova iniciativa deve usar a marca Urupema, ser endossada por ela ou permanecer apenas como componente interno?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Quem pode alterar o sistema e como uma alteração se torna canônica?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086"/>
            <w:shd w:fill="F6F1E7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</w:pPr>
            <w:r>
              <w:rPr>
                <w:rFonts w:ascii="Inter" w:hAnsi="Inter"/>
                <w:b/>
                <w:color w:val="B4602F"/>
                <w:sz w:val="16"/>
              </w:rPr>
              <w:t>TESTE FINAL</w:t>
            </w:r>
          </w:p>
          <w:p>
            <w:pPr>
              <w:spacing w:after="0"/>
            </w:pPr>
            <w:r>
              <w:t>Se uma pessoa competente, sem contexto prévio, receber apenas o brandbook e os ativos e ainda assim conseguir produzir uma proposta, uma página de produto, um relatório e uma parceria coerentes entre si, o sistema está suficientemente documentado.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15. Materiais de referência que acompanham este briefing</w:t>
      </w:r>
    </w:p>
    <w:p>
      <w:pPr>
        <w:widowControl/>
      </w:pPr>
      <w:r>
        <w:t>Este documento deve viajar junto com o acervo de identidade, mas foi escrito para concentrar o contexto estratégico em um único lugar.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Pacote completo da identidade existente (ZIP): logos, paleta, tipografia, templates, provas de uso, brand spec e arquivos de produção.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Imagens e aplicações já aprovadas ou em avaliação, inclusive versões do símbolo e exemplos em fundo escuro.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Documentação técnica da plataforma e da arquitetura institucional, quando necessária para entender federação, soberania, evidência e separação de responsabilidades. Os nomes internos desses componentes não devem ser tratados como imutáveis.</w:t>
      </w:r>
    </w:p>
    <w:p>
      <w:pPr>
        <w:widowControl/>
        <w:ind w:left="312" w:hanging="142"/>
      </w:pPr>
      <w:r>
        <w:rPr>
          <w:b/>
          <w:color w:val="B4602F"/>
        </w:rPr>
        <w:t xml:space="preserve">• </w:t>
      </w:r>
      <w:r>
        <w:t>Descritivo institucional e material de missão, impacto, educação, infraestrutura e extensão tecnológica.</w:t>
      </w:r>
    </w:p>
    <w:p>
      <w:pPr>
        <w:spacing w:before="40" w:after="160"/>
        <w:widowControl/>
        <w:pBdr>
          <w:bottom w:val="single" w:sz="8" w:space="1" w:color="E7DFD0"/>
        </w:pBdr>
      </w:pPr>
    </w:p>
    <w:p>
      <w:pPr>
        <w:widowControl/>
        <w:jc w:val="center"/>
      </w:pPr>
      <w:r>
        <w:rPr>
          <w:rFonts w:ascii="Inter" w:hAnsi="Inter"/>
          <w:b/>
          <w:color w:val="221F1A"/>
          <w:sz w:val="18"/>
        </w:rPr>
        <w:t>INSTITUTO URUPEMA</w:t>
      </w:r>
    </w:p>
    <w:p>
      <w:pPr>
        <w:widowControl/>
        <w:spacing w:after="0"/>
        <w:jc w:val="center"/>
      </w:pPr>
      <w:r>
        <w:rPr>
          <w:rFonts w:ascii="Liberation Serif" w:hAnsi="Liberation Serif"/>
          <w:i/>
          <w:color w:val="B4602F"/>
          <w:sz w:val="26"/>
        </w:rPr>
        <w:t>Refinar tecnologia em bem comum.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F6A62"/>
        <w:sz w:val="15"/>
      </w:rPr>
      <w:t>Documento de trabalho · v1.0 · 23 setembro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abel"/>
      <w:jc w:val="right"/>
    </w:pPr>
    <w:r>
      <w:t>INSTITUTO URUPEMA  ·  BRIEFING MESTRE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 w:eastAsia="Inter"/>
      <w:color w:val="221F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221F1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B460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221F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221F1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after="100"/>
    </w:pPr>
    <w:rPr>
      <w:rFonts w:ascii="Inter" w:hAnsi="Inter" w:eastAsia="Inter"/>
      <w:b w:val="0"/>
      <w:color w:val="6F6A62"/>
      <w:sz w:val="16"/>
    </w:rPr>
  </w:style>
  <w:style w:type="paragraph" w:customStyle="1" w:styleId="PullQuote">
    <w:name w:val="Pull Quote"/>
    <w:pPr>
      <w:spacing w:before="160" w:after="180"/>
      <w:ind w:left="227" w:right="227"/>
    </w:pPr>
    <w:rPr>
      <w:rFonts w:ascii="Liberation Serif" w:hAnsi="Liberation Serif" w:eastAsia="Liberation Serif"/>
      <w:i/>
      <w:color w:val="221F1A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Mestre — Instituto Urupema</dc:title>
  <dc:subject>Branding, identidade visual e governança da marca</dc:subject>
  <dc:creator>Instituto Urupema</dc:creator>
  <cp:keywords/>
  <dc:description>Documento-base para organização e documentação da marca.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