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pPr>
      <w:r>
        <w:t>Host attachment and fluid shear are integrated into a mechanical signal regulating virulence in Escherichia coli O157:H7</w:t>
      </w:r>
    </w:p>
    <w:p>
      <w:pPr>
        <w:spacing w:line="360" w:lineRule="auto" w:after="200"/>
      </w:pPr>
      <w:r>
        <w:t>Ghadah Alsharif, Sadia Ahmad, Md Shahidul Islam, Riddhi Shah, Stephen J. Busby, Anne Marie Krachler</w:t>
      </w:r>
    </w:p>
    <w:p>
      <w:pPr>
        <w:spacing w:line="360" w:lineRule="auto" w:after="200"/>
      </w:pPr>
      <w:r>
        <w:t>Abstract</w:t>
      </w:r>
    </w:p>
    <w:p>
      <w:pPr>
        <w:spacing w:line="360" w:lineRule="auto" w:after="200"/>
      </w:pPr>
      <w:r>
        <w:t>Enterohemorrhagic Escherichia coli (EHEC) is a foodborne pathogen causing hemorrhagic colitis and hemolytic uremic syndrome. EHEC colonizes the intestinal tract through a range of virulence factors encoded by the locus of enterocyte effacement (LEE)[CITATION:2,3], as well as Shiga toxin. Although the factors involved in colonization and disease are well characterized, how EHEC regulates its expression in response to a host encounter is not well understood. Here, we report that EHEC perceives attachment to host cells as a mechanical cue that leads to expression of LEE-encoded virulence genes. This signal is transduced via the LEE-encoded global regulator of LEE-encoded regulator (Ler) and global regulator of Ler and is further enhanced by levels of shear force similar to peristaltic forces in the intestinal tract. Our data suggest that, in addition to a range of chemical environmental signals, EHEC is capable of sensing and responding to mechanical cues to adapt to its host’s physiology.</w:t>
      </w:r>
    </w:p>
    <w:p>
      <w:pPr>
        <w:spacing w:line="360" w:lineRule="auto" w:after="200"/>
      </w:pPr>
      <w:r>
        <w:t>Introduction</w:t>
      </w:r>
    </w:p>
    <w:p>
      <w:pPr>
        <w:spacing w:line="360" w:lineRule="auto" w:after="200"/>
      </w:pPr>
      <w:r>
        <w:t>Pathogens frequently undergo drastic environmental transitions as a direct result of their transmission between different environmental and host niches. In doing so, their gene expression patterns dramatically change to achieve niche adaptation and ensure the energy efficiency necessary for survival [CITATION:1,2]. Individual cues causing such environmental switches are generally well understood across a range of pathogenic organisms. How integration of such multifactorial cues and, as a result, robust regulation of virulence in response to a range of different hosts is achieved and has evolved is much less understood. Enterohemorrhagic Escherichia coli (EHEC) O157:H7 is a [CITATION:Zhao et al., 2024] foodborne pathogen and an important cause of bloody diarrhea worldwide [CITATION:1]. In some cases, EHEC infection can lead to hemolytic uremic syndrome and severe clinical complications, including kidney failure. EHEC can persist in environmental niches, as well as colonize the gastrointestinal tract of ruminants and human hosts. Virulence factors contributing to intestinal colonization and establishment of disease in humans are well characterized and include type 3 secreted effector proteins, factors mediating intimate adhesion (Tir/Intimin), and Shiga toxins. Factors implicated in the formation of attaching and effacing lesions, which leads to the loss of microvilli from the intestinal brush border and, as a result, severe diarrhea, include the type 3 secretion system, as well as Tir (translocated intimin receptor) and Intimin [CITATION:2, 3]. These are encoded by a pathogenicity island called the locus of enterocyte effacement (LEE)[CITATION:2], consisting of five major transcriptional units, LEE1–LEE5 [CITATION:4]. All five units are subject to shared regulation by Ler (LEE-encoded regulator), the master regulator of LEE and of other, non-LEE-encoded virulence factors [CITATION:5]. This genetic organization is conserved across other attaching and effacing pathogens, including enteropathogenic E. coli and Citrobacter rodentium [CITATION:6, 7]. Ler is encoded in the first transcriptional unit of LEE (LEE1) and works mainly by antagonizing global gene repression imposed by the histone-like nucleoid-structuring (H-NS) protein [CITATION:8]. Regulation of Ler is responsive to many environmental cues, reflective of the transition in lifestyle, as a result of uptake by and passage through the host. These include changes in metabolites, CO2 concentration, and the presence of host immune effectors and adrenal hormones, among others [CITATION:9–12]. Many of these cues directly converge on Ler, whereas others require the global regulator of Ler (GrlA), a LEE-encoded positive regulator of Ler expression, but all result in global regulation of LEE-encoded genes, and thus virulence [CITATION:13–15]. However, it is not known how these multifactorial environmental cues are integrated to achieve a spatially and temporally coordinated response to the presence of the host tissue. Here, we describe how initial attachment to host cells generates a mechanical cue, which is further enhanced by fluid shear levels present in the host intestinal tract and is required to fully activate Ler and, thus, LEE-encoded virulence mechanisms, in a GrlA-dependent manner. Our data suggest that, in addition to a range of chemical signals, EHEC is capable of directly sensing and responding to mechanical cues to adapt to its host’s physiology and to fine-tune virulence activation. In light of recently published data demonstrating mechanosensation as a regulatory cue inducing Pseudomonas aeruginosa virulence, this study highlights a remarkable case of parallel evolution in which functionally distinct pathogens have integrated mechanosensation as a basic physical mechanism into their regulatory circuitry to achieve control of virulence pathways [CITATION:16]. The authors declare no conflict of interest.</w:t>
      </w:r>
    </w:p>
    <w:p>
      <w:pPr>
        <w:spacing w:line="360" w:lineRule="auto" w:after="200"/>
      </w:pPr>
      <w:r>
        <w:t>Violation Detected</w:t>
      </w:r>
    </w:p>
    <w:p>
      <w:pPr>
        <w:spacing w:line="360" w:lineRule="auto" w:after="200"/>
      </w:pPr>
      <w:r>
        <w:t>Citation Style</w:t>
      </w:r>
    </w:p>
    <w:p>
      <w:pPr>
        <w:spacing w:line="360" w:lineRule="auto" w:after="200"/>
      </w:pPr>
      <w:r>
        <w:t>Citation format updated</w:t>
      </w:r>
    </w:p>
    <w:p>
      <w:pPr>
        <w:spacing w:line="360" w:lineRule="auto" w:after="200"/>
      </w:pPr>
      <w:r>
        <w:t>[CITATION:8]</w:t>
      </w:r>
    </w:p>
    <w:p>
      <w:pPr>
        <w:spacing w:line="360" w:lineRule="auto" w:after="200"/>
      </w:pPr>
      <w:r>
        <w:t>⬇️</w:t>
      </w:r>
    </w:p>
    <w:p>
      <w:pPr>
        <w:spacing w:line="360" w:lineRule="auto" w:after="200"/>
      </w:pPr>
      <w:r>
        <w:t>[9]</w:t>
      </w:r>
    </w:p>
    <w:p>
      <w:pPr>
        <w:spacing w:line="360" w:lineRule="auto" w:after="200"/>
      </w:pPr>
      <w:r>
        <w:t>Apply Fix</w:t>
      </w:r>
    </w:p>
    <w:p>
      <w:pPr>
        <w:spacing w:line="360" w:lineRule="auto" w:after="200"/>
      </w:pPr>
      <w:r>
        <w:t>Ignore</w:t>
      </w:r>
    </w:p>
    <w:p>
      <w:pPr>
        <w:spacing w:line="360" w:lineRule="auto" w:after="200"/>
      </w:pPr>
      <w:r>
        <w:t>Violation Detected</w:t>
      </w:r>
    </w:p>
    <w:p>
      <w:pPr>
        <w:spacing w:line="360" w:lineRule="auto" w:after="200"/>
      </w:pPr>
      <w:r>
        <w:t>Citation Style</w:t>
      </w:r>
    </w:p>
    <w:p>
      <w:pPr>
        <w:spacing w:line="360" w:lineRule="auto" w:after="200"/>
      </w:pPr>
      <w:r>
        <w:t>Citation format updated</w:t>
      </w:r>
    </w:p>
    <w:p>
      <w:pPr>
        <w:spacing w:line="360" w:lineRule="auto" w:after="200"/>
      </w:pPr>
      <w:r>
        <w:t>[CITATION:6, 7]</w:t>
      </w:r>
    </w:p>
    <w:p>
      <w:pPr>
        <w:spacing w:line="360" w:lineRule="auto" w:after="200"/>
      </w:pPr>
      <w:r>
        <w:t>⬇️</w:t>
      </w:r>
    </w:p>
    <w:p>
      <w:pPr>
        <w:spacing w:line="360" w:lineRule="auto" w:after="200"/>
      </w:pPr>
      <w:r>
        <w:t>[7], [8]</w:t>
      </w:r>
    </w:p>
    <w:p>
      <w:pPr>
        <w:spacing w:line="360" w:lineRule="auto" w:after="200"/>
      </w:pPr>
      <w:r>
        <w:t>Apply Fix</w:t>
      </w:r>
    </w:p>
    <w:p>
      <w:pPr>
        <w:spacing w:line="360" w:lineRule="auto" w:after="200"/>
      </w:pPr>
      <w:r>
        <w:t>Ignore</w:t>
      </w:r>
    </w:p>
    <w:p>
      <w:pPr>
        <w:spacing w:line="360" w:lineRule="auto" w:after="200"/>
      </w:pPr>
      <w:r>
        <w:t>RESULTS</w:t>
      </w:r>
    </w:p>
    <w:p>
      <w:pPr>
        <w:spacing w:line="360" w:lineRule="auto" w:after="200"/>
      </w:pPr>
      <w:r>
        <w:t>DISCUSSION</w:t>
      </w:r>
    </w:p>
    <w:p>
      <w:pPr>
        <w:spacing w:line="360" w:lineRule="auto" w:after="200"/>
      </w:pPr>
      <w:r>
        <w:t>Human disease caused by EHEC infection is usually the result of foodborne transmission. Thus, bacteria exit the ruminant gastrointestinal tract and persist on contaminated food matter before being taken up into a human host, where they colonize and cause diarrheal disease. After human uptake, bacteria are exposed to a range of host-specific cues, including a shift in temperature, passage through the acidic stomach environment, neutralization through bicarbonate exposure, and finally, the intestinal environment. It has always been assumed that sequential exposure to these host-specific triggers is sufficient to induce virulence exclusively within the human host niche, the intestine. Previous studies have indeed demonstrated induction of Ler, and thus LEE, in response to environmental stimuli. For example, GrlA is expressed in response to bicarbonate released by the pancreas, which partially induces LEE, and thus virulence [CITATION:22, 23]. Here, we show that although the levels of GrlA have a subtle effect on Ler activation, full virulence induction is only achieved through host attachment. This departs from our previous understanding of GrlA-based regulation, which was thought to require GrlR for inhibition and release of GrlA from the GrlR complex to achieve activation. In contrast to this, our data give strong evidence supporting the hypothesis that full induction by GrlA relies on mechanically stimulated activation of free GrlA, whereas the same cue does not activate GrlR-bound GrlA. How exactly GrlA becomes competent to bind to or activate the LEE1 promoter is clearly more complex than a transition from GrlR-bound to unbound states. It could be a result of a change in subcellular localization, posttranslational modification, or additional binding partners; these possibilities will be addressed in future work. This mechanism of virulence induction underlies positive feedback regulation, as the LEE includes both Tir and Intimin, factors required for intimate host attachment. Although EHEC adhesion is mediated by multiple components, and thus LEE induction does not strictly require Tir/Intimin, their presence reinforces existing bacterial attachment, and thus optimizes mechanotransduction. Taken together, our data suggest that although exposure to early host environmental triggers may cause basal activation of the LEE, and thus poise the system to respond, full activation of virulence requires two components of mechanosensation: First, direct contact with and attachment to the host cell surface, which contributed to an approximately sevenfold induction over host exposed but nonattached bacteria, and second, enhancement of the thus-generated force in response to fluid shear levels comparable to those in the intestinal lumen, which leads to a further three- to fourfold activation of LEE1 in bacteria experiencing fluid shear compared with static conditions. Levels of fluid shear in the intestinal tract vary, depending on the exact physical location. According to hydrodynamic calculations, shear forces can approach 5 dynes/cm 2 on the exposed brush border surface and can decrease to 2–3 dynes/cm2 between microvilli, depending on the flow rate [CITATION:24]. This highlights the physiological relevance of the LEE1 induction observed in our experiments, which reaches its maximum around 1 dyne/cm 2. The basic physical sensation of mechanical forces thus acts to integrate a variety of host-specific chemical signals and ensures the complex arsenal of virulence factors is only fully expressed once the pathogen has reached its dedicated niche. Although such chemical stimuli may vary between different environments, and even different host organisms, these physical parameters are a conserved signal indicating the presence of a host surface. Further work will be needed to understand what bacterial envelope components are involved in transduction of the mechanical signal sensed at the outer membrane in response to attachment to GrlA, the cytoplasmic regulator of virulence genes. The plate-based fluorescence assay used here to measure promoter activation in response to attachment [CITATION:Fig. 3] can be easily adopted to conduct high-throughput screens to identify further bacterial components involved in signal perception and transduction across the bacterial cell envelope. The EHEC surface contains multiple mechanoresponsive elements and factors, which could have a putative role in signaling attachment, including flagella (during the early stages of attachment), fimbrial adhesins, or, as recently reported, the tip-associated adhesin PilY [CITATION:16, 25–27]. Recently, Siryaporn et al. described mechanosensing as the inducing signal for virulence in P. aeruginosa and implicated PilY as the outer membrane component of the signal transduction pathway, although further components of the transduction mechanism remained elusive [CITATION:16]. In comparison with attaching/effacing pathogens such as EHEC, P. aeruginosa colonizes different niches within the host and comprises a different arsenal of virulence mechanisms. However, surface attachment equally acts as a general and evolutionary conserved signal for the presence of a host cell. This opens up the exciting perspective that mechanoperception is an evolutionary robust and widely used principle used by microbial pathogens to integrate a large and divergent set of specific environmental cues.</w:t>
      </w:r>
    </w:p>
    <w:p>
      <w:pPr>
        <w:spacing w:line="360" w:lineRule="auto" w:after="200"/>
      </w:pPr>
      <w:r>
        <w:t>MATERIALS AND METHODS</w:t>
      </w:r>
    </w:p>
    <w:p>
      <w:pPr>
        <w:spacing w:line="360" w:lineRule="auto" w:after="200"/>
      </w:pPr>
      <w:r>
        <w:t>The wild-type strain used in this study was an EHEC O157:H7 Sakai shiga-toxinnegative derivative strain (Sakai 813), a derivative of RIMD 0509952 [CITATION:28]. The gene-doctoring procedure was used to introduce gene deletions in this background, as previously described [CITATION:29]. All described strains and plasmids are listed in Table S1. Details of growth conditions, infection experiments under static and flow conditions, surface coating, imaging, and measurements of transcriptional activity are described in the SI Materials and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