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Explainable AI for Heart Sound Analysis: Bridging the Gap Between Algorithmic Inference and Clinical Reasoning</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rPr>
      </w:pPr>
      <w:r w:rsidDel="00000000" w:rsidR="00000000" w:rsidRPr="00000000">
        <w:rPr>
          <w:rFonts w:ascii="Arial" w:cs="Arial" w:eastAsia="Arial" w:hAnsi="Arial"/>
          <w:rtl w:val="0"/>
        </w:rPr>
        <w:t xml:space="preserve">Authors: Urva Gandhi, Rakshit Gajnotar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Under the guidance of Dr. Sapan Mankad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Department of Computer Science and Engineering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Nirma University, Ahmedabad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Cardiovascular diseases represent the leading cause of global mortality. Early detection relies heavily on heart sound analysis through phonocardiogram (PCG) signals. Traditional auscultation is subjective and highly dependent on clinician expertise. Deep learning models have recently achieved remarkable accuracy in automating this screening process but they operate as opaque systems. This lack of transparency restricts their clinical adoption because medical professionals need to understand the reasoning behind a diagnosis. To resolve this issue we propose an explainable artificial intelligence framework for binary classification of heart sounds . Our approach uses a pretrained ResNet50 backbone integrated with Squeeze-and-Excitation channel attention and Multi-Head Self-Attention to capture both spatial and temporal contexts. We incorporate three complementary techniques including Grad-CAM, SHAP and Attention Map visualizations to provide clear physiological explanations for every prediction. Evaluated on the PhysioNet/CinC 2016 dataset our model achieves 90.79% accuracy and an AUC-ROC of 0.946. The results demonstrate that combining advanced attention mechanisms with multiple explainability methods yields highly accurate predictions while delivering the transparent diagnostic support that clinicians require.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rtl w:val="0"/>
        </w:rPr>
        <w:t xml:space="preserve"> Phonocardiogram, Deep Learning, Explainable AI, ResNet50, Grad-CAM, SHAP.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 Introduction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Cardiovascular diseases are responsible for approximately 17.9 million deaths every year globally. Medical research shows that nearly 80% of these cases could be prevented through early detection. The most common non-invasive screening tool is auscultation which involves interpreting phonocardiogram (PCG) signals. However this traditional method is incredibly subjective and relies entirely on the individual training of the cardiographer.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In recent years deep learning architectures have offered a promising alternative by automating the classification of heart sounds. While these models deliver impressive predictive accuracy they suffer from a critical flaw known as the black-box problem. A deep learning model might correctly flag a heart sound as abnormal but it fails to explain the medical logic behind its decision. Doctors cannot safely act on a diagnosis if they do not know whether the model detected actual pathological murmurs or just learned to recognize irrelevant background noise.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address this major gap between algorithmic performance and clinical trust we developed a comprehensive framework that explicitly focuses on transparency. By integrating advanced explainability techniques we ensure that the model visually links its decisions to specific frequency bands and time segments in the audio signal.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Our explicit contributions are: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Developing a robust data preprocessing pipeline that converts raw PCG waveforms into Log-Mel Spectrograms.</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Designing a hybrid model architecture that combines a ResNet50 backbone with Squeeze-and-Excitation blocks and Multi-Head Self-Attention.</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Implementing a two-phase training strategy consisting of an initial warm-up phase followed by full network fine-tuning to maximize feature adaptation.</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Providing three distinct explainability methods including Grad-CAM, SHAP and Attention Maps to offer clinically meaningful visual feedback.</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Achieving competitive classification performance while establishing a benchmark against existing literature for visual interpretability in cardiac screening.</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II. Related Work &amp; Literature Review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field of automated heart sound classification has evolved rapidly from traditional machine learning techniques to highly advanced neural networks. Early methodologies relied heavily on handcrafted feature extraction using algorithms like Support Vector Machines. To improve this researchers like Li et al. shifted towards Convolutional Neural Networks on the PhysioNet 2016 dataset to achieve an accuracy of 86.8%. While these standard models successfully automated the feature extraction process they struggled to capture the necessary temporal context of a heartbeat.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better understand the sequential nature of the cardiac cycle models eventually transitioned to hybrid architectures. For example Padhy et al. developed the X-CBNet framework which combined Convolutional Neural Networks with Bidirectional LSTMs to reach an impressive 99.15% accuracy. Soon after the research focus shifted entirely to attention mechanisms which help models actively ignore irrelevant background noise. Ren et al. utilized Global Attention Pooling while more recent work by Alrabie and Barnawi introduced Squeeze-and-Excitation blocks paired with Multi-Head Attention. The latest technological advancements include Transformer models like the Explainable HeartSound Transformer by Althaph and Challa which process the entire cardiac cycle in parallel.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Despite these incredible technological milestones a critical knowledge gap remains regarding visual explainability. Most high-accuracy models still function as black boxes because they completely lack interpretable visual explanations. Furthermore automated segmentation algorithms are often error-prone and models trained on specific clinical devices frequently fail due to domain shift. Our research directly addresses these exact limitations by combining a robust ResNet50 backbone with three complementary explainability methods including Grad-CAM, SHAP and Attention Maps. This multi-layered approach ensures we provide comprehensive clinical proof for every single diagnosis.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References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S. K. Padhy, A. Mohapatra, and S. Patra, "X-CBNet: An Explainable Effective Deep Learning Framework Based on Spectrograms for Predicting Valvular Disorder using PCG Signals," </w:t>
      </w:r>
      <w:r w:rsidDel="00000000" w:rsidR="00000000" w:rsidRPr="00000000">
        <w:rPr>
          <w:rFonts w:ascii="Arial" w:cs="Arial" w:eastAsia="Arial" w:hAnsi="Arial"/>
          <w:i w:val="1"/>
          <w:iCs w:val="1"/>
          <w:rtl w:val="0"/>
        </w:rPr>
        <w:t xml:space="preserve">Journal of Transformative Technologies and Sustainable Development</w:t>
      </w:r>
      <w:r w:rsidDel="00000000" w:rsidR="00000000" w:rsidRPr="00000000">
        <w:rPr>
          <w:rFonts w:ascii="Arial" w:cs="Arial" w:eastAsia="Arial" w:hAnsi="Arial"/>
          <w:rtl w:val="0"/>
        </w:rPr>
        <w:t xml:space="preserve">, vol. 9, no. 18, 2025.</w:t>
      </w: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S. Alrabie and A. Barnawi, "Are Artificial Intelligence Models Listening Like Cardiologists? Bridging the Gap Between Artificial Intelligence and Clinical Reasoning in Heart-Sound Classification Using Explainable Artificial Intelligence," </w:t>
      </w:r>
      <w:r w:rsidDel="00000000" w:rsidR="00000000" w:rsidRPr="00000000">
        <w:rPr>
          <w:rFonts w:ascii="Arial" w:cs="Arial" w:eastAsia="Arial" w:hAnsi="Arial"/>
          <w:i w:val="1"/>
          <w:iCs w:val="1"/>
          <w:rtl w:val="0"/>
        </w:rPr>
        <w:t xml:space="preserve">Bioengineering</w:t>
      </w:r>
      <w:r w:rsidDel="00000000" w:rsidR="00000000" w:rsidRPr="00000000">
        <w:rPr>
          <w:rFonts w:ascii="Arial" w:cs="Arial" w:eastAsia="Arial" w:hAnsi="Arial"/>
          <w:rtl w:val="0"/>
        </w:rPr>
        <w:t xml:space="preserve">, vol. 12, no. 558, 2025.</w:t>
      </w: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Z. Ren, K. Qian, F. Dong, et al., "Deep attention-based neural networks for explainable heart sound classification," </w:t>
      </w:r>
      <w:r w:rsidDel="00000000" w:rsidR="00000000" w:rsidRPr="00000000">
        <w:rPr>
          <w:rFonts w:ascii="Arial" w:cs="Arial" w:eastAsia="Arial" w:hAnsi="Arial"/>
          <w:i w:val="1"/>
          <w:iCs w:val="1"/>
          <w:rtl w:val="0"/>
        </w:rPr>
        <w:t xml:space="preserve">Machine Learning with Applications</w:t>
      </w:r>
      <w:r w:rsidDel="00000000" w:rsidR="00000000" w:rsidRPr="00000000">
        <w:rPr>
          <w:rFonts w:ascii="Arial" w:cs="Arial" w:eastAsia="Arial" w:hAnsi="Arial"/>
          <w:rtl w:val="0"/>
        </w:rPr>
        <w:t xml:space="preserve">, vol. 9, 2022.</w:t>
      </w:r>
      <w:r w:rsidDel="00000000" w:rsidR="00000000" w:rsidRPr="00000000">
        <w:rPr>
          <w:rtl w:val="0"/>
        </w:rPr>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M. Li, Z. He, and H. Wang, "Heart Sound Classification Based on Multi-Scale Feature Fusion and Channel Attention Module," </w:t>
      </w:r>
      <w:r w:rsidDel="00000000" w:rsidR="00000000" w:rsidRPr="00000000">
        <w:rPr>
          <w:rFonts w:ascii="Arial" w:cs="Arial" w:eastAsia="Arial" w:hAnsi="Arial"/>
          <w:i w:val="1"/>
          <w:iCs w:val="1"/>
          <w:rtl w:val="0"/>
        </w:rPr>
        <w:t xml:space="preserve">Bioengineering</w:t>
      </w:r>
      <w:r w:rsidDel="00000000" w:rsidR="00000000" w:rsidRPr="00000000">
        <w:rPr>
          <w:rFonts w:ascii="Arial" w:cs="Arial" w:eastAsia="Arial" w:hAnsi="Arial"/>
          <w:rtl w:val="0"/>
        </w:rPr>
        <w:t xml:space="preserve">, vol. 12, no. 290, 2025.</w:t>
      </w: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C. Liu, D. Springer, Q. Li, et al., "An open access database for the evaluation of heart sound algorithms," </w:t>
      </w:r>
      <w:r w:rsidDel="00000000" w:rsidR="00000000" w:rsidRPr="00000000">
        <w:rPr>
          <w:rFonts w:ascii="Arial" w:cs="Arial" w:eastAsia="Arial" w:hAnsi="Arial"/>
          <w:i w:val="1"/>
          <w:iCs w:val="1"/>
          <w:rtl w:val="0"/>
        </w:rPr>
        <w:t xml:space="preserve">Physiological Measurement</w:t>
      </w:r>
      <w:r w:rsidDel="00000000" w:rsidR="00000000" w:rsidRPr="00000000">
        <w:rPr>
          <w:rFonts w:ascii="Arial" w:cs="Arial" w:eastAsia="Arial" w:hAnsi="Arial"/>
          <w:rtl w:val="0"/>
        </w:rPr>
        <w:t xml:space="preserve">, vol. 37, no. 12, pp. 2181–2213, 2016.</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Jt+5BKKL8mAeVMQK/8K++8g==">CgMxLjA4AHIhMTRpVHVMTGJGdFVaLUp4Zmw5VU5hck4yZGpWVm9NLWJp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