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Arimo" w:cs="Arimo" w:eastAsia="Arimo" w:hAnsi="Arimo"/>
          <w:b w:val="1"/>
          <w:bCs w:val="1"/>
          <w:sz w:val="42"/>
          <w:szCs w:val="42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44"/>
          <w:szCs w:val="44"/>
          <w:rtl w:val="0"/>
        </w:rPr>
        <w:t xml:space="preserve">Report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1" w:lineRule="auto"/>
        <w:jc w:val="center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white"/>
          <w:rtl w:val="0"/>
        </w:rPr>
        <w:t xml:space="preserve">Tutorials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spacing w:after="120" w:before="120" w:line="331" w:lineRule="auto"/>
        <w:jc w:val="center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1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1" w:lineRule="auto"/>
        <w:jc w:val="center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Software Project Management - 4CS504ME25</w:t>
      </w:r>
    </w:p>
    <w:p w:rsidR="00000000" w:rsidDel="00000000" w:rsidP="00000000" w:rsidRDefault="00000000" w:rsidRPr="00000000" w14:paraId="00000006">
      <w:pPr>
        <w:spacing w:after="120" w:before="120" w:line="331" w:lineRule="auto"/>
        <w:jc w:val="center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1" w:lineRule="auto"/>
        <w:jc w:val="center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24"/>
          <w:szCs w:val="24"/>
          <w:rtl w:val="0"/>
        </w:rPr>
        <w:t xml:space="preserve">B. Tech. Semester IV</w:t>
      </w:r>
    </w:p>
    <w:p w:rsidR="00000000" w:rsidDel="00000000" w:rsidP="00000000" w:rsidRDefault="00000000" w:rsidRPr="00000000" w14:paraId="00000008">
      <w:pPr>
        <w:spacing w:after="120" w:before="120" w:line="331" w:lineRule="auto"/>
        <w:jc w:val="center"/>
        <w:rPr>
          <w:rFonts w:ascii="Canva Sans Bold" w:cs="Canva Sans Bold" w:eastAsia="Canva Sans Bold" w:hAnsi="Canva Sans Bol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1"/>
        <w:keepLines w:val="1"/>
        <w:spacing w:after="120" w:before="120" w:line="276" w:lineRule="auto"/>
        <w:jc w:val="center"/>
        <w:rPr>
          <w:rFonts w:ascii="Arimo" w:cs="Arimo" w:eastAsia="Arimo" w:hAnsi="Arimo"/>
          <w:b w:val="1"/>
          <w:bCs w:val="1"/>
          <w:color w:val="000000"/>
          <w:sz w:val="32"/>
          <w:szCs w:val="32"/>
        </w:rPr>
      </w:pPr>
      <w:bookmarkStart w:colFirst="0" w:colLast="0" w:name="_heading=h.596hzac066x" w:id="0"/>
      <w:bookmarkEnd w:id="0"/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32"/>
          <w:szCs w:val="32"/>
          <w:rtl w:val="0"/>
        </w:rPr>
        <w:t xml:space="preserve">Prepared By :</w:t>
      </w:r>
    </w:p>
    <w:p w:rsidR="00000000" w:rsidDel="00000000" w:rsidP="00000000" w:rsidRDefault="00000000" w:rsidRPr="00000000" w14:paraId="0000000A">
      <w:pPr>
        <w:spacing w:line="331" w:lineRule="auto"/>
        <w:jc w:val="center"/>
        <w:rPr>
          <w:rFonts w:ascii="Canva Sans Bold" w:cs="Canva Sans Bold" w:eastAsia="Canva Sans Bold" w:hAnsi="Canva Sans Bold"/>
          <w:sz w:val="24"/>
          <w:szCs w:val="24"/>
        </w:rPr>
      </w:pPr>
      <w:r w:rsidDel="00000000" w:rsidR="00000000" w:rsidRPr="00000000">
        <w:rPr>
          <w:rFonts w:ascii="Canva Sans Bold" w:cs="Canva Sans Bold" w:eastAsia="Canva Sans Bold" w:hAnsi="Canva Sans Bold"/>
          <w:sz w:val="24"/>
          <w:szCs w:val="24"/>
          <w:rtl w:val="0"/>
        </w:rPr>
        <w:t xml:space="preserve">Gandhi Urva Yogeshkumar (23BCE078)</w:t>
      </w:r>
    </w:p>
    <w:p w:rsidR="00000000" w:rsidDel="00000000" w:rsidP="00000000" w:rsidRDefault="00000000" w:rsidRPr="00000000" w14:paraId="0000000B">
      <w:pPr>
        <w:spacing w:line="331" w:lineRule="auto"/>
        <w:jc w:val="center"/>
        <w:rPr>
          <w:rFonts w:ascii="Canva Sans Bold" w:cs="Canva Sans Bold" w:eastAsia="Canva Sans Bold" w:hAnsi="Canva Sans Bold"/>
          <w:sz w:val="24"/>
          <w:szCs w:val="24"/>
        </w:rPr>
      </w:pPr>
      <w:r w:rsidDel="00000000" w:rsidR="00000000" w:rsidRPr="00000000">
        <w:rPr>
          <w:rFonts w:ascii="Canva Sans Bold" w:cs="Canva Sans Bold" w:eastAsia="Canva Sans Bold" w:hAnsi="Canva Sans Bold"/>
          <w:sz w:val="24"/>
          <w:szCs w:val="24"/>
          <w:rtl w:val="0"/>
        </w:rPr>
        <w:t xml:space="preserve">Gajnotar Rakshit (23BCE077)</w:t>
      </w:r>
    </w:p>
    <w:p w:rsidR="00000000" w:rsidDel="00000000" w:rsidP="00000000" w:rsidRDefault="00000000" w:rsidRPr="00000000" w14:paraId="0000000C">
      <w:pPr>
        <w:spacing w:after="120" w:before="120" w:line="33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876233" cy="1000658"/>
            <wp:effectExtent b="0" l="0" r="0" t="0"/>
            <wp:docPr descr="bbc0144a956ab60e70f3dd2435e5d043.jpg" id="1" name="image1.jpg"/>
            <a:graphic>
              <a:graphicData uri="http://schemas.openxmlformats.org/drawingml/2006/picture">
                <pic:pic>
                  <pic:nvPicPr>
                    <pic:cNvPr descr="bbc0144a956ab60e70f3dd2435e5d043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233" cy="1000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1"/>
        <w:keepLines w:val="1"/>
        <w:spacing w:before="480" w:line="276" w:lineRule="auto"/>
        <w:jc w:val="center"/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</w:rPr>
      </w:pPr>
      <w:bookmarkStart w:colFirst="0" w:colLast="0" w:name="_heading=h.1u9aba6wb7nm" w:id="1"/>
      <w:bookmarkEnd w:id="1"/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Institute of Technology,</w:t>
      </w: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Nirma University</w:t>
      </w: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Ahmedabad - 382481</w:t>
      </w:r>
    </w:p>
    <w:p w:rsidR="00000000" w:rsidDel="00000000" w:rsidP="00000000" w:rsidRDefault="00000000" w:rsidRPr="00000000" w14:paraId="0000000F">
      <w:pPr>
        <w:pStyle w:val="Heading1"/>
        <w:keepNext w:val="1"/>
        <w:keepLines w:val="1"/>
        <w:spacing w:before="480" w:line="276" w:lineRule="auto"/>
        <w:jc w:val="center"/>
        <w:rPr/>
      </w:pPr>
      <w:bookmarkStart w:colFirst="0" w:colLast="0" w:name="_heading=h.sy1s43xtwd9" w:id="2"/>
      <w:bookmarkEnd w:id="2"/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4"/>
          <w:szCs w:val="24"/>
          <w:rtl w:val="0"/>
        </w:rPr>
        <w:t xml:space="preserve">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jc w:val="center"/>
        <w:rPr>
          <w:b w:val="1"/>
          <w:bCs w:val="1"/>
          <w:color w:val="1a1a1a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280" w:lineRule="auto"/>
        <w:rPr/>
      </w:pPr>
      <w:bookmarkStart w:colFirst="0" w:colLast="0" w:name="_heading=h.d8rowhh7dl02" w:id="3"/>
      <w:bookmarkEnd w:id="3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a real-world software project (Next-Generation Hospital Management System) by studying its objectives, stakeholders, project scope, deliverables, and constraints from a Software Project Management perspective.</w:t>
      </w:r>
    </w:p>
    <w:p w:rsidR="00000000" w:rsidDel="00000000" w:rsidP="00000000" w:rsidRDefault="00000000" w:rsidRPr="00000000" w14:paraId="00000013">
      <w:pPr>
        <w:pStyle w:val="Heading1"/>
        <w:spacing w:after="80" w:before="280" w:lineRule="auto"/>
        <w:rPr/>
      </w:pPr>
      <w:bookmarkStart w:colFirst="0" w:colLast="0" w:name="_heading=h.asmspjxi46vz" w:id="4"/>
      <w:bookmarkEnd w:id="4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the purpose and features of the Next-Generation Hospital Management System (HMS).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key project stakeholders and their roles.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project scope, including in-scope and out-of-scope functionalities.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major project deliverables and expected outcomes.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the project constraints, assumptions, and risks.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application of software project management principles in a real-world healthcare software project.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project analysis with appropriate diagrams, tables, and observations.</w:t>
      </w:r>
    </w:p>
    <w:p w:rsidR="00000000" w:rsidDel="00000000" w:rsidP="00000000" w:rsidRDefault="00000000" w:rsidRPr="00000000" w14:paraId="0000001B">
      <w:pPr>
        <w:rPr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5840" w:w="12240" w:orient="portrait"/>
          <w:pgMar w:bottom="900" w:top="900" w:left="900" w:right="90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000000" w:space="6" w:sz="12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1. 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selected real-world software project is a next-generation, commercial Hospital Management System (HMS/HMIS), intended to fully replace the currently deployed THIMS installation at the target hospital while being architected for future multi-hospital commercial deployment. The system covers the complete patient journey and hospital operating cycle — registration, appointment scheduling, outpatient and inpatient clinical care, nursing, operation theatre, pharmacy and inventory, laboratory and radiology diagnostics, billing/insurance/finance, human resources, reporting and analytics, and platform 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system is built as a modular, multi-tenant platform and natively supports India's Ayushman Bharat Digital Mission (ABDM) interoperability standards, since ABDM certification already exists on the incumbent system and must not be regressed.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000000" w:space="6" w:sz="12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2. 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project's objectives, derived from the system's stated purpose and scope,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 the existing THIMS installation with a modern, independently architected HMS without regressing its current ABDM certification and interoperability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Preserve workflow parity where THIMS is effective, while improving workflows where gaps exist (e.g., unified authentication, structured clinical templates, real-time bed management).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Modernise the user experience for all user classes — clinical, administrative, and patient-facing — across web and mobile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 the platform for multi-tenancy from day one, enabling future commercial licensing of the product to additional hospitals without retrofitting.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full compliance with ABDM interoperability standards (FHIR R4, ABHA, Consent Manager, HIP/HIU, HPR/HFR, NHCX) and India's Digital Personal Data Protection (DPDP) Act,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Unify previously separate capabilities (e.g., the existing MyMediVault document/patient-vault functions) as first-class platform modules rather than standalone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000000" w:space="6" w:sz="12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3. 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system serves eleven distinct user classes, each with a defined role, responsibility, and set of characteristics relevant to design and training effort: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50"/>
        <w:tblGridChange w:id="0">
          <w:tblGrid>
            <w:gridCol w:w="2900"/>
            <w:gridCol w:w="645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&amp; 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Super Admin / Platform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Configures tenants, modules, and platform-wide settings across hospitals. Full system access, technical proficiency.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Hospital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Manages a single hospital's configuration, staff, and masters. High system familiarity, non-technical.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Doctor /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Consultations, orders, prescriptions, clinical documentation. Clinical expertise, moderate system familiarity, time-constrained.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Nursing tasks, eMAR, vitals, ward documentation. Clinical training, needs fast, low-click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Dispensing, stock, billing at pharmacy counter. Domain expertise in drugs and inventory.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Lab / Radiology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Sample/order processing, result entry, report approval routing. Domain expertise, works with instrument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Front-Desk / Registration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Registration, appointment booking, token/queue management. High transaction volume, needs speed and simplicity.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Billing / Finance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Invoicing, payments, insurance claims, accounts. Numerically oriented, needs accuracy and audit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Patient / Attendant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Self-registration, appointment booking, vault access, bill view. Variable digital literacy, mobile-first usage expected.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Auditor / Compliance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Reviews audit logs, compliance and security reports. Read-only, high scrutiny of data integrity.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In addition to these direct system users, the target hospital (as client and data owner) and the National Health Authority / ABDM ecosystem (as the regulatory and certification body) are key external stakeholders governing project scope and compliance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000000" w:space="6" w:sz="12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4.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4.1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eleven module categories: Platform/Identity/Security/Notifications; Patient Management &amp; Front Desk; Clinical Care (OPD/IPD/Ward/Nursing/OT/EMR); Pharmacy, Inventory &amp; Medical Store; Diagnostics (Lab &amp; Radiology); Financial Management (Billing/Insurance/TPA/Finance); ABDM &amp; Interoperability; Document Management &amp; Patient Vault; Human Resources; Reporting/MIS/Analytics; and Administration/Masters/Configuration.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ABDM/FHIR interoperability (ABHA, Consent Manager, HIP/HIU, HPR/HFR, NHCX claims exchange).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Multi-branch / multi-tenant deployment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Migration from the existing THIMS system, including historical data and workflow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4.2 Out of Scope (for this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Telemedicine video-consultation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IoT medical-device integration beyond laboratory/radiology interfacing.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health / government reporting integrations not mandated by ABDM.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04040"/>
          <w:sz w:val="21"/>
          <w:szCs w:val="21"/>
          <w:rtl w:val="0"/>
        </w:rPr>
        <w:t xml:space="preserve">These out-of-scope items are noted as candidates for a future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000000" w:space="6" w:sz="12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5. 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The project's deliverables map directly to the eleven functional module categories, each representing a distinct, traceable unit of delivered functionality: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50"/>
        <w:tblGridChange w:id="0">
          <w:tblGrid>
            <w:gridCol w:w="1400"/>
            <w:gridCol w:w="7950"/>
          </w:tblGrid>
        </w:tblGridChange>
      </w:tblGrid>
      <w:tr>
        <w:trPr>
          <w:cantSplit w:val="0"/>
          <w:tblHeader w:val="1"/>
        </w:trPr>
        <w:tc>
          <w:tcPr>
            <w:shd w:fill="1a1a1a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Platform, Identity, Security &amp;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Patient Management &amp; Front Desk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Clinical Care — OPD, IPD, Ward, Nursing, OT, EMR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Pharmacy, Inventory &amp; Medical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Diagnostics — Laboratory &amp; Radiology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Financial Management — Billing, Insurance, TPA, 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ABDM &amp; Interoperability (Mandatory Compliance Layer)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 Management &amp; Patient Vault (MyMediVault)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Human Resources — Staff, Attendance, Payroll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Reporting, MIS &amp;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Administration, Masters, Configuration &amp;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In addition to the module deliverables above, supporting project artefacts include the Software Requirements Specification, the Architecture Decision Record, a Migration Strategy document (THIMS → New HMS), and — for this course — a working prototype covering a small subset of modules, to be submitted as the Innovative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000000" w:space="6" w:sz="12" w:val="single"/>
        </w:pBdr>
        <w:spacing w:after="200" w:before="4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30"/>
          <w:szCs w:val="30"/>
          <w:rtl w:val="0"/>
        </w:rPr>
        <w:t xml:space="preserve">6. 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system must interoperate with ABDM's published sandbox/production APIs, which evolve under government direction and are outside the project's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health data must be stored within Indian data-residency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architecture must support multi-tenancy from day one; retrofitting multi-tenancy later is explicitly to be avoided.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third-party foundation adopted (e.g., an existing open-source clinical platform) must permit commercial redistribution and full UI/feature modification under its licence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Clinical record retention periods are governed by applicable medical council / state regulations (commonly 3–8 years depending on record type and jurisdiction), pending confirmation with legal counsel.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hospital must provide historical THIMS data (or database access) for migration planning; this is a project dependency outside direct control of the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PHI/PII must be encrypted at rest (AES-256) and in transit (TLS 1.2+), and access must be role-based and enforced at the API layer, not only the UI layer.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900" w:top="9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va Sans Bold"/>
  <w:font w:name="Canv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>
        <w:color w:val="6e6e6e"/>
        <w:sz w:val="16"/>
        <w:szCs w:val="16"/>
        <w:rtl w:val="0"/>
      </w:rPr>
      <w:t xml:space="preserve">Page </w:t>
    </w:r>
    <w:r w:rsidDel="00000000" w:rsidR="00000000" w:rsidRPr="00000000"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e6e6e"/>
        <w:sz w:val="16"/>
        <w:szCs w:val="16"/>
        <w:rtl w:val="0"/>
      </w:rPr>
      <w:t xml:space="preserve"> of </w:t>
    </w:r>
    <w:r w:rsidDel="00000000" w:rsidR="00000000" w:rsidRPr="00000000">
      <w:rPr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SPM — T1 — HMS Project Introduction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>
        <w:color w:val="6e6e6e"/>
        <w:sz w:val="16"/>
        <w:szCs w:val="16"/>
        <w:rtl w:val="0"/>
      </w:rPr>
      <w:t xml:space="preserve">SPM — T1 — HMS Project Introduction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80" w:before="280" w:lineRule="auto"/>
    </w:pPr>
    <w:rPr>
      <w:b w:val="1"/>
      <w:bCs w:val="1"/>
      <w:color w:val="1a1a1a"/>
      <w:sz w:val="30"/>
      <w:szCs w:val="30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vHeSS34ZAwSaCrvj/03u/imOQ==">CgMxLjAyDWguNTk2aHphYzA2NngyDmguMXU5YWJhNndiN25tMg1oLnN5MXM0M3h0d2Q5Mg5oLmQ4cm93aGg3ZGwwMjIOaC5hc21zcGp4aTQ2dno4AHIhMUE2WkxiSE8tZUxZNUg2dmhRbm15MUtHNVpHQkN1UHo4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