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bidi w:val="0"/>
        <w:spacing w:before="140" w:after="120"/>
        <w:jc w:val="start"/>
        <w:rPr/>
      </w:pPr>
      <w:r>
        <w:rPr/>
        <w:t>Domain Finalization Summary</w:t>
      </w:r>
    </w:p>
    <w:p>
      <w:pPr>
        <w:pStyle w:val="BodyText"/>
        <w:bidi w:val="0"/>
        <w:ind w:hanging="0" w:start="0" w:end="0"/>
        <w:jc w:val="start"/>
        <w:rPr/>
      </w:pPr>
      <w:r>
        <w:rPr>
          <w:rStyle w:val="Strong"/>
        </w:rPr>
        <w:t>Domain:</w:t>
      </w:r>
      <w:r>
        <w:rPr/>
        <w:t xml:space="preserve"> AI Agent Security </w:t>
      </w:r>
      <w:r>
        <w:rPr/>
        <w:t xml:space="preserve">and </w:t>
      </w:r>
      <w:r>
        <w:rPr/>
        <w:t xml:space="preserve">specifically, runtime security gateways for detecting and blocking prompt injection, tool poisoning, unauthorized tool use, and other runtime threats </w:t>
      </w:r>
      <w:r>
        <w:rPr>
          <w:rStyle w:val="Emphasis"/>
        </w:rPr>
        <w:t>before</w:t>
      </w:r>
      <w:r>
        <w:rPr/>
        <w:t xml:space="preserve"> an AI agent executes a tool call.</w:t>
      </w:r>
    </w:p>
    <w:p>
      <w:pPr>
        <w:pStyle w:val="BodyText"/>
        <w:bidi w:val="0"/>
        <w:ind w:hanging="0" w:start="0" w:end="0"/>
        <w:jc w:val="start"/>
        <w:rPr/>
      </w:pPr>
      <w:r>
        <w:rPr>
          <w:rStyle w:val="Strong"/>
        </w:rPr>
        <w:t>Finalized Focus:</w:t>
      </w:r>
      <w:r>
        <w:rPr/>
        <w:t xml:space="preserve"> The design of an </w:t>
      </w:r>
      <w:r>
        <w:rPr>
          <w:rStyle w:val="Strong"/>
        </w:rPr>
        <w:t>AI Agent Security Gateway</w:t>
      </w:r>
      <w:r>
        <w:rPr/>
        <w:t xml:space="preserve"> a pluggable, protocol-aware runtime layer that intercepts tool-call requests/responses (ideally at the MCP protocol level) and applies detection, privilege-control, and isolation checks before execution, rather than relying solely on model-level alignment.</w:t>
      </w:r>
    </w:p>
    <w:p>
      <w:pPr>
        <w:pStyle w:val="BodyText"/>
        <w:bidi w:val="0"/>
        <w:ind w:hanging="0" w:start="0" w:end="0"/>
        <w:jc w:val="start"/>
        <w:rPr/>
      </w:pPr>
      <w:r>
        <w:rPr>
          <w:rStyle w:val="Strong"/>
        </w:rPr>
        <w:t>Relevance:</w:t>
      </w:r>
      <w:r>
        <w:rPr/>
        <w:t xml:space="preserve"> As LLM agents move from single-turn chat to autonomous, tool-calling systems (via frameworks like LangChain, OpenAI Agents SDK, and the Model Context Protocol), they inherit a new and largely unprotected attack surface. Foundational work (Greshake et al., 2023) established that untrusted content emails, web pages, tool outputs  can silently hijack an agent's behavior via indirect prompt injection, and recent benchmarks (AgentDojo, NeurIPS 2024; InjecAgent, ACL 2024; Agent Security Bench, ICLR 2025) confirm attack success rates as high as 84% against current agents. With MCP adoption accelerating industry-wide, tool poisoning (malicious tool metadata) has been flagged as the #1 risk in the OWASP LLM Top 10, yet almost no client-side defenses exist. This makes runtime protection for agentic tool execution a timely, high-stakes, and currently underserved problem.</w:t>
      </w:r>
    </w:p>
    <w:p>
      <w:pPr>
        <w:pStyle w:val="BodyText"/>
        <w:bidi w:val="0"/>
        <w:ind w:hanging="0" w:start="0" w:end="0"/>
        <w:jc w:val="start"/>
        <w:rPr/>
      </w:pPr>
      <w:r>
        <w:rPr>
          <w:rStyle w:val="Strong"/>
        </w:rPr>
        <w:t>Novelty Potential:</w:t>
      </w:r>
      <w:r>
        <w:rPr/>
        <w:t xml:space="preserve"> Existing defenses each address only one layer of the problem in isolation: CaMeL (Google DeepMind, 2025) provides capability/data-flow tracking; Progent (2025) provides privilege control via a policy DSL; IsolateGPT (NDSS 2025) provides execution isolation; DataSentinel (IEEE S&amp;P 2025) provides adversarially-robust detection; GuardAgent (ICML 2025) provides a compliance-checking "guard agent" pattern. </w:t>
      </w:r>
      <w:r>
        <w:rPr>
          <w:rStyle w:val="Strong"/>
        </w:rPr>
        <w:t>No published work integrates detection + privilege enforcement + isolation into a single, protocol-level (MCP-aware) gateway</w:t>
      </w:r>
      <w:r>
        <w:rPr/>
        <w:t>, and MCP-specific tool-poisoning defenses remain unimplemented blueprints (MCPTox, 2025; MCP Threat Modeling, 2026) rather than working systems. This gap a unified, MCP-native interception layer is the concrete novelty target for this research.</w:t>
      </w:r>
    </w:p>
    <w:p>
      <w:pPr>
        <w:pStyle w:val="BodyText"/>
        <w:bidi w:val="0"/>
        <w:ind w:hanging="0" w:start="0" w:end="0"/>
        <w:jc w:val="start"/>
        <w:rPr/>
      </w:pPr>
      <w:r>
        <w:rPr>
          <w:rStyle w:val="Strong"/>
        </w:rPr>
        <w:t>Feasibility:</w:t>
      </w:r>
      <w:r>
        <w:rPr/>
        <w:t xml:space="preserve"> The domain is feasible within a graduate research timeline because: (1) mature, open-source evaluation infrastructure already exists (AgentDojo, InjecAgent, ASB, MCPTox), enabling direct, standardized comparison against SOTA without building benchmarks from scratch; (2) prior architectures (CaMeL, Progent, GuardAgent) are open-sourced and can be reused/extended as baselines or components; (3) the MCP protocol's structured JSON-RPC format (</w:t>
      </w:r>
      <w:r>
        <w:rPr>
          <w:rStyle w:val="SourceText"/>
        </w:rPr>
        <w:t>tools/list</w:t>
      </w:r>
      <w:r>
        <w:rPr/>
        <w:t xml:space="preserve">, </w:t>
      </w:r>
      <w:r>
        <w:rPr>
          <w:rStyle w:val="SourceText"/>
        </w:rPr>
        <w:t>tools/call</w:t>
      </w:r>
      <w:r>
        <w:rPr/>
        <w:t>) makes middleware-style interception technically tractable without requiring model retraining, keeping the project scoped to a systems/architecture contribution rather than an expensive model-training effort.</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Here are the Research paper names :</w:t>
        <w:br/>
      </w:r>
    </w:p>
    <w:tbl>
      <w:tblPr>
        <w:tblW w:w="10319" w:type="dxa"/>
        <w:jc w:val="start"/>
        <w:tblInd w:w="-341" w:type="dxa"/>
        <w:tblLayout w:type="fixed"/>
        <w:tblCellMar>
          <w:top w:w="28" w:type="dxa"/>
          <w:start w:w="28" w:type="dxa"/>
          <w:bottom w:w="28" w:type="dxa"/>
          <w:end w:w="28" w:type="dxa"/>
        </w:tblCellMar>
      </w:tblPr>
      <w:tblGrid>
        <w:gridCol w:w="707"/>
        <w:gridCol w:w="7146"/>
        <w:gridCol w:w="587"/>
        <w:gridCol w:w="1879"/>
      </w:tblGrid>
      <w:tr>
        <w:trPr>
          <w:tblHeader w:val="true"/>
        </w:trPr>
        <w:tc>
          <w:tcPr>
            <w:tcW w:w="707" w:type="dxa"/>
            <w:tcBorders/>
            <w:vAlign w:val="center"/>
          </w:tcPr>
          <w:p>
            <w:pPr>
              <w:pStyle w:val="TableHeading"/>
              <w:bidi w:val="0"/>
              <w:jc w:val="start"/>
              <w:rPr/>
            </w:pPr>
            <w:r>
              <w:rPr/>
              <w:t>No.</w:t>
            </w:r>
          </w:p>
        </w:tc>
        <w:tc>
          <w:tcPr>
            <w:tcW w:w="7146" w:type="dxa"/>
            <w:tcBorders/>
            <w:vAlign w:val="center"/>
          </w:tcPr>
          <w:p>
            <w:pPr>
              <w:pStyle w:val="TableHeading"/>
              <w:bidi w:val="0"/>
              <w:jc w:val="start"/>
              <w:rPr/>
            </w:pPr>
            <w:r>
              <w:rPr/>
              <w:t>Research Paper</w:t>
            </w:r>
          </w:p>
        </w:tc>
        <w:tc>
          <w:tcPr>
            <w:tcW w:w="587" w:type="dxa"/>
            <w:tcBorders/>
            <w:vAlign w:val="center"/>
          </w:tcPr>
          <w:p>
            <w:pPr>
              <w:pStyle w:val="TableHeading"/>
              <w:bidi w:val="0"/>
              <w:jc w:val="start"/>
              <w:rPr/>
            </w:pPr>
            <w:r>
              <w:rPr/>
              <w:t>Year</w:t>
            </w:r>
          </w:p>
        </w:tc>
        <w:tc>
          <w:tcPr>
            <w:tcW w:w="1879" w:type="dxa"/>
            <w:tcBorders/>
            <w:vAlign w:val="center"/>
          </w:tcPr>
          <w:p>
            <w:pPr>
              <w:pStyle w:val="TableHeading"/>
              <w:bidi w:val="0"/>
              <w:jc w:val="start"/>
              <w:rPr/>
            </w:pPr>
            <w:r>
              <w:rPr/>
              <w:t>Venue</w:t>
            </w:r>
          </w:p>
        </w:tc>
      </w:tr>
      <w:tr>
        <w:trPr/>
        <w:tc>
          <w:tcPr>
            <w:tcW w:w="707" w:type="dxa"/>
            <w:tcBorders/>
            <w:vAlign w:val="center"/>
          </w:tcPr>
          <w:p>
            <w:pPr>
              <w:pStyle w:val="TableContents"/>
              <w:bidi w:val="0"/>
              <w:jc w:val="start"/>
              <w:rPr/>
            </w:pPr>
            <w:r>
              <w:rPr/>
              <w:t>1</w:t>
            </w:r>
          </w:p>
        </w:tc>
        <w:tc>
          <w:tcPr>
            <w:tcW w:w="7146" w:type="dxa"/>
            <w:tcBorders/>
            <w:vAlign w:val="center"/>
          </w:tcPr>
          <w:p>
            <w:pPr>
              <w:pStyle w:val="TableContents"/>
              <w:bidi w:val="0"/>
              <w:jc w:val="start"/>
              <w:rPr/>
            </w:pPr>
            <w:r>
              <w:rPr>
                <w:rStyle w:val="Strong"/>
              </w:rPr>
              <w:t>Not What You've Signed Up For: Compromising Real-World LLM-Integrated Applications with Indirect Prompt Injection</w:t>
            </w:r>
          </w:p>
        </w:tc>
        <w:tc>
          <w:tcPr>
            <w:tcW w:w="587" w:type="dxa"/>
            <w:tcBorders/>
            <w:vAlign w:val="center"/>
          </w:tcPr>
          <w:p>
            <w:pPr>
              <w:pStyle w:val="TableContents"/>
              <w:bidi w:val="0"/>
              <w:jc w:val="start"/>
              <w:rPr/>
            </w:pPr>
            <w:r>
              <w:rPr/>
              <w:t>2023</w:t>
            </w:r>
          </w:p>
        </w:tc>
        <w:tc>
          <w:tcPr>
            <w:tcW w:w="1879" w:type="dxa"/>
            <w:tcBorders/>
            <w:vAlign w:val="center"/>
          </w:tcPr>
          <w:p>
            <w:pPr>
              <w:pStyle w:val="TableContents"/>
              <w:bidi w:val="0"/>
              <w:jc w:val="start"/>
              <w:rPr/>
            </w:pPr>
            <w:r>
              <w:rPr/>
              <w:t>AISec '23 (ACM)</w:t>
            </w:r>
          </w:p>
        </w:tc>
      </w:tr>
      <w:tr>
        <w:trPr/>
        <w:tc>
          <w:tcPr>
            <w:tcW w:w="707" w:type="dxa"/>
            <w:tcBorders/>
            <w:vAlign w:val="center"/>
          </w:tcPr>
          <w:p>
            <w:pPr>
              <w:pStyle w:val="TableContents"/>
              <w:bidi w:val="0"/>
              <w:jc w:val="start"/>
              <w:rPr/>
            </w:pPr>
            <w:r>
              <w:rPr/>
              <w:t>2</w:t>
            </w:r>
          </w:p>
        </w:tc>
        <w:tc>
          <w:tcPr>
            <w:tcW w:w="7146" w:type="dxa"/>
            <w:tcBorders/>
            <w:vAlign w:val="center"/>
          </w:tcPr>
          <w:p>
            <w:pPr>
              <w:pStyle w:val="TableContents"/>
              <w:bidi w:val="0"/>
              <w:jc w:val="start"/>
              <w:rPr/>
            </w:pPr>
            <w:r>
              <w:rPr>
                <w:rStyle w:val="Strong"/>
              </w:rPr>
              <w:t>The Instruction Hierarchy: Training LLMs to Prioritize Privileged Instructions</w:t>
            </w:r>
          </w:p>
        </w:tc>
        <w:tc>
          <w:tcPr>
            <w:tcW w:w="587" w:type="dxa"/>
            <w:tcBorders/>
            <w:vAlign w:val="center"/>
          </w:tcPr>
          <w:p>
            <w:pPr>
              <w:pStyle w:val="TableContents"/>
              <w:bidi w:val="0"/>
              <w:jc w:val="start"/>
              <w:rPr/>
            </w:pPr>
            <w:r>
              <w:rPr/>
              <w:t>2024</w:t>
            </w:r>
          </w:p>
        </w:tc>
        <w:tc>
          <w:tcPr>
            <w:tcW w:w="1879" w:type="dxa"/>
            <w:tcBorders/>
            <w:vAlign w:val="center"/>
          </w:tcPr>
          <w:p>
            <w:pPr>
              <w:pStyle w:val="TableContents"/>
              <w:bidi w:val="0"/>
              <w:jc w:val="start"/>
              <w:rPr/>
            </w:pPr>
            <w:r>
              <w:rPr/>
              <w:t>OpenAI / arXiv</w:t>
            </w:r>
          </w:p>
        </w:tc>
      </w:tr>
      <w:tr>
        <w:trPr/>
        <w:tc>
          <w:tcPr>
            <w:tcW w:w="707" w:type="dxa"/>
            <w:tcBorders/>
            <w:vAlign w:val="center"/>
          </w:tcPr>
          <w:p>
            <w:pPr>
              <w:pStyle w:val="TableContents"/>
              <w:bidi w:val="0"/>
              <w:jc w:val="start"/>
              <w:rPr/>
            </w:pPr>
            <w:r>
              <w:rPr/>
              <w:t>3</w:t>
            </w:r>
          </w:p>
        </w:tc>
        <w:tc>
          <w:tcPr>
            <w:tcW w:w="7146" w:type="dxa"/>
            <w:tcBorders/>
            <w:vAlign w:val="center"/>
          </w:tcPr>
          <w:p>
            <w:pPr>
              <w:pStyle w:val="TableContents"/>
              <w:bidi w:val="0"/>
              <w:jc w:val="start"/>
              <w:rPr/>
            </w:pPr>
            <w:r>
              <w:rPr>
                <w:rStyle w:val="Strong"/>
              </w:rPr>
              <w:t>Universal and Transferable Adversarial Attacks on Aligned Language Models (GCG)</w:t>
            </w:r>
          </w:p>
        </w:tc>
        <w:tc>
          <w:tcPr>
            <w:tcW w:w="587" w:type="dxa"/>
            <w:tcBorders/>
            <w:vAlign w:val="center"/>
          </w:tcPr>
          <w:p>
            <w:pPr>
              <w:pStyle w:val="TableContents"/>
              <w:bidi w:val="0"/>
              <w:jc w:val="start"/>
              <w:rPr/>
            </w:pPr>
            <w:r>
              <w:rPr/>
              <w:t>2023</w:t>
            </w:r>
          </w:p>
        </w:tc>
        <w:tc>
          <w:tcPr>
            <w:tcW w:w="1879" w:type="dxa"/>
            <w:tcBorders/>
            <w:vAlign w:val="center"/>
          </w:tcPr>
          <w:p>
            <w:pPr>
              <w:pStyle w:val="TableContents"/>
              <w:bidi w:val="0"/>
              <w:jc w:val="start"/>
              <w:rPr/>
            </w:pPr>
            <w:r>
              <w:rPr/>
              <w:t>arXiv</w:t>
            </w:r>
          </w:p>
        </w:tc>
      </w:tr>
      <w:tr>
        <w:trPr/>
        <w:tc>
          <w:tcPr>
            <w:tcW w:w="707" w:type="dxa"/>
            <w:tcBorders/>
            <w:vAlign w:val="center"/>
          </w:tcPr>
          <w:p>
            <w:pPr>
              <w:pStyle w:val="TableContents"/>
              <w:bidi w:val="0"/>
              <w:jc w:val="start"/>
              <w:rPr/>
            </w:pPr>
            <w:r>
              <w:rPr/>
              <w:t>4</w:t>
            </w:r>
          </w:p>
        </w:tc>
        <w:tc>
          <w:tcPr>
            <w:tcW w:w="7146" w:type="dxa"/>
            <w:tcBorders/>
            <w:vAlign w:val="center"/>
          </w:tcPr>
          <w:p>
            <w:pPr>
              <w:pStyle w:val="TableContents"/>
              <w:bidi w:val="0"/>
              <w:jc w:val="start"/>
              <w:rPr/>
            </w:pPr>
            <w:r>
              <w:rPr>
                <w:rStyle w:val="Strong"/>
              </w:rPr>
              <w:t>AgentDojo: A Dynamic Environment to Evaluate Prompt Injection Attacks and Defenses for LLM Agents</w:t>
            </w:r>
          </w:p>
        </w:tc>
        <w:tc>
          <w:tcPr>
            <w:tcW w:w="587" w:type="dxa"/>
            <w:tcBorders/>
            <w:vAlign w:val="center"/>
          </w:tcPr>
          <w:p>
            <w:pPr>
              <w:pStyle w:val="TableContents"/>
              <w:bidi w:val="0"/>
              <w:jc w:val="start"/>
              <w:rPr/>
            </w:pPr>
            <w:r>
              <w:rPr/>
              <w:t>2024</w:t>
            </w:r>
          </w:p>
        </w:tc>
        <w:tc>
          <w:tcPr>
            <w:tcW w:w="1879" w:type="dxa"/>
            <w:tcBorders/>
            <w:vAlign w:val="center"/>
          </w:tcPr>
          <w:p>
            <w:pPr>
              <w:pStyle w:val="TableContents"/>
              <w:bidi w:val="0"/>
              <w:jc w:val="start"/>
              <w:rPr/>
            </w:pPr>
            <w:r>
              <w:rPr/>
              <w:t>NeurIPS</w:t>
            </w:r>
          </w:p>
        </w:tc>
      </w:tr>
      <w:tr>
        <w:trPr/>
        <w:tc>
          <w:tcPr>
            <w:tcW w:w="707" w:type="dxa"/>
            <w:tcBorders/>
            <w:vAlign w:val="center"/>
          </w:tcPr>
          <w:p>
            <w:pPr>
              <w:pStyle w:val="TableContents"/>
              <w:bidi w:val="0"/>
              <w:jc w:val="start"/>
              <w:rPr/>
            </w:pPr>
            <w:r>
              <w:rPr/>
              <w:t>5</w:t>
            </w:r>
          </w:p>
        </w:tc>
        <w:tc>
          <w:tcPr>
            <w:tcW w:w="7146" w:type="dxa"/>
            <w:tcBorders/>
            <w:vAlign w:val="center"/>
          </w:tcPr>
          <w:p>
            <w:pPr>
              <w:pStyle w:val="TableContents"/>
              <w:bidi w:val="0"/>
              <w:jc w:val="start"/>
              <w:rPr/>
            </w:pPr>
            <w:r>
              <w:rPr>
                <w:rStyle w:val="Strong"/>
              </w:rPr>
              <w:t>InjecAgent: Benchmarking Indirect Prompt Injections in Tool-Integrated Large Language Model Agents</w:t>
            </w:r>
          </w:p>
        </w:tc>
        <w:tc>
          <w:tcPr>
            <w:tcW w:w="587" w:type="dxa"/>
            <w:tcBorders/>
            <w:vAlign w:val="center"/>
          </w:tcPr>
          <w:p>
            <w:pPr>
              <w:pStyle w:val="TableContents"/>
              <w:bidi w:val="0"/>
              <w:jc w:val="start"/>
              <w:rPr/>
            </w:pPr>
            <w:r>
              <w:rPr/>
              <w:t>2024</w:t>
            </w:r>
          </w:p>
        </w:tc>
        <w:tc>
          <w:tcPr>
            <w:tcW w:w="1879" w:type="dxa"/>
            <w:tcBorders/>
            <w:vAlign w:val="center"/>
          </w:tcPr>
          <w:p>
            <w:pPr>
              <w:pStyle w:val="TableContents"/>
              <w:bidi w:val="0"/>
              <w:jc w:val="start"/>
              <w:rPr/>
            </w:pPr>
            <w:r>
              <w:rPr/>
              <w:t>Findings of ACL</w:t>
            </w:r>
          </w:p>
        </w:tc>
      </w:tr>
      <w:tr>
        <w:trPr/>
        <w:tc>
          <w:tcPr>
            <w:tcW w:w="707" w:type="dxa"/>
            <w:tcBorders/>
            <w:vAlign w:val="center"/>
          </w:tcPr>
          <w:p>
            <w:pPr>
              <w:pStyle w:val="TableContents"/>
              <w:bidi w:val="0"/>
              <w:jc w:val="start"/>
              <w:rPr/>
            </w:pPr>
            <w:r>
              <w:rPr/>
              <w:t>6</w:t>
            </w:r>
          </w:p>
        </w:tc>
        <w:tc>
          <w:tcPr>
            <w:tcW w:w="7146" w:type="dxa"/>
            <w:tcBorders/>
            <w:vAlign w:val="center"/>
          </w:tcPr>
          <w:p>
            <w:pPr>
              <w:pStyle w:val="TableContents"/>
              <w:bidi w:val="0"/>
              <w:jc w:val="start"/>
              <w:rPr/>
            </w:pPr>
            <w:r>
              <w:rPr>
                <w:rStyle w:val="Strong"/>
              </w:rPr>
              <w:t>Agent Security Bench (ASB): Formalizing and Benchmarking Attacks and Defenses in LLM-based Agents</w:t>
            </w:r>
          </w:p>
        </w:tc>
        <w:tc>
          <w:tcPr>
            <w:tcW w:w="587" w:type="dxa"/>
            <w:tcBorders/>
            <w:vAlign w:val="center"/>
          </w:tcPr>
          <w:p>
            <w:pPr>
              <w:pStyle w:val="TableContents"/>
              <w:bidi w:val="0"/>
              <w:jc w:val="start"/>
              <w:rPr/>
            </w:pPr>
            <w:r>
              <w:rPr/>
              <w:t>2025</w:t>
            </w:r>
          </w:p>
        </w:tc>
        <w:tc>
          <w:tcPr>
            <w:tcW w:w="1879" w:type="dxa"/>
            <w:tcBorders/>
            <w:vAlign w:val="center"/>
          </w:tcPr>
          <w:p>
            <w:pPr>
              <w:pStyle w:val="TableContents"/>
              <w:bidi w:val="0"/>
              <w:jc w:val="start"/>
              <w:rPr/>
            </w:pPr>
            <w:r>
              <w:rPr/>
              <w:t>ICLR</w:t>
            </w:r>
          </w:p>
        </w:tc>
      </w:tr>
      <w:tr>
        <w:trPr/>
        <w:tc>
          <w:tcPr>
            <w:tcW w:w="707" w:type="dxa"/>
            <w:tcBorders/>
            <w:vAlign w:val="center"/>
          </w:tcPr>
          <w:p>
            <w:pPr>
              <w:pStyle w:val="TableContents"/>
              <w:bidi w:val="0"/>
              <w:jc w:val="start"/>
              <w:rPr/>
            </w:pPr>
            <w:r>
              <w:rPr/>
              <w:t>7</w:t>
            </w:r>
          </w:p>
        </w:tc>
        <w:tc>
          <w:tcPr>
            <w:tcW w:w="7146" w:type="dxa"/>
            <w:tcBorders/>
            <w:vAlign w:val="center"/>
          </w:tcPr>
          <w:p>
            <w:pPr>
              <w:pStyle w:val="TableContents"/>
              <w:bidi w:val="0"/>
              <w:jc w:val="start"/>
              <w:rPr/>
            </w:pPr>
            <w:r>
              <w:rPr>
                <w:rStyle w:val="Strong"/>
              </w:rPr>
              <w:t>Identifying the Risks of LM Agents with an LM-Emulated Sandbox (ToolEmu)</w:t>
            </w:r>
          </w:p>
        </w:tc>
        <w:tc>
          <w:tcPr>
            <w:tcW w:w="587" w:type="dxa"/>
            <w:tcBorders/>
            <w:vAlign w:val="center"/>
          </w:tcPr>
          <w:p>
            <w:pPr>
              <w:pStyle w:val="TableContents"/>
              <w:bidi w:val="0"/>
              <w:jc w:val="start"/>
              <w:rPr/>
            </w:pPr>
            <w:r>
              <w:rPr/>
              <w:t>2024</w:t>
            </w:r>
          </w:p>
        </w:tc>
        <w:tc>
          <w:tcPr>
            <w:tcW w:w="1879" w:type="dxa"/>
            <w:tcBorders/>
            <w:vAlign w:val="center"/>
          </w:tcPr>
          <w:p>
            <w:pPr>
              <w:pStyle w:val="TableContents"/>
              <w:bidi w:val="0"/>
              <w:jc w:val="start"/>
              <w:rPr/>
            </w:pPr>
            <w:r>
              <w:rPr/>
              <w:t>ICLR (Spotlight)</w:t>
            </w:r>
          </w:p>
        </w:tc>
      </w:tr>
      <w:tr>
        <w:trPr/>
        <w:tc>
          <w:tcPr>
            <w:tcW w:w="707" w:type="dxa"/>
            <w:tcBorders/>
            <w:vAlign w:val="center"/>
          </w:tcPr>
          <w:p>
            <w:pPr>
              <w:pStyle w:val="TableContents"/>
              <w:bidi w:val="0"/>
              <w:jc w:val="start"/>
              <w:rPr/>
            </w:pPr>
            <w:r>
              <w:rPr/>
              <w:t>8</w:t>
            </w:r>
          </w:p>
        </w:tc>
        <w:tc>
          <w:tcPr>
            <w:tcW w:w="7146" w:type="dxa"/>
            <w:tcBorders/>
            <w:vAlign w:val="center"/>
          </w:tcPr>
          <w:p>
            <w:pPr>
              <w:pStyle w:val="TableContents"/>
              <w:bidi w:val="0"/>
              <w:jc w:val="start"/>
              <w:rPr/>
            </w:pPr>
            <w:r>
              <w:rPr>
                <w:rStyle w:val="Strong"/>
              </w:rPr>
              <w:t>PoisonedRAG: Knowledge Corruption Attacks to Retrieval-Augmented Generation of Large Language Models</w:t>
            </w:r>
          </w:p>
        </w:tc>
        <w:tc>
          <w:tcPr>
            <w:tcW w:w="587" w:type="dxa"/>
            <w:tcBorders/>
            <w:vAlign w:val="center"/>
          </w:tcPr>
          <w:p>
            <w:pPr>
              <w:pStyle w:val="TableContents"/>
              <w:bidi w:val="0"/>
              <w:jc w:val="start"/>
              <w:rPr/>
            </w:pPr>
            <w:r>
              <w:rPr/>
              <w:t>2025</w:t>
            </w:r>
          </w:p>
        </w:tc>
        <w:tc>
          <w:tcPr>
            <w:tcW w:w="1879" w:type="dxa"/>
            <w:tcBorders/>
            <w:vAlign w:val="center"/>
          </w:tcPr>
          <w:p>
            <w:pPr>
              <w:pStyle w:val="TableContents"/>
              <w:bidi w:val="0"/>
              <w:jc w:val="start"/>
              <w:rPr/>
            </w:pPr>
            <w:r>
              <w:rPr/>
              <w:t>USENIX Security</w:t>
            </w:r>
          </w:p>
        </w:tc>
      </w:tr>
      <w:tr>
        <w:trPr/>
        <w:tc>
          <w:tcPr>
            <w:tcW w:w="707" w:type="dxa"/>
            <w:tcBorders/>
            <w:vAlign w:val="center"/>
          </w:tcPr>
          <w:p>
            <w:pPr>
              <w:pStyle w:val="TableContents"/>
              <w:bidi w:val="0"/>
              <w:jc w:val="start"/>
              <w:rPr/>
            </w:pPr>
            <w:r>
              <w:rPr/>
              <w:t>9</w:t>
            </w:r>
          </w:p>
        </w:tc>
        <w:tc>
          <w:tcPr>
            <w:tcW w:w="7146" w:type="dxa"/>
            <w:tcBorders/>
            <w:vAlign w:val="center"/>
          </w:tcPr>
          <w:p>
            <w:pPr>
              <w:pStyle w:val="TableContents"/>
              <w:bidi w:val="0"/>
              <w:jc w:val="start"/>
              <w:rPr/>
            </w:pPr>
            <w:r>
              <w:rPr>
                <w:rStyle w:val="Strong"/>
              </w:rPr>
              <w:t>Defeating Prompt Injections by Design (CaMeL)</w:t>
            </w:r>
          </w:p>
        </w:tc>
        <w:tc>
          <w:tcPr>
            <w:tcW w:w="587" w:type="dxa"/>
            <w:tcBorders/>
            <w:vAlign w:val="center"/>
          </w:tcPr>
          <w:p>
            <w:pPr>
              <w:pStyle w:val="TableContents"/>
              <w:bidi w:val="0"/>
              <w:jc w:val="start"/>
              <w:rPr/>
            </w:pPr>
            <w:r>
              <w:rPr/>
              <w:t>2025</w:t>
            </w:r>
          </w:p>
        </w:tc>
        <w:tc>
          <w:tcPr>
            <w:tcW w:w="1879" w:type="dxa"/>
            <w:tcBorders/>
            <w:vAlign w:val="center"/>
          </w:tcPr>
          <w:p>
            <w:pPr>
              <w:pStyle w:val="TableContents"/>
              <w:bidi w:val="0"/>
              <w:jc w:val="start"/>
              <w:rPr/>
            </w:pPr>
            <w:r>
              <w:rPr/>
              <w:t>Google DeepMind / arXiv</w:t>
            </w:r>
          </w:p>
        </w:tc>
      </w:tr>
      <w:tr>
        <w:trPr/>
        <w:tc>
          <w:tcPr>
            <w:tcW w:w="707" w:type="dxa"/>
            <w:tcBorders/>
            <w:vAlign w:val="center"/>
          </w:tcPr>
          <w:p>
            <w:pPr>
              <w:pStyle w:val="TableContents"/>
              <w:bidi w:val="0"/>
              <w:jc w:val="start"/>
              <w:rPr/>
            </w:pPr>
            <w:r>
              <w:rPr/>
              <w:t>10</w:t>
            </w:r>
          </w:p>
        </w:tc>
        <w:tc>
          <w:tcPr>
            <w:tcW w:w="7146" w:type="dxa"/>
            <w:tcBorders/>
            <w:vAlign w:val="center"/>
          </w:tcPr>
          <w:p>
            <w:pPr>
              <w:pStyle w:val="TableContents"/>
              <w:bidi w:val="0"/>
              <w:jc w:val="start"/>
              <w:rPr/>
            </w:pPr>
            <w:r>
              <w:rPr>
                <w:rStyle w:val="Strong"/>
              </w:rPr>
              <w:t>Progent: Programmable Privilege Control for LLM Agents</w:t>
            </w:r>
          </w:p>
        </w:tc>
        <w:tc>
          <w:tcPr>
            <w:tcW w:w="587" w:type="dxa"/>
            <w:tcBorders/>
            <w:vAlign w:val="center"/>
          </w:tcPr>
          <w:p>
            <w:pPr>
              <w:pStyle w:val="TableContents"/>
              <w:bidi w:val="0"/>
              <w:jc w:val="start"/>
              <w:rPr/>
            </w:pPr>
            <w:r>
              <w:rPr/>
              <w:t>2025</w:t>
            </w:r>
          </w:p>
        </w:tc>
        <w:tc>
          <w:tcPr>
            <w:tcW w:w="1879" w:type="dxa"/>
            <w:tcBorders/>
            <w:vAlign w:val="center"/>
          </w:tcPr>
          <w:p>
            <w:pPr>
              <w:pStyle w:val="TableContents"/>
              <w:bidi w:val="0"/>
              <w:jc w:val="start"/>
              <w:rPr/>
            </w:pPr>
            <w:r>
              <w:rPr/>
              <w:t>arXiv</w:t>
            </w:r>
          </w:p>
        </w:tc>
      </w:tr>
      <w:tr>
        <w:trPr/>
        <w:tc>
          <w:tcPr>
            <w:tcW w:w="707" w:type="dxa"/>
            <w:tcBorders/>
            <w:vAlign w:val="center"/>
          </w:tcPr>
          <w:p>
            <w:pPr>
              <w:pStyle w:val="TableContents"/>
              <w:bidi w:val="0"/>
              <w:jc w:val="start"/>
              <w:rPr/>
            </w:pPr>
            <w:r>
              <w:rPr/>
              <w:t>11</w:t>
            </w:r>
          </w:p>
        </w:tc>
        <w:tc>
          <w:tcPr>
            <w:tcW w:w="7146" w:type="dxa"/>
            <w:tcBorders/>
            <w:vAlign w:val="center"/>
          </w:tcPr>
          <w:p>
            <w:pPr>
              <w:pStyle w:val="TableContents"/>
              <w:bidi w:val="0"/>
              <w:jc w:val="start"/>
              <w:rPr/>
            </w:pPr>
            <w:r>
              <w:rPr>
                <w:rStyle w:val="Strong"/>
              </w:rPr>
              <w:t>IsolateGPT: An Execution Isolation Architecture for LLM-Based Agentic Systems</w:t>
            </w:r>
          </w:p>
        </w:tc>
        <w:tc>
          <w:tcPr>
            <w:tcW w:w="587" w:type="dxa"/>
            <w:tcBorders/>
            <w:vAlign w:val="center"/>
          </w:tcPr>
          <w:p>
            <w:pPr>
              <w:pStyle w:val="TableContents"/>
              <w:bidi w:val="0"/>
              <w:jc w:val="start"/>
              <w:rPr/>
            </w:pPr>
            <w:r>
              <w:rPr/>
              <w:t>2025</w:t>
            </w:r>
          </w:p>
        </w:tc>
        <w:tc>
          <w:tcPr>
            <w:tcW w:w="1879" w:type="dxa"/>
            <w:tcBorders/>
            <w:vAlign w:val="center"/>
          </w:tcPr>
          <w:p>
            <w:pPr>
              <w:pStyle w:val="TableContents"/>
              <w:bidi w:val="0"/>
              <w:jc w:val="start"/>
              <w:rPr/>
            </w:pPr>
            <w:r>
              <w:rPr/>
              <w:t>NDSS</w:t>
            </w:r>
          </w:p>
        </w:tc>
      </w:tr>
      <w:tr>
        <w:trPr/>
        <w:tc>
          <w:tcPr>
            <w:tcW w:w="707" w:type="dxa"/>
            <w:tcBorders/>
            <w:vAlign w:val="center"/>
          </w:tcPr>
          <w:p>
            <w:pPr>
              <w:pStyle w:val="TableContents"/>
              <w:bidi w:val="0"/>
              <w:jc w:val="start"/>
              <w:rPr/>
            </w:pPr>
            <w:r>
              <w:rPr/>
              <w:t>12</w:t>
            </w:r>
          </w:p>
        </w:tc>
        <w:tc>
          <w:tcPr>
            <w:tcW w:w="7146" w:type="dxa"/>
            <w:tcBorders/>
            <w:vAlign w:val="center"/>
          </w:tcPr>
          <w:p>
            <w:pPr>
              <w:pStyle w:val="TableContents"/>
              <w:bidi w:val="0"/>
              <w:jc w:val="start"/>
              <w:rPr/>
            </w:pPr>
            <w:r>
              <w:rPr>
                <w:rStyle w:val="Strong"/>
              </w:rPr>
              <w:t>GuardAgent: Safeguard LLM Agents by a Guard Agent via Knowledge-Enabled Reasoning</w:t>
            </w:r>
          </w:p>
        </w:tc>
        <w:tc>
          <w:tcPr>
            <w:tcW w:w="587" w:type="dxa"/>
            <w:tcBorders/>
            <w:vAlign w:val="center"/>
          </w:tcPr>
          <w:p>
            <w:pPr>
              <w:pStyle w:val="TableContents"/>
              <w:bidi w:val="0"/>
              <w:jc w:val="start"/>
              <w:rPr/>
            </w:pPr>
            <w:r>
              <w:rPr/>
              <w:t>2025</w:t>
            </w:r>
          </w:p>
        </w:tc>
        <w:tc>
          <w:tcPr>
            <w:tcW w:w="1879" w:type="dxa"/>
            <w:tcBorders/>
            <w:vAlign w:val="center"/>
          </w:tcPr>
          <w:p>
            <w:pPr>
              <w:pStyle w:val="TableContents"/>
              <w:bidi w:val="0"/>
              <w:jc w:val="start"/>
              <w:rPr/>
            </w:pPr>
            <w:r>
              <w:rPr/>
              <w:t>ICML</w:t>
            </w:r>
          </w:p>
        </w:tc>
      </w:tr>
      <w:tr>
        <w:trPr/>
        <w:tc>
          <w:tcPr>
            <w:tcW w:w="707" w:type="dxa"/>
            <w:tcBorders/>
            <w:vAlign w:val="center"/>
          </w:tcPr>
          <w:p>
            <w:pPr>
              <w:pStyle w:val="TableContents"/>
              <w:bidi w:val="0"/>
              <w:jc w:val="start"/>
              <w:rPr/>
            </w:pPr>
            <w:r>
              <w:rPr/>
              <w:t>13</w:t>
            </w:r>
          </w:p>
        </w:tc>
        <w:tc>
          <w:tcPr>
            <w:tcW w:w="7146" w:type="dxa"/>
            <w:tcBorders/>
            <w:vAlign w:val="center"/>
          </w:tcPr>
          <w:p>
            <w:pPr>
              <w:pStyle w:val="TableContents"/>
              <w:bidi w:val="0"/>
              <w:jc w:val="start"/>
              <w:rPr/>
            </w:pPr>
            <w:r>
              <w:rPr>
                <w:rStyle w:val="Strong"/>
              </w:rPr>
              <w:t>AgentSpec: Customizable Runtime Enforcement for Safe and Reliable LLM Agents</w:t>
            </w:r>
          </w:p>
        </w:tc>
        <w:tc>
          <w:tcPr>
            <w:tcW w:w="587" w:type="dxa"/>
            <w:tcBorders/>
            <w:vAlign w:val="center"/>
          </w:tcPr>
          <w:p>
            <w:pPr>
              <w:pStyle w:val="TableContents"/>
              <w:bidi w:val="0"/>
              <w:jc w:val="start"/>
              <w:rPr/>
            </w:pPr>
            <w:r>
              <w:rPr/>
              <w:t>2026</w:t>
            </w:r>
          </w:p>
        </w:tc>
        <w:tc>
          <w:tcPr>
            <w:tcW w:w="1879" w:type="dxa"/>
            <w:tcBorders/>
            <w:vAlign w:val="center"/>
          </w:tcPr>
          <w:p>
            <w:pPr>
              <w:pStyle w:val="TableContents"/>
              <w:bidi w:val="0"/>
              <w:jc w:val="start"/>
              <w:rPr/>
            </w:pPr>
            <w:r>
              <w:rPr/>
              <w:t>ICSE</w:t>
            </w:r>
          </w:p>
        </w:tc>
      </w:tr>
      <w:tr>
        <w:trPr/>
        <w:tc>
          <w:tcPr>
            <w:tcW w:w="707" w:type="dxa"/>
            <w:tcBorders/>
            <w:vAlign w:val="center"/>
          </w:tcPr>
          <w:p>
            <w:pPr>
              <w:pStyle w:val="TableContents"/>
              <w:bidi w:val="0"/>
              <w:jc w:val="start"/>
              <w:rPr/>
            </w:pPr>
            <w:r>
              <w:rPr/>
              <w:t>14</w:t>
            </w:r>
          </w:p>
        </w:tc>
        <w:tc>
          <w:tcPr>
            <w:tcW w:w="7146" w:type="dxa"/>
            <w:tcBorders/>
            <w:vAlign w:val="center"/>
          </w:tcPr>
          <w:p>
            <w:pPr>
              <w:pStyle w:val="TableContents"/>
              <w:bidi w:val="0"/>
              <w:jc w:val="start"/>
              <w:rPr/>
            </w:pPr>
            <w:r>
              <w:rPr>
                <w:rStyle w:val="Strong"/>
              </w:rPr>
              <w:t>DataSentinel: A Game-Theoretic Detection of Prompt Injection Attacks</w:t>
            </w:r>
          </w:p>
        </w:tc>
        <w:tc>
          <w:tcPr>
            <w:tcW w:w="587" w:type="dxa"/>
            <w:tcBorders/>
            <w:vAlign w:val="center"/>
          </w:tcPr>
          <w:p>
            <w:pPr>
              <w:pStyle w:val="TableContents"/>
              <w:bidi w:val="0"/>
              <w:jc w:val="start"/>
              <w:rPr/>
            </w:pPr>
            <w:r>
              <w:rPr/>
              <w:t>2025</w:t>
            </w:r>
          </w:p>
        </w:tc>
        <w:tc>
          <w:tcPr>
            <w:tcW w:w="1879" w:type="dxa"/>
            <w:tcBorders/>
            <w:vAlign w:val="center"/>
          </w:tcPr>
          <w:p>
            <w:pPr>
              <w:pStyle w:val="TableContents"/>
              <w:bidi w:val="0"/>
              <w:jc w:val="start"/>
              <w:rPr/>
            </w:pPr>
            <w:r>
              <w:rPr/>
              <w:t>IEEE S&amp;P (Oakland)</w:t>
            </w:r>
          </w:p>
        </w:tc>
      </w:tr>
      <w:tr>
        <w:trPr/>
        <w:tc>
          <w:tcPr>
            <w:tcW w:w="707" w:type="dxa"/>
            <w:tcBorders/>
            <w:vAlign w:val="center"/>
          </w:tcPr>
          <w:p>
            <w:pPr>
              <w:pStyle w:val="TableContents"/>
              <w:bidi w:val="0"/>
              <w:jc w:val="start"/>
              <w:rPr/>
            </w:pPr>
            <w:r>
              <w:rPr/>
              <w:t>15</w:t>
            </w:r>
          </w:p>
        </w:tc>
        <w:tc>
          <w:tcPr>
            <w:tcW w:w="7146" w:type="dxa"/>
            <w:tcBorders/>
            <w:vAlign w:val="center"/>
          </w:tcPr>
          <w:p>
            <w:pPr>
              <w:pStyle w:val="TableContents"/>
              <w:bidi w:val="0"/>
              <w:jc w:val="start"/>
              <w:rPr/>
            </w:pPr>
            <w:r>
              <w:rPr>
                <w:rStyle w:val="Strong"/>
              </w:rPr>
              <w:t>Formalizing and Benchmarking Prompt Injection Attacks and Defenses</w:t>
            </w:r>
          </w:p>
        </w:tc>
        <w:tc>
          <w:tcPr>
            <w:tcW w:w="587" w:type="dxa"/>
            <w:tcBorders/>
            <w:vAlign w:val="center"/>
          </w:tcPr>
          <w:p>
            <w:pPr>
              <w:pStyle w:val="TableContents"/>
              <w:bidi w:val="0"/>
              <w:jc w:val="start"/>
              <w:rPr/>
            </w:pPr>
            <w:r>
              <w:rPr/>
              <w:t>2024</w:t>
            </w:r>
          </w:p>
        </w:tc>
        <w:tc>
          <w:tcPr>
            <w:tcW w:w="1879" w:type="dxa"/>
            <w:tcBorders/>
            <w:vAlign w:val="center"/>
          </w:tcPr>
          <w:p>
            <w:pPr>
              <w:pStyle w:val="TableContents"/>
              <w:bidi w:val="0"/>
              <w:jc w:val="start"/>
              <w:rPr/>
            </w:pPr>
            <w:r>
              <w:rPr/>
              <w:t>USENIX Security</w:t>
            </w:r>
          </w:p>
        </w:tc>
      </w:tr>
      <w:tr>
        <w:trPr/>
        <w:tc>
          <w:tcPr>
            <w:tcW w:w="707" w:type="dxa"/>
            <w:tcBorders/>
            <w:vAlign w:val="center"/>
          </w:tcPr>
          <w:p>
            <w:pPr>
              <w:pStyle w:val="TableContents"/>
              <w:bidi w:val="0"/>
              <w:jc w:val="start"/>
              <w:rPr/>
            </w:pPr>
            <w:r>
              <w:rPr/>
              <w:t>16</w:t>
            </w:r>
          </w:p>
        </w:tc>
        <w:tc>
          <w:tcPr>
            <w:tcW w:w="7146" w:type="dxa"/>
            <w:tcBorders/>
            <w:vAlign w:val="center"/>
          </w:tcPr>
          <w:p>
            <w:pPr>
              <w:pStyle w:val="TableContents"/>
              <w:bidi w:val="0"/>
              <w:jc w:val="start"/>
              <w:rPr/>
            </w:pPr>
            <w:r>
              <w:rPr>
                <w:rStyle w:val="Strong"/>
              </w:rPr>
              <w:t>StruQ: Defending Against Prompt Injection with Structured Queries</w:t>
            </w:r>
          </w:p>
        </w:tc>
        <w:tc>
          <w:tcPr>
            <w:tcW w:w="587" w:type="dxa"/>
            <w:tcBorders/>
            <w:vAlign w:val="center"/>
          </w:tcPr>
          <w:p>
            <w:pPr>
              <w:pStyle w:val="TableContents"/>
              <w:bidi w:val="0"/>
              <w:jc w:val="start"/>
              <w:rPr/>
            </w:pPr>
            <w:r>
              <w:rPr/>
              <w:t>2025</w:t>
            </w:r>
          </w:p>
        </w:tc>
        <w:tc>
          <w:tcPr>
            <w:tcW w:w="1879" w:type="dxa"/>
            <w:tcBorders/>
            <w:vAlign w:val="center"/>
          </w:tcPr>
          <w:p>
            <w:pPr>
              <w:pStyle w:val="TableContents"/>
              <w:bidi w:val="0"/>
              <w:jc w:val="start"/>
              <w:rPr/>
            </w:pPr>
            <w:r>
              <w:rPr/>
              <w:t>USENIX Security</w:t>
            </w:r>
          </w:p>
        </w:tc>
      </w:tr>
      <w:tr>
        <w:trPr/>
        <w:tc>
          <w:tcPr>
            <w:tcW w:w="707" w:type="dxa"/>
            <w:tcBorders/>
            <w:vAlign w:val="center"/>
          </w:tcPr>
          <w:p>
            <w:pPr>
              <w:pStyle w:val="TableContents"/>
              <w:bidi w:val="0"/>
              <w:jc w:val="start"/>
              <w:rPr/>
            </w:pPr>
            <w:r>
              <w:rPr/>
              <w:t>17</w:t>
            </w:r>
          </w:p>
        </w:tc>
        <w:tc>
          <w:tcPr>
            <w:tcW w:w="7146" w:type="dxa"/>
            <w:tcBorders/>
            <w:vAlign w:val="center"/>
          </w:tcPr>
          <w:p>
            <w:pPr>
              <w:pStyle w:val="TableContents"/>
              <w:bidi w:val="0"/>
              <w:jc w:val="start"/>
              <w:rPr/>
            </w:pPr>
            <w:r>
              <w:rPr>
                <w:rStyle w:val="Strong"/>
              </w:rPr>
              <w:t>SecAlign: Defending Against Prompt Injection with Preference Optimization</w:t>
            </w:r>
          </w:p>
        </w:tc>
        <w:tc>
          <w:tcPr>
            <w:tcW w:w="587" w:type="dxa"/>
            <w:tcBorders/>
            <w:vAlign w:val="center"/>
          </w:tcPr>
          <w:p>
            <w:pPr>
              <w:pStyle w:val="TableContents"/>
              <w:bidi w:val="0"/>
              <w:jc w:val="start"/>
              <w:rPr/>
            </w:pPr>
            <w:r>
              <w:rPr/>
              <w:t>2025</w:t>
            </w:r>
          </w:p>
        </w:tc>
        <w:tc>
          <w:tcPr>
            <w:tcW w:w="1879" w:type="dxa"/>
            <w:tcBorders/>
            <w:vAlign w:val="center"/>
          </w:tcPr>
          <w:p>
            <w:pPr>
              <w:pStyle w:val="TableContents"/>
              <w:bidi w:val="0"/>
              <w:jc w:val="start"/>
              <w:rPr/>
            </w:pPr>
            <w:r>
              <w:rPr/>
              <w:t>ACM CCS</w:t>
            </w:r>
          </w:p>
        </w:tc>
      </w:tr>
      <w:tr>
        <w:trPr/>
        <w:tc>
          <w:tcPr>
            <w:tcW w:w="707" w:type="dxa"/>
            <w:tcBorders/>
            <w:vAlign w:val="center"/>
          </w:tcPr>
          <w:p>
            <w:pPr>
              <w:pStyle w:val="TableContents"/>
              <w:bidi w:val="0"/>
              <w:jc w:val="start"/>
              <w:rPr/>
            </w:pPr>
            <w:r>
              <w:rPr/>
              <w:t>18</w:t>
            </w:r>
          </w:p>
        </w:tc>
        <w:tc>
          <w:tcPr>
            <w:tcW w:w="7146" w:type="dxa"/>
            <w:tcBorders/>
            <w:vAlign w:val="center"/>
          </w:tcPr>
          <w:p>
            <w:pPr>
              <w:pStyle w:val="TableContents"/>
              <w:bidi w:val="0"/>
              <w:jc w:val="start"/>
              <w:rPr/>
            </w:pPr>
            <w:r>
              <w:rPr>
                <w:rStyle w:val="Strong"/>
              </w:rPr>
              <w:t>Model Context Protocol Threat Modeling and Analysis of Vulnerabilities to Prompt Injection with Tool Poisoning</w:t>
            </w:r>
          </w:p>
        </w:tc>
        <w:tc>
          <w:tcPr>
            <w:tcW w:w="587" w:type="dxa"/>
            <w:tcBorders/>
            <w:vAlign w:val="center"/>
          </w:tcPr>
          <w:p>
            <w:pPr>
              <w:pStyle w:val="TableContents"/>
              <w:bidi w:val="0"/>
              <w:jc w:val="start"/>
              <w:rPr/>
            </w:pPr>
            <w:r>
              <w:rPr/>
              <w:t>2026</w:t>
            </w:r>
          </w:p>
        </w:tc>
        <w:tc>
          <w:tcPr>
            <w:tcW w:w="1879" w:type="dxa"/>
            <w:tcBorders/>
            <w:vAlign w:val="center"/>
          </w:tcPr>
          <w:p>
            <w:pPr>
              <w:pStyle w:val="TableContents"/>
              <w:bidi w:val="0"/>
              <w:jc w:val="start"/>
              <w:rPr/>
            </w:pPr>
            <w:r>
              <w:rPr/>
              <w:t>MDPI Journal</w:t>
            </w:r>
          </w:p>
        </w:tc>
      </w:tr>
      <w:tr>
        <w:trPr/>
        <w:tc>
          <w:tcPr>
            <w:tcW w:w="707" w:type="dxa"/>
            <w:tcBorders/>
            <w:vAlign w:val="center"/>
          </w:tcPr>
          <w:p>
            <w:pPr>
              <w:pStyle w:val="TableContents"/>
              <w:bidi w:val="0"/>
              <w:jc w:val="start"/>
              <w:rPr/>
            </w:pPr>
            <w:r>
              <w:rPr/>
              <w:t>19</w:t>
            </w:r>
          </w:p>
        </w:tc>
        <w:tc>
          <w:tcPr>
            <w:tcW w:w="7146" w:type="dxa"/>
            <w:tcBorders/>
            <w:vAlign w:val="center"/>
          </w:tcPr>
          <w:p>
            <w:pPr>
              <w:pStyle w:val="TableContents"/>
              <w:bidi w:val="0"/>
              <w:jc w:val="start"/>
              <w:rPr/>
            </w:pPr>
            <w:r>
              <w:rPr>
                <w:rStyle w:val="Strong"/>
              </w:rPr>
              <w:t>MCPTox: A Benchmark for Tool Poisoning Attack on Real-World MCP Servers</w:t>
            </w:r>
          </w:p>
        </w:tc>
        <w:tc>
          <w:tcPr>
            <w:tcW w:w="587" w:type="dxa"/>
            <w:tcBorders/>
            <w:vAlign w:val="center"/>
          </w:tcPr>
          <w:p>
            <w:pPr>
              <w:pStyle w:val="TableContents"/>
              <w:bidi w:val="0"/>
              <w:jc w:val="start"/>
              <w:rPr/>
            </w:pPr>
            <w:r>
              <w:rPr/>
              <w:t>2025</w:t>
            </w:r>
          </w:p>
        </w:tc>
        <w:tc>
          <w:tcPr>
            <w:tcW w:w="1879" w:type="dxa"/>
            <w:tcBorders/>
            <w:vAlign w:val="center"/>
          </w:tcPr>
          <w:p>
            <w:pPr>
              <w:pStyle w:val="TableContents"/>
              <w:bidi w:val="0"/>
              <w:jc w:val="start"/>
              <w:rPr/>
            </w:pPr>
            <w:r>
              <w:rPr/>
              <w:t>arXiv</w:t>
            </w:r>
          </w:p>
        </w:tc>
      </w:tr>
      <w:tr>
        <w:trPr/>
        <w:tc>
          <w:tcPr>
            <w:tcW w:w="707" w:type="dxa"/>
            <w:tcBorders/>
            <w:vAlign w:val="center"/>
          </w:tcPr>
          <w:p>
            <w:pPr>
              <w:pStyle w:val="TableContents"/>
              <w:bidi w:val="0"/>
              <w:jc w:val="start"/>
              <w:rPr/>
            </w:pPr>
            <w:r>
              <w:rPr/>
              <w:t>20</w:t>
            </w:r>
          </w:p>
        </w:tc>
        <w:tc>
          <w:tcPr>
            <w:tcW w:w="7146" w:type="dxa"/>
            <w:tcBorders/>
            <w:vAlign w:val="center"/>
          </w:tcPr>
          <w:p>
            <w:pPr>
              <w:pStyle w:val="TableContents"/>
              <w:bidi w:val="0"/>
              <w:jc w:val="start"/>
              <w:rPr/>
            </w:pPr>
            <w:r>
              <w:rPr>
                <w:rStyle w:val="Strong"/>
              </w:rPr>
              <w:t>Open Challenges in Multi-Agent Security: Towards Secure Systems of Interacting AI Agents</w:t>
            </w:r>
          </w:p>
        </w:tc>
        <w:tc>
          <w:tcPr>
            <w:tcW w:w="587" w:type="dxa"/>
            <w:tcBorders/>
            <w:vAlign w:val="center"/>
          </w:tcPr>
          <w:p>
            <w:pPr>
              <w:pStyle w:val="TableContents"/>
              <w:bidi w:val="0"/>
              <w:jc w:val="start"/>
              <w:rPr/>
            </w:pPr>
            <w:r>
              <w:rPr/>
              <w:t>2025</w:t>
            </w:r>
          </w:p>
        </w:tc>
        <w:tc>
          <w:tcPr>
            <w:tcW w:w="1879" w:type="dxa"/>
            <w:tcBorders/>
            <w:vAlign w:val="center"/>
          </w:tcPr>
          <w:p>
            <w:pPr>
              <w:pStyle w:val="TableContents"/>
              <w:bidi w:val="0"/>
              <w:jc w:val="start"/>
              <w:rPr/>
            </w:pPr>
            <w:r>
              <w:rPr/>
              <w:t>arXiv</w:t>
            </w:r>
          </w:p>
        </w:tc>
      </w:tr>
    </w:tbl>
    <w:p>
      <w:pPr>
        <w:pStyle w:val="Normal"/>
        <w:bidi w:val="0"/>
        <w:jc w:val="start"/>
        <w:rPr/>
      </w:pPr>
      <w:r>
        <w:rPr/>
      </w:r>
    </w:p>
    <w:p>
      <w:pPr>
        <w:pStyle w:val="Heading1"/>
        <w:bidi w:val="0"/>
        <w:jc w:val="start"/>
        <w:rPr>
          <w:sz w:val="36"/>
          <w:szCs w:val="36"/>
        </w:rPr>
      </w:pPr>
      <w:r>
        <w:rPr>
          <w:sz w:val="36"/>
          <w:szCs w:val="36"/>
        </w:rPr>
        <w:t>Top 5 Papers :</w:t>
      </w:r>
    </w:p>
    <w:p>
      <w:pPr>
        <w:pStyle w:val="Heading3"/>
        <w:bidi w:val="0"/>
        <w:jc w:val="start"/>
        <w:rPr/>
      </w:pPr>
      <w:r>
        <w:rPr/>
        <w:t>1. Defeating Prompt Injections by Design (CaMeL)</w:t>
      </w:r>
    </w:p>
    <w:p>
      <w:pPr>
        <w:pStyle w:val="BodyText"/>
        <w:numPr>
          <w:ilvl w:val="0"/>
          <w:numId w:val="1"/>
        </w:numPr>
        <w:tabs>
          <w:tab w:val="clear" w:pos="709"/>
          <w:tab w:val="left" w:pos="709" w:leader="none"/>
        </w:tabs>
        <w:bidi w:val="0"/>
        <w:spacing w:before="0" w:after="0"/>
        <w:ind w:hanging="283" w:start="709"/>
        <w:jc w:val="start"/>
        <w:rPr/>
      </w:pPr>
      <w:r>
        <w:rPr>
          <w:rStyle w:val="Strong"/>
        </w:rPr>
        <w:t>Venue:</w:t>
      </w:r>
      <w:r>
        <w:rPr/>
        <w:t xml:space="preserve"> Google DeepMind (2025)</w:t>
      </w:r>
    </w:p>
    <w:p>
      <w:pPr>
        <w:pStyle w:val="Heading3"/>
        <w:bidi w:val="0"/>
        <w:jc w:val="start"/>
        <w:rPr/>
      </w:pPr>
      <w:r>
        <w:rPr/>
        <w:t>2. Progent: Programmable Privilege Control for LLM Agents</w:t>
      </w:r>
    </w:p>
    <w:p>
      <w:pPr>
        <w:pStyle w:val="BodyText"/>
        <w:numPr>
          <w:ilvl w:val="0"/>
          <w:numId w:val="2"/>
        </w:numPr>
        <w:tabs>
          <w:tab w:val="clear" w:pos="709"/>
          <w:tab w:val="left" w:pos="709" w:leader="none"/>
        </w:tabs>
        <w:bidi w:val="0"/>
        <w:spacing w:before="0" w:after="0"/>
        <w:ind w:hanging="283" w:start="709"/>
        <w:jc w:val="start"/>
        <w:rPr/>
      </w:pPr>
      <w:r>
        <w:rPr>
          <w:rStyle w:val="Strong"/>
        </w:rPr>
        <w:t>Venue:</w:t>
      </w:r>
      <w:r>
        <w:rPr/>
        <w:t xml:space="preserve"> arXiv (2025) </w:t>
      </w:r>
    </w:p>
    <w:p>
      <w:pPr>
        <w:pStyle w:val="Heading3"/>
        <w:bidi w:val="0"/>
        <w:jc w:val="start"/>
        <w:rPr/>
      </w:pPr>
      <w:r>
        <w:rPr/>
        <w:t>3. AgentDojo</w:t>
      </w:r>
    </w:p>
    <w:p>
      <w:pPr>
        <w:pStyle w:val="BodyText"/>
        <w:numPr>
          <w:ilvl w:val="0"/>
          <w:numId w:val="3"/>
        </w:numPr>
        <w:tabs>
          <w:tab w:val="clear" w:pos="709"/>
          <w:tab w:val="left" w:pos="709" w:leader="none"/>
        </w:tabs>
        <w:bidi w:val="0"/>
        <w:spacing w:before="0" w:after="0"/>
        <w:ind w:hanging="283" w:start="709"/>
        <w:jc w:val="start"/>
        <w:rPr/>
      </w:pPr>
      <w:r>
        <w:rPr>
          <w:rStyle w:val="Strong"/>
        </w:rPr>
        <w:t>Venue:</w:t>
      </w:r>
      <w:r>
        <w:rPr/>
        <w:t xml:space="preserve"> NeurIPS 2024 </w:t>
      </w:r>
    </w:p>
    <w:p>
      <w:pPr>
        <w:pStyle w:val="Heading3"/>
        <w:bidi w:val="0"/>
        <w:jc w:val="start"/>
        <w:rPr/>
      </w:pPr>
      <w:r>
        <w:rPr/>
        <w:t>4. DataSentinel</w:t>
      </w:r>
    </w:p>
    <w:p>
      <w:pPr>
        <w:pStyle w:val="BodyText"/>
        <w:numPr>
          <w:ilvl w:val="0"/>
          <w:numId w:val="4"/>
        </w:numPr>
        <w:tabs>
          <w:tab w:val="clear" w:pos="709"/>
          <w:tab w:val="left" w:pos="709" w:leader="none"/>
        </w:tabs>
        <w:bidi w:val="0"/>
        <w:spacing w:before="0" w:after="0"/>
        <w:ind w:hanging="283" w:start="709"/>
        <w:jc w:val="start"/>
        <w:rPr/>
      </w:pPr>
      <w:r>
        <w:rPr>
          <w:rStyle w:val="Strong"/>
        </w:rPr>
        <w:t>Venue:</w:t>
      </w:r>
      <w:r>
        <w:rPr/>
        <w:t xml:space="preserve"> IEEE Symposium on Security &amp; Privacy (Oakland) 2025 </w:t>
      </w:r>
    </w:p>
    <w:p>
      <w:pPr>
        <w:pStyle w:val="Heading3"/>
        <w:bidi w:val="0"/>
        <w:jc w:val="start"/>
        <w:rPr/>
      </w:pPr>
      <w:r>
        <w:rPr/>
        <w:t>5. IsolateGPT</w:t>
      </w:r>
    </w:p>
    <w:p>
      <w:pPr>
        <w:pStyle w:val="BodyText"/>
        <w:numPr>
          <w:ilvl w:val="0"/>
          <w:numId w:val="5"/>
        </w:numPr>
        <w:tabs>
          <w:tab w:val="clear" w:pos="709"/>
          <w:tab w:val="left" w:pos="709" w:leader="none"/>
        </w:tabs>
        <w:bidi w:val="0"/>
        <w:spacing w:before="0" w:after="0"/>
        <w:ind w:hanging="283" w:start="709"/>
        <w:jc w:val="start"/>
        <w:rPr/>
      </w:pPr>
      <w:r>
        <w:rPr>
          <w:rStyle w:val="Strong"/>
        </w:rPr>
        <w:t>Venue:</w:t>
      </w:r>
      <w:r>
        <w:rPr/>
        <w:t xml:space="preserve"> NDSS 2025 </w:t>
      </w:r>
    </w:p>
    <w:p>
      <w:pPr>
        <w:pStyle w:val="Normal"/>
        <w:bidi w:val="0"/>
        <w:jc w:val="start"/>
        <w:rPr/>
      </w:pPr>
      <w:r>
        <w:rPr/>
      </w:r>
    </w:p>
    <w:sectPr>
      <w:headerReference w:type="default" r:id="rId2"/>
      <w:type w:val="nextPage"/>
      <w:pgSz w:w="12240" w:h="15840"/>
      <w:pgMar w:left="1134" w:right="1134" w:gutter="0" w:header="1134" w:top="1693"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modern"/>
    <w:pitch w:val="fixed"/>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jc w:val="start"/>
      <w:rPr/>
    </w:pPr>
    <w:r>
      <w:rPr/>
      <w:t>24CE055</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74"/>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sz w:val="48"/>
      <w:szCs w:val="48"/>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Strong">
    <w:name w:val="Strong"/>
    <w:qFormat/>
    <w:rPr>
      <w:b/>
      <w:bCs/>
    </w:rPr>
  </w:style>
  <w:style w:type="character" w:styleId="Emphasis">
    <w:name w:val="Emphasis"/>
    <w:qFormat/>
    <w:rPr>
      <w:i/>
      <w:iCs/>
    </w:rPr>
  </w:style>
  <w:style w:type="character" w:styleId="SourceText">
    <w:name w:val="Source Text"/>
    <w:qFormat/>
    <w:rPr>
      <w:rFonts w:ascii="Liberation Mono" w:hAnsi="Liberation Mono" w:eastAsia="Noto Sans Mono CJK SC" w:cs="Liberation Mono"/>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Header">
    <w:name w:val="header"/>
    <w:basedOn w:val="HeaderandFooter"/>
    <w:pPr>
      <w:suppressLineNumber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LibreOffice/26.2.4.2$Linux_X86_64 LibreOffice_project/620$Build-2</Application>
  <AppVersion>15.0000</AppVersion>
  <Pages>3</Pages>
  <Words>732</Words>
  <Characters>4601</Characters>
  <CharactersWithSpaces>5231</CharactersWithSpaces>
  <Paragraphs>103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2026-08-03T21:49:15Z</dcterms:created>
  <dc:creator/>
  <dc:description/>
  <dc:language>en-US</dc:language>
  <cp:lastModifiedBy/>
  <dcterms:modified xsi:type="dcterms:W3CDTF">2026-08-03T22:02:21Z</dcterms:modified>
  <cp:revision>1</cp:revision>
  <dc:subject/>
  <dc:title/>
</cp:coreProperties>
</file>