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Practical – 3: Problem Identification</w:t>
      </w:r>
    </w:p>
    <w:p>
      <w:pPr>
        <w:pStyle w:val="Heading2"/>
        <w:bidi w:val="0"/>
        <w:jc w:val="start"/>
        <w:rPr/>
      </w:pPr>
      <w:r>
        <w:rPr/>
        <w:t>Research Domain</w:t>
      </w:r>
    </w:p>
    <w:p>
      <w:pPr>
        <w:pStyle w:val="BodyText"/>
        <w:bidi w:val="0"/>
        <w:jc w:val="start"/>
        <w:rPr/>
      </w:pPr>
      <w:r>
        <w:rPr>
          <w:rStyle w:val="Strong"/>
        </w:rPr>
        <w:t>Cybersecurity → AI Agent Security → Agentic AI Security &amp; Runtime Threat Detection</w:t>
      </w:r>
    </w:p>
    <w:p>
      <w:pPr>
        <w:pStyle w:val="HorizontalLine"/>
        <w:bidi w:val="0"/>
        <w:jc w:val="start"/>
        <w:rPr/>
      </w:pPr>
      <w:r>
        <w:rPr/>
      </w:r>
    </w:p>
    <w:p>
      <w:pPr>
        <w:pStyle w:val="Heading1"/>
        <w:bidi w:val="0"/>
        <w:jc w:val="start"/>
        <w:rPr>
          <w:sz w:val="36"/>
          <w:szCs w:val="36"/>
        </w:rPr>
      </w:pPr>
      <w:r>
        <w:rPr>
          <w:sz w:val="36"/>
          <w:szCs w:val="36"/>
        </w:rPr>
        <w:t>1. Domain Overview</w:t>
      </w:r>
    </w:p>
    <w:p>
      <w:pPr>
        <w:pStyle w:val="BodyText"/>
        <w:bidi w:val="0"/>
        <w:jc w:val="start"/>
        <w:rPr/>
      </w:pPr>
      <w:r>
        <w:rPr/>
        <w:t>Recent advances in Large Language Models (LLMs) have enabled the development of AI agents capable of autonomously interacting with external tools, APIs, databases, web services, and operating systems. While these capabilities significantly improve automation, they also introduce new security risks that traditional cybersecurity mechanisms were not designed to address.</w:t>
      </w:r>
    </w:p>
    <w:p>
      <w:pPr>
        <w:pStyle w:val="BodyText"/>
        <w:bidi w:val="0"/>
        <w:jc w:val="start"/>
        <w:rPr/>
      </w:pPr>
      <w:r>
        <w:rPr/>
        <w:t>Research over the last three years has focused on understanding these threats, developing benchmarks, proposing runtime defense architectures, and improving model robustness. However, existing solutions remain fragmented and typically address only one aspect of the AI agent security pipeline.</w:t>
      </w:r>
    </w:p>
    <w:p>
      <w:pPr>
        <w:pStyle w:val="HorizontalLine"/>
        <w:bidi w:val="0"/>
        <w:jc w:val="start"/>
        <w:rPr/>
      </w:pPr>
      <w:r>
        <w:rPr/>
      </w:r>
    </w:p>
    <w:p>
      <w:pPr>
        <w:pStyle w:val="Heading1"/>
        <w:bidi w:val="0"/>
        <w:jc w:val="start"/>
        <w:rPr>
          <w:sz w:val="36"/>
          <w:szCs w:val="36"/>
        </w:rPr>
      </w:pPr>
      <w:r>
        <w:rPr>
          <w:sz w:val="36"/>
          <w:szCs w:val="36"/>
        </w:rPr>
        <w:t>2. Gap Taxonomy</w:t>
      </w:r>
    </w:p>
    <w:p>
      <w:pPr>
        <w:pStyle w:val="BodyText"/>
        <w:bidi w:val="0"/>
        <w:jc w:val="start"/>
        <w:rPr/>
      </w:pPr>
      <w:r>
        <w:rPr/>
        <w:t>Based on the reviewed literature, the current research landscape can be classified into six categories.</w:t>
      </w:r>
    </w:p>
    <w:tbl>
      <w:tblPr>
        <w:tblW w:w="9972" w:type="dxa"/>
        <w:jc w:val="start"/>
        <w:tblInd w:w="0" w:type="dxa"/>
        <w:tblLayout w:type="fixed"/>
        <w:tblCellMar>
          <w:top w:w="28" w:type="dxa"/>
          <w:start w:w="28" w:type="dxa"/>
          <w:bottom w:w="28" w:type="dxa"/>
          <w:end w:w="28" w:type="dxa"/>
        </w:tblCellMar>
      </w:tblPr>
      <w:tblGrid>
        <w:gridCol w:w="1894"/>
        <w:gridCol w:w="2123"/>
        <w:gridCol w:w="3036"/>
        <w:gridCol w:w="2919"/>
      </w:tblGrid>
      <w:tr>
        <w:trPr>
          <w:tblHeader w:val="true"/>
        </w:trPr>
        <w:tc>
          <w:tcPr>
            <w:tcW w:w="1894" w:type="dxa"/>
            <w:tcBorders/>
            <w:vAlign w:val="center"/>
          </w:tcPr>
          <w:p>
            <w:pPr>
              <w:pStyle w:val="TableHeading"/>
              <w:bidi w:val="0"/>
              <w:jc w:val="start"/>
              <w:rPr/>
            </w:pPr>
            <w:r>
              <w:rPr/>
              <w:t>Research Category</w:t>
            </w:r>
          </w:p>
        </w:tc>
        <w:tc>
          <w:tcPr>
            <w:tcW w:w="2123" w:type="dxa"/>
            <w:tcBorders/>
            <w:vAlign w:val="center"/>
          </w:tcPr>
          <w:p>
            <w:pPr>
              <w:pStyle w:val="TableHeading"/>
              <w:bidi w:val="0"/>
              <w:jc w:val="start"/>
              <w:rPr/>
            </w:pPr>
            <w:r>
              <w:rPr/>
              <w:t>Representative Papers</w:t>
            </w:r>
          </w:p>
        </w:tc>
        <w:tc>
          <w:tcPr>
            <w:tcW w:w="3036" w:type="dxa"/>
            <w:tcBorders/>
            <w:vAlign w:val="center"/>
          </w:tcPr>
          <w:p>
            <w:pPr>
              <w:pStyle w:val="TableHeading"/>
              <w:bidi w:val="0"/>
              <w:jc w:val="start"/>
              <w:rPr/>
            </w:pPr>
            <w:r>
              <w:rPr/>
              <w:t>Existing Contribution</w:t>
            </w:r>
          </w:p>
        </w:tc>
        <w:tc>
          <w:tcPr>
            <w:tcW w:w="2919" w:type="dxa"/>
            <w:tcBorders/>
            <w:vAlign w:val="center"/>
          </w:tcPr>
          <w:p>
            <w:pPr>
              <w:pStyle w:val="TableHeading"/>
              <w:bidi w:val="0"/>
              <w:jc w:val="start"/>
              <w:rPr/>
            </w:pPr>
            <w:r>
              <w:rPr/>
              <w:t>Identified Research Gap</w:t>
            </w:r>
          </w:p>
        </w:tc>
      </w:tr>
      <w:tr>
        <w:trPr/>
        <w:tc>
          <w:tcPr>
            <w:tcW w:w="1894" w:type="dxa"/>
            <w:tcBorders/>
            <w:vAlign w:val="center"/>
          </w:tcPr>
          <w:p>
            <w:pPr>
              <w:pStyle w:val="TableContents"/>
              <w:bidi w:val="0"/>
              <w:jc w:val="start"/>
              <w:rPr/>
            </w:pPr>
            <w:r>
              <w:rPr>
                <w:rStyle w:val="Strong"/>
              </w:rPr>
              <w:t>Threat Modeling</w:t>
            </w:r>
          </w:p>
        </w:tc>
        <w:tc>
          <w:tcPr>
            <w:tcW w:w="2123" w:type="dxa"/>
            <w:tcBorders/>
            <w:vAlign w:val="center"/>
          </w:tcPr>
          <w:p>
            <w:pPr>
              <w:pStyle w:val="TableContents"/>
              <w:bidi w:val="0"/>
              <w:jc w:val="start"/>
              <w:rPr/>
            </w:pPr>
            <w:r>
              <w:rPr/>
              <w:t>Not What You've Signed Up For, Instruction Hierarchy</w:t>
            </w:r>
          </w:p>
        </w:tc>
        <w:tc>
          <w:tcPr>
            <w:tcW w:w="3036" w:type="dxa"/>
            <w:tcBorders/>
            <w:vAlign w:val="center"/>
          </w:tcPr>
          <w:p>
            <w:pPr>
              <w:pStyle w:val="TableContents"/>
              <w:bidi w:val="0"/>
              <w:jc w:val="start"/>
              <w:rPr/>
            </w:pPr>
            <w:r>
              <w:rPr/>
              <w:t>Defines prompt injection, indirect prompt injection, and trust hierarchy concepts.</w:t>
            </w:r>
          </w:p>
        </w:tc>
        <w:tc>
          <w:tcPr>
            <w:tcW w:w="2919" w:type="dxa"/>
            <w:tcBorders/>
            <w:vAlign w:val="center"/>
          </w:tcPr>
          <w:p>
            <w:pPr>
              <w:pStyle w:val="TableContents"/>
              <w:bidi w:val="0"/>
              <w:jc w:val="start"/>
              <w:rPr/>
            </w:pPr>
            <w:r>
              <w:rPr/>
              <w:t>Focuses on identifying threats rather than preventing them during runtime.</w:t>
            </w:r>
          </w:p>
        </w:tc>
      </w:tr>
      <w:tr>
        <w:trPr/>
        <w:tc>
          <w:tcPr>
            <w:tcW w:w="1894" w:type="dxa"/>
            <w:tcBorders/>
            <w:vAlign w:val="center"/>
          </w:tcPr>
          <w:p>
            <w:pPr>
              <w:pStyle w:val="TableContents"/>
              <w:bidi w:val="0"/>
              <w:jc w:val="start"/>
              <w:rPr/>
            </w:pPr>
            <w:r>
              <w:rPr>
                <w:rStyle w:val="Strong"/>
              </w:rPr>
              <w:t>Evaluation &amp; Benchmarks</w:t>
            </w:r>
          </w:p>
        </w:tc>
        <w:tc>
          <w:tcPr>
            <w:tcW w:w="2123" w:type="dxa"/>
            <w:tcBorders/>
            <w:vAlign w:val="center"/>
          </w:tcPr>
          <w:p>
            <w:pPr>
              <w:pStyle w:val="TableContents"/>
              <w:bidi w:val="0"/>
              <w:jc w:val="start"/>
              <w:rPr/>
            </w:pPr>
            <w:r>
              <w:rPr/>
              <w:t>AgentDojo, InjecAgent, ASB, MCPTox</w:t>
            </w:r>
          </w:p>
        </w:tc>
        <w:tc>
          <w:tcPr>
            <w:tcW w:w="3036" w:type="dxa"/>
            <w:tcBorders/>
            <w:vAlign w:val="center"/>
          </w:tcPr>
          <w:p>
            <w:pPr>
              <w:pStyle w:val="TableContents"/>
              <w:bidi w:val="0"/>
              <w:jc w:val="start"/>
              <w:rPr/>
            </w:pPr>
            <w:r>
              <w:rPr/>
              <w:t>Provides standardized environments for evaluating attacks and defenses.</w:t>
            </w:r>
          </w:p>
        </w:tc>
        <w:tc>
          <w:tcPr>
            <w:tcW w:w="2919" w:type="dxa"/>
            <w:tcBorders/>
            <w:vAlign w:val="center"/>
          </w:tcPr>
          <w:p>
            <w:pPr>
              <w:pStyle w:val="TableContents"/>
              <w:bidi w:val="0"/>
              <w:jc w:val="start"/>
              <w:rPr/>
            </w:pPr>
            <w:r>
              <w:rPr/>
              <w:t>Measures security performance but does not provide integrated runtime protection mechanisms.</w:t>
            </w:r>
          </w:p>
        </w:tc>
      </w:tr>
      <w:tr>
        <w:trPr/>
        <w:tc>
          <w:tcPr>
            <w:tcW w:w="1894" w:type="dxa"/>
            <w:tcBorders/>
            <w:vAlign w:val="center"/>
          </w:tcPr>
          <w:p>
            <w:pPr>
              <w:pStyle w:val="TableContents"/>
              <w:bidi w:val="0"/>
              <w:jc w:val="start"/>
              <w:rPr/>
            </w:pPr>
            <w:r>
              <w:rPr>
                <w:rStyle w:val="Strong"/>
              </w:rPr>
              <w:t>Runtime Security Architectures</w:t>
            </w:r>
          </w:p>
        </w:tc>
        <w:tc>
          <w:tcPr>
            <w:tcW w:w="2123" w:type="dxa"/>
            <w:tcBorders/>
            <w:vAlign w:val="center"/>
          </w:tcPr>
          <w:p>
            <w:pPr>
              <w:pStyle w:val="TableContents"/>
              <w:bidi w:val="0"/>
              <w:jc w:val="start"/>
              <w:rPr/>
            </w:pPr>
            <w:r>
              <w:rPr/>
              <w:t>CaMeL, Progent, IsolateGPT, GuardAgent, AgentSpec</w:t>
            </w:r>
          </w:p>
        </w:tc>
        <w:tc>
          <w:tcPr>
            <w:tcW w:w="3036" w:type="dxa"/>
            <w:tcBorders/>
            <w:vAlign w:val="center"/>
          </w:tcPr>
          <w:p>
            <w:pPr>
              <w:pStyle w:val="TableContents"/>
              <w:bidi w:val="0"/>
              <w:jc w:val="start"/>
              <w:rPr/>
            </w:pPr>
            <w:r>
              <w:rPr/>
              <w:t>Introduces capability tracking, privilege enforcement, execution isolation, and policy-based security.</w:t>
            </w:r>
          </w:p>
        </w:tc>
        <w:tc>
          <w:tcPr>
            <w:tcW w:w="2919" w:type="dxa"/>
            <w:tcBorders/>
            <w:vAlign w:val="center"/>
          </w:tcPr>
          <w:p>
            <w:pPr>
              <w:pStyle w:val="TableContents"/>
              <w:bidi w:val="0"/>
              <w:jc w:val="start"/>
              <w:rPr/>
            </w:pPr>
            <w:r>
              <w:rPr/>
              <w:t>Each architecture protects only a specific layer of the AI agent lifecycle without providing end-to-end security.</w:t>
            </w:r>
          </w:p>
        </w:tc>
      </w:tr>
      <w:tr>
        <w:trPr/>
        <w:tc>
          <w:tcPr>
            <w:tcW w:w="1894" w:type="dxa"/>
            <w:tcBorders/>
            <w:vAlign w:val="center"/>
          </w:tcPr>
          <w:p>
            <w:pPr>
              <w:pStyle w:val="TableContents"/>
              <w:bidi w:val="0"/>
              <w:jc w:val="start"/>
              <w:rPr/>
            </w:pPr>
            <w:r>
              <w:rPr>
                <w:rStyle w:val="Strong"/>
              </w:rPr>
              <w:t>Detection Mechanisms</w:t>
            </w:r>
          </w:p>
        </w:tc>
        <w:tc>
          <w:tcPr>
            <w:tcW w:w="2123" w:type="dxa"/>
            <w:tcBorders/>
            <w:vAlign w:val="center"/>
          </w:tcPr>
          <w:p>
            <w:pPr>
              <w:pStyle w:val="TableContents"/>
              <w:bidi w:val="0"/>
              <w:jc w:val="start"/>
              <w:rPr/>
            </w:pPr>
            <w:r>
              <w:rPr/>
              <w:t>DataSentinel, StruQ, SecAlign</w:t>
            </w:r>
          </w:p>
        </w:tc>
        <w:tc>
          <w:tcPr>
            <w:tcW w:w="3036" w:type="dxa"/>
            <w:tcBorders/>
            <w:vAlign w:val="center"/>
          </w:tcPr>
          <w:p>
            <w:pPr>
              <w:pStyle w:val="TableContents"/>
              <w:bidi w:val="0"/>
              <w:jc w:val="start"/>
              <w:rPr/>
            </w:pPr>
            <w:r>
              <w:rPr/>
              <w:t>Detects prompt injection and malicious instructions using model-level defenses.</w:t>
            </w:r>
          </w:p>
        </w:tc>
        <w:tc>
          <w:tcPr>
            <w:tcW w:w="2919" w:type="dxa"/>
            <w:tcBorders/>
            <w:vAlign w:val="center"/>
          </w:tcPr>
          <w:p>
            <w:pPr>
              <w:pStyle w:val="TableContents"/>
              <w:bidi w:val="0"/>
              <w:jc w:val="start"/>
              <w:rPr/>
            </w:pPr>
            <w:r>
              <w:rPr/>
              <w:t>Detection is not tightly coupled with runtime authorization or secure tool execution.</w:t>
            </w:r>
          </w:p>
        </w:tc>
      </w:tr>
      <w:tr>
        <w:trPr/>
        <w:tc>
          <w:tcPr>
            <w:tcW w:w="1894" w:type="dxa"/>
            <w:tcBorders/>
            <w:vAlign w:val="center"/>
          </w:tcPr>
          <w:p>
            <w:pPr>
              <w:pStyle w:val="TableContents"/>
              <w:bidi w:val="0"/>
              <w:jc w:val="start"/>
              <w:rPr/>
            </w:pPr>
            <w:r>
              <w:rPr>
                <w:rStyle w:val="Strong"/>
              </w:rPr>
              <w:t>Knowledge &amp; Context Security</w:t>
            </w:r>
          </w:p>
        </w:tc>
        <w:tc>
          <w:tcPr>
            <w:tcW w:w="2123" w:type="dxa"/>
            <w:tcBorders/>
            <w:vAlign w:val="center"/>
          </w:tcPr>
          <w:p>
            <w:pPr>
              <w:pStyle w:val="TableContents"/>
              <w:bidi w:val="0"/>
              <w:jc w:val="start"/>
              <w:rPr/>
            </w:pPr>
            <w:r>
              <w:rPr/>
              <w:t>PoisonedRAG</w:t>
            </w:r>
          </w:p>
        </w:tc>
        <w:tc>
          <w:tcPr>
            <w:tcW w:w="3036" w:type="dxa"/>
            <w:tcBorders/>
            <w:vAlign w:val="center"/>
          </w:tcPr>
          <w:p>
            <w:pPr>
              <w:pStyle w:val="TableContents"/>
              <w:bidi w:val="0"/>
              <w:jc w:val="start"/>
              <w:rPr/>
            </w:pPr>
            <w:r>
              <w:rPr/>
              <w:t>Studies attacks against retrieval-augmented generation systems.</w:t>
            </w:r>
          </w:p>
        </w:tc>
        <w:tc>
          <w:tcPr>
            <w:tcW w:w="2919" w:type="dxa"/>
            <w:tcBorders/>
            <w:vAlign w:val="center"/>
          </w:tcPr>
          <w:p>
            <w:pPr>
              <w:pStyle w:val="TableContents"/>
              <w:bidi w:val="0"/>
              <w:jc w:val="start"/>
              <w:rPr/>
            </w:pPr>
            <w:r>
              <w:rPr/>
              <w:t>Does not address how poisoned context influences downstream tool execution.</w:t>
            </w:r>
          </w:p>
        </w:tc>
      </w:tr>
      <w:tr>
        <w:trPr/>
        <w:tc>
          <w:tcPr>
            <w:tcW w:w="1894" w:type="dxa"/>
            <w:tcBorders/>
            <w:vAlign w:val="center"/>
          </w:tcPr>
          <w:p>
            <w:pPr>
              <w:pStyle w:val="TableContents"/>
              <w:bidi w:val="0"/>
              <w:jc w:val="start"/>
              <w:rPr/>
            </w:pPr>
            <w:r>
              <w:rPr>
                <w:rStyle w:val="Strong"/>
              </w:rPr>
              <w:t>MCP &amp; Tool Security</w:t>
            </w:r>
          </w:p>
        </w:tc>
        <w:tc>
          <w:tcPr>
            <w:tcW w:w="2123" w:type="dxa"/>
            <w:tcBorders/>
            <w:vAlign w:val="center"/>
          </w:tcPr>
          <w:p>
            <w:pPr>
              <w:pStyle w:val="TableContents"/>
              <w:bidi w:val="0"/>
              <w:jc w:val="start"/>
              <w:rPr/>
            </w:pPr>
            <w:r>
              <w:rPr/>
              <w:t>MCP Threat Modeling, MCPTox</w:t>
            </w:r>
          </w:p>
        </w:tc>
        <w:tc>
          <w:tcPr>
            <w:tcW w:w="3036" w:type="dxa"/>
            <w:tcBorders/>
            <w:vAlign w:val="center"/>
          </w:tcPr>
          <w:p>
            <w:pPr>
              <w:pStyle w:val="TableContents"/>
              <w:bidi w:val="0"/>
              <w:jc w:val="start"/>
              <w:rPr/>
            </w:pPr>
            <w:r>
              <w:rPr/>
              <w:t>Introduces tool poisoning threats and MCP-specific attack surfaces.</w:t>
            </w:r>
          </w:p>
        </w:tc>
        <w:tc>
          <w:tcPr>
            <w:tcW w:w="2919" w:type="dxa"/>
            <w:tcBorders/>
            <w:vAlign w:val="center"/>
          </w:tcPr>
          <w:p>
            <w:pPr>
              <w:pStyle w:val="TableContents"/>
              <w:bidi w:val="0"/>
              <w:jc w:val="start"/>
              <w:rPr/>
            </w:pPr>
            <w:r>
              <w:rPr/>
              <w:t>Lacks practical runtime implementations capable of intercepting and validating malicious tool interactions.</w:t>
            </w:r>
          </w:p>
        </w:tc>
      </w:tr>
    </w:tbl>
    <w:p>
      <w:pPr>
        <w:pStyle w:val="HorizontalLine"/>
        <w:bidi w:val="0"/>
        <w:jc w:val="start"/>
        <w:rPr/>
      </w:pPr>
      <w:r>
        <w:rPr/>
      </w:r>
    </w:p>
    <w:p>
      <w:pPr>
        <w:pStyle w:val="Heading1"/>
        <w:bidi w:val="0"/>
        <w:jc w:val="start"/>
        <w:rPr>
          <w:sz w:val="36"/>
          <w:szCs w:val="36"/>
        </w:rPr>
      </w:pPr>
      <w:r>
        <w:rPr>
          <w:sz w:val="36"/>
          <w:szCs w:val="36"/>
        </w:rPr>
        <w:t>3. Research Gap Analysis</w:t>
      </w:r>
    </w:p>
    <w:p>
      <w:pPr>
        <w:pStyle w:val="BodyText"/>
        <w:bidi w:val="0"/>
        <w:jc w:val="start"/>
        <w:rPr/>
      </w:pPr>
      <w:r>
        <w:rPr/>
        <w:t>The literature demonstrates significant progress in AI agent security, but existing solutions remain specialized.</w:t>
      </w:r>
    </w:p>
    <w:p>
      <w:pPr>
        <w:pStyle w:val="BodyText"/>
        <w:numPr>
          <w:ilvl w:val="0"/>
          <w:numId w:val="1"/>
        </w:numPr>
        <w:tabs>
          <w:tab w:val="clear" w:pos="709"/>
          <w:tab w:val="left" w:pos="709" w:leader="none"/>
        </w:tabs>
        <w:bidi w:val="0"/>
        <w:spacing w:before="0" w:after="0"/>
        <w:ind w:hanging="283" w:start="709"/>
        <w:jc w:val="start"/>
        <w:rPr/>
      </w:pPr>
      <w:r>
        <w:rPr>
          <w:rStyle w:val="Strong"/>
        </w:rPr>
        <w:t>CaMeL</w:t>
      </w:r>
      <w:r>
        <w:rPr/>
        <w:t xml:space="preserve"> focuses on capability-based policy enforcement but does not protect against MCP tool poisoning or validate tool metadata. </w:t>
      </w:r>
    </w:p>
    <w:p>
      <w:pPr>
        <w:pStyle w:val="BodyText"/>
        <w:numPr>
          <w:ilvl w:val="0"/>
          <w:numId w:val="1"/>
        </w:numPr>
        <w:tabs>
          <w:tab w:val="clear" w:pos="709"/>
          <w:tab w:val="left" w:pos="709" w:leader="none"/>
        </w:tabs>
        <w:bidi w:val="0"/>
        <w:spacing w:before="0" w:after="0"/>
        <w:ind w:hanging="283" w:start="709"/>
        <w:jc w:val="start"/>
        <w:rPr/>
      </w:pPr>
      <w:r>
        <w:rPr>
          <w:rStyle w:val="Strong"/>
        </w:rPr>
        <w:t>Progent</w:t>
      </w:r>
      <w:r>
        <w:rPr/>
        <w:t xml:space="preserve"> introduces privilege control but lacks integrated prompt injection detection and runtime threat analysis. </w:t>
      </w:r>
    </w:p>
    <w:p>
      <w:pPr>
        <w:pStyle w:val="BodyText"/>
        <w:numPr>
          <w:ilvl w:val="0"/>
          <w:numId w:val="1"/>
        </w:numPr>
        <w:tabs>
          <w:tab w:val="clear" w:pos="709"/>
          <w:tab w:val="left" w:pos="709" w:leader="none"/>
        </w:tabs>
        <w:bidi w:val="0"/>
        <w:spacing w:before="0" w:after="0"/>
        <w:ind w:hanging="283" w:start="709"/>
        <w:jc w:val="start"/>
        <w:rPr/>
      </w:pPr>
      <w:r>
        <w:rPr>
          <w:rStyle w:val="Strong"/>
        </w:rPr>
        <w:t>IsolateGPT</w:t>
      </w:r>
      <w:r>
        <w:rPr/>
        <w:t xml:space="preserve"> isolates execution environments but remains vulnerable to planner manipulation and malicious tool descriptions. </w:t>
      </w:r>
    </w:p>
    <w:p>
      <w:pPr>
        <w:pStyle w:val="BodyText"/>
        <w:numPr>
          <w:ilvl w:val="0"/>
          <w:numId w:val="1"/>
        </w:numPr>
        <w:tabs>
          <w:tab w:val="clear" w:pos="709"/>
          <w:tab w:val="left" w:pos="709" w:leader="none"/>
        </w:tabs>
        <w:bidi w:val="0"/>
        <w:spacing w:before="0" w:after="0"/>
        <w:ind w:hanging="283" w:start="709"/>
        <w:jc w:val="start"/>
        <w:rPr/>
      </w:pPr>
      <w:r>
        <w:rPr>
          <w:rStyle w:val="Strong"/>
        </w:rPr>
        <w:t>DataSentinel</w:t>
      </w:r>
      <w:r>
        <w:rPr/>
        <w:t xml:space="preserve"> effectively detects prompt injection but does not enforce runtime security policies before tool execution. </w:t>
      </w:r>
    </w:p>
    <w:p>
      <w:pPr>
        <w:pStyle w:val="BodyText"/>
        <w:numPr>
          <w:ilvl w:val="0"/>
          <w:numId w:val="1"/>
        </w:numPr>
        <w:tabs>
          <w:tab w:val="clear" w:pos="709"/>
          <w:tab w:val="left" w:pos="709" w:leader="none"/>
        </w:tabs>
        <w:bidi w:val="0"/>
        <w:spacing w:before="0" w:after="0"/>
        <w:ind w:hanging="283" w:start="709"/>
        <w:jc w:val="start"/>
        <w:rPr/>
      </w:pPr>
      <w:r>
        <w:rPr>
          <w:rStyle w:val="Strong"/>
        </w:rPr>
        <w:t>GuardAgent</w:t>
      </w:r>
      <w:r>
        <w:rPr/>
        <w:t xml:space="preserve"> generates guard policies dynamically but relies on LLM reasoning instead of deterministic enforcement. </w:t>
      </w:r>
    </w:p>
    <w:p>
      <w:pPr>
        <w:pStyle w:val="BodyText"/>
        <w:numPr>
          <w:ilvl w:val="0"/>
          <w:numId w:val="1"/>
        </w:numPr>
        <w:tabs>
          <w:tab w:val="clear" w:pos="709"/>
          <w:tab w:val="left" w:pos="709" w:leader="none"/>
        </w:tabs>
        <w:bidi w:val="0"/>
        <w:ind w:hanging="283" w:start="709"/>
        <w:jc w:val="start"/>
        <w:rPr/>
      </w:pPr>
      <w:r>
        <w:rPr>
          <w:rStyle w:val="Strong"/>
        </w:rPr>
        <w:t>MCPTox</w:t>
      </w:r>
      <w:r>
        <w:rPr/>
        <w:t xml:space="preserve"> establishes a benchmark for tool poisoning attacks but does not provide a deployable defense mechanism. </w:t>
      </w:r>
    </w:p>
    <w:p>
      <w:pPr>
        <w:pStyle w:val="BodyText"/>
        <w:bidi w:val="0"/>
        <w:jc w:val="start"/>
        <w:rPr/>
      </w:pPr>
      <w:r>
        <w:rPr/>
        <w:t xml:space="preserve">These studies demonstrate that current defenses are </w:t>
      </w:r>
      <w:r>
        <w:rPr>
          <w:rStyle w:val="Strong"/>
        </w:rPr>
        <w:t>modular rather than integrated</w:t>
      </w:r>
      <w:r>
        <w:rPr/>
        <w:t>, resulting in fragmented protection across the AI agent execution pipeline.</w:t>
      </w:r>
    </w:p>
    <w:p>
      <w:pPr>
        <w:pStyle w:val="HorizontalLine"/>
        <w:bidi w:val="0"/>
        <w:jc w:val="start"/>
        <w:rPr/>
      </w:pPr>
      <w:r>
        <w:rPr/>
      </w:r>
    </w:p>
    <w:p>
      <w:pPr>
        <w:pStyle w:val="Heading1"/>
        <w:bidi w:val="0"/>
        <w:jc w:val="start"/>
        <w:rPr>
          <w:sz w:val="36"/>
          <w:szCs w:val="36"/>
        </w:rPr>
      </w:pPr>
      <w:r>
        <w:rPr>
          <w:sz w:val="36"/>
          <w:szCs w:val="36"/>
        </w:rPr>
        <w:t>4. Identified Research Problem</w:t>
      </w:r>
    </w:p>
    <w:p>
      <w:pPr>
        <w:pStyle w:val="BodyText"/>
        <w:bidi w:val="0"/>
        <w:jc w:val="start"/>
        <w:rPr/>
      </w:pPr>
      <w:r>
        <w:rPr/>
        <w:t>Current AI agent security solutions independently address prompt injection detection, privilege management, execution isolation, policy enforcement, and tool security. However, no existing architecture provides a unified runtime security layer capable of simultaneously detecting prompt injection, validating tool integrity, enforcing security policies, monitoring runtime behavior, and securely authorizing tool execution before an AI agent interacts with external systems.</w:t>
      </w:r>
    </w:p>
    <w:p>
      <w:pPr>
        <w:pStyle w:val="HorizontalLine"/>
        <w:bidi w:val="0"/>
        <w:jc w:val="start"/>
        <w:rPr/>
      </w:pPr>
      <w:r>
        <w:rPr/>
      </w:r>
    </w:p>
    <w:p>
      <w:pPr>
        <w:pStyle w:val="Heading1"/>
        <w:bidi w:val="0"/>
        <w:jc w:val="start"/>
        <w:rPr>
          <w:sz w:val="36"/>
          <w:szCs w:val="36"/>
        </w:rPr>
      </w:pPr>
      <w:r>
        <w:rPr>
          <w:sz w:val="36"/>
          <w:szCs w:val="36"/>
        </w:rPr>
        <w:t>5. Problem Statement (2–3 Sentences)</w:t>
      </w:r>
    </w:p>
    <w:p>
      <w:pPr>
        <w:pStyle w:val="BodyText"/>
        <w:bidi w:val="0"/>
        <w:jc w:val="start"/>
        <w:rPr/>
      </w:pPr>
      <w:r>
        <w:rPr/>
        <w:t>AI agents increasingly rely on external tools and services to perform autonomous tasks, making them susceptible to prompt injection, tool poisoning, unauthorized tool use, planner manipulation, and runtime attacks. Existing research proposes individual solutions for specific security problems, such as prompt filtering, privilege control, execution isolation, or policy enforcement, but lacks an integrated runtime architecture that secures the complete tool execution pipeline. Therefore, there is a need for a unified AI Agent Security Gateway capable of performing real-time threat detection, policy verification, and secure tool-call interception before tool execution.</w:t>
      </w:r>
    </w:p>
    <w:p>
      <w:pPr>
        <w:pStyle w:val="HorizontalLine"/>
        <w:bidi w:val="0"/>
        <w:jc w:val="start"/>
        <w:rPr/>
      </w:pPr>
      <w:r>
        <w:rPr/>
      </w:r>
    </w:p>
    <w:p>
      <w:pPr>
        <w:pStyle w:val="Heading1"/>
        <w:bidi w:val="0"/>
        <w:jc w:val="start"/>
        <w:rPr>
          <w:sz w:val="36"/>
          <w:szCs w:val="36"/>
        </w:rPr>
      </w:pPr>
      <w:r>
        <w:rPr>
          <w:sz w:val="36"/>
          <w:szCs w:val="36"/>
        </w:rPr>
        <w:t>6. Research Problem (One-Line)</w:t>
      </w:r>
    </w:p>
    <w:p>
      <w:pPr>
        <w:pStyle w:val="BodyText"/>
        <w:bidi w:val="0"/>
        <w:jc w:val="start"/>
        <w:rPr/>
      </w:pPr>
      <w:r>
        <w:rPr>
          <w:rStyle w:val="Strong"/>
        </w:rPr>
        <w:t>How can a unified runtime security gateway be designed to detect, analyze, and prevent prompt injection, tool poisoning, unauthorized tool use, and runtime threats before AI agents execute external tool calls?</w:t>
      </w:r>
    </w:p>
    <w:p>
      <w:pPr>
        <w:pStyle w:val="HorizontalLine"/>
        <w:bidi w:val="0"/>
        <w:jc w:val="start"/>
        <w:rPr/>
      </w:pPr>
      <w:r>
        <w:rPr/>
      </w:r>
    </w:p>
    <w:p>
      <w:pPr>
        <w:pStyle w:val="Heading1"/>
        <w:bidi w:val="0"/>
        <w:jc w:val="start"/>
        <w:rPr>
          <w:sz w:val="36"/>
          <w:szCs w:val="36"/>
        </w:rPr>
      </w:pPr>
      <w:r>
        <w:rPr>
          <w:sz w:val="36"/>
          <w:szCs w:val="36"/>
        </w:rPr>
        <w:t>7. Gap Category</w:t>
      </w:r>
    </w:p>
    <w:p>
      <w:pPr>
        <w:pStyle w:val="BodyText"/>
        <w:bidi w:val="0"/>
        <w:jc w:val="start"/>
        <w:rPr/>
      </w:pPr>
      <w:r>
        <w:rPr>
          <w:rStyle w:val="Strong"/>
        </w:rPr>
        <w:t>Architectural / System-Level Research Gap</w:t>
      </w:r>
    </w:p>
    <w:p>
      <w:pPr>
        <w:pStyle w:val="HorizontalLine"/>
        <w:bidi w:val="0"/>
        <w:jc w:val="start"/>
        <w:rPr/>
      </w:pPr>
      <w:r>
        <w:rPr/>
      </w:r>
    </w:p>
    <w:p>
      <w:pPr>
        <w:pStyle w:val="Heading1"/>
        <w:bidi w:val="0"/>
        <w:jc w:val="start"/>
        <w:rPr>
          <w:sz w:val="36"/>
          <w:szCs w:val="36"/>
        </w:rPr>
      </w:pPr>
      <w:r>
        <w:rPr>
          <w:sz w:val="36"/>
          <w:szCs w:val="36"/>
        </w:rPr>
        <w:t>8. Justification of Gap</w:t>
      </w:r>
    </w:p>
    <w:p>
      <w:pPr>
        <w:pStyle w:val="BodyText"/>
        <w:bidi w:val="0"/>
        <w:jc w:val="start"/>
        <w:rPr/>
      </w:pPr>
      <w:r>
        <w:rPr/>
        <w:t>The reviewed literature indicates that existing approaches solve individual security challenges in isolation. None combines threat detection, capability tracking, privilege enforcement, execution isolation, policy verification, runtime monitoring, and MCP-aware tool validation into a single deployable middleware architecture capable of protecting AI agents throughout the complete tool execution lifecycle.</w:t>
      </w:r>
    </w:p>
    <w:p>
      <w:pPr>
        <w:pStyle w:val="HorizontalLine"/>
        <w:bidi w:val="0"/>
        <w:jc w:val="start"/>
        <w:rPr/>
      </w:pPr>
      <w:r>
        <w:rPr/>
      </w:r>
    </w:p>
    <w:p>
      <w:pPr>
        <w:pStyle w:val="Heading1"/>
        <w:bidi w:val="0"/>
        <w:jc w:val="start"/>
        <w:rPr>
          <w:sz w:val="36"/>
          <w:szCs w:val="36"/>
        </w:rPr>
      </w:pPr>
      <w:r>
        <w:rPr>
          <w:sz w:val="36"/>
          <w:szCs w:val="36"/>
        </w:rPr>
        <w:t>9. Proposed Research Direction</w:t>
      </w:r>
    </w:p>
    <w:p>
      <w:pPr>
        <w:pStyle w:val="BodyText"/>
        <w:bidi w:val="0"/>
        <w:jc w:val="start"/>
        <w:rPr/>
      </w:pPr>
      <w:r>
        <w:rPr/>
        <w:t xml:space="preserve">Design and implement an </w:t>
      </w:r>
      <w:r>
        <w:rPr>
          <w:rStyle w:val="Strong"/>
        </w:rPr>
        <w:t>AI Agent Security Gateway</w:t>
      </w:r>
      <w:r>
        <w:rPr/>
        <w:t>, a middleware-based runtime security architecture that intercepts every AI agent tool invocation and performs:</w:t>
      </w:r>
    </w:p>
    <w:p>
      <w:pPr>
        <w:pStyle w:val="BodyText"/>
        <w:numPr>
          <w:ilvl w:val="0"/>
          <w:numId w:val="2"/>
        </w:numPr>
        <w:tabs>
          <w:tab w:val="clear" w:pos="709"/>
          <w:tab w:val="left" w:pos="709" w:leader="none"/>
        </w:tabs>
        <w:bidi w:val="0"/>
        <w:spacing w:before="0" w:after="0"/>
        <w:ind w:hanging="283" w:start="709"/>
        <w:jc w:val="start"/>
        <w:rPr/>
      </w:pPr>
      <w:r>
        <w:rPr/>
        <w:t xml:space="preserve">Prompt Injection Detection </w:t>
      </w:r>
    </w:p>
    <w:p>
      <w:pPr>
        <w:pStyle w:val="BodyText"/>
        <w:numPr>
          <w:ilvl w:val="0"/>
          <w:numId w:val="2"/>
        </w:numPr>
        <w:tabs>
          <w:tab w:val="clear" w:pos="709"/>
          <w:tab w:val="left" w:pos="709" w:leader="none"/>
        </w:tabs>
        <w:bidi w:val="0"/>
        <w:spacing w:before="0" w:after="0"/>
        <w:ind w:hanging="283" w:start="709"/>
        <w:jc w:val="start"/>
        <w:rPr/>
      </w:pPr>
      <w:r>
        <w:rPr/>
        <w:t xml:space="preserve">Tool Poisoning Detection </w:t>
      </w:r>
    </w:p>
    <w:p>
      <w:pPr>
        <w:pStyle w:val="BodyText"/>
        <w:numPr>
          <w:ilvl w:val="0"/>
          <w:numId w:val="2"/>
        </w:numPr>
        <w:tabs>
          <w:tab w:val="clear" w:pos="709"/>
          <w:tab w:val="left" w:pos="709" w:leader="none"/>
        </w:tabs>
        <w:bidi w:val="0"/>
        <w:spacing w:before="0" w:after="0"/>
        <w:ind w:hanging="283" w:start="709"/>
        <w:jc w:val="start"/>
        <w:rPr/>
      </w:pPr>
      <w:r>
        <w:rPr/>
        <w:t xml:space="preserve">MCP Tool Validation </w:t>
      </w:r>
    </w:p>
    <w:p>
      <w:pPr>
        <w:pStyle w:val="BodyText"/>
        <w:numPr>
          <w:ilvl w:val="0"/>
          <w:numId w:val="2"/>
        </w:numPr>
        <w:tabs>
          <w:tab w:val="clear" w:pos="709"/>
          <w:tab w:val="left" w:pos="709" w:leader="none"/>
        </w:tabs>
        <w:bidi w:val="0"/>
        <w:spacing w:before="0" w:after="0"/>
        <w:ind w:hanging="283" w:start="709"/>
        <w:jc w:val="start"/>
        <w:rPr/>
      </w:pPr>
      <w:r>
        <w:rPr/>
        <w:t xml:space="preserve">Runtime Threat Analysis </w:t>
      </w:r>
    </w:p>
    <w:p>
      <w:pPr>
        <w:pStyle w:val="BodyText"/>
        <w:numPr>
          <w:ilvl w:val="0"/>
          <w:numId w:val="2"/>
        </w:numPr>
        <w:tabs>
          <w:tab w:val="clear" w:pos="709"/>
          <w:tab w:val="left" w:pos="709" w:leader="none"/>
        </w:tabs>
        <w:bidi w:val="0"/>
        <w:spacing w:before="0" w:after="0"/>
        <w:ind w:hanging="283" w:start="709"/>
        <w:jc w:val="start"/>
        <w:rPr/>
      </w:pPr>
      <w:r>
        <w:rPr/>
        <w:t xml:space="preserve">Policy-Based Authorization </w:t>
      </w:r>
    </w:p>
    <w:p>
      <w:pPr>
        <w:pStyle w:val="BodyText"/>
        <w:numPr>
          <w:ilvl w:val="0"/>
          <w:numId w:val="2"/>
        </w:numPr>
        <w:tabs>
          <w:tab w:val="clear" w:pos="709"/>
          <w:tab w:val="left" w:pos="709" w:leader="none"/>
        </w:tabs>
        <w:bidi w:val="0"/>
        <w:spacing w:before="0" w:after="0"/>
        <w:ind w:hanging="283" w:start="709"/>
        <w:jc w:val="start"/>
        <w:rPr/>
      </w:pPr>
      <w:r>
        <w:rPr/>
        <w:t xml:space="preserve">Privilege Enforcement </w:t>
      </w:r>
    </w:p>
    <w:p>
      <w:pPr>
        <w:pStyle w:val="BodyText"/>
        <w:numPr>
          <w:ilvl w:val="0"/>
          <w:numId w:val="2"/>
        </w:numPr>
        <w:tabs>
          <w:tab w:val="clear" w:pos="709"/>
          <w:tab w:val="left" w:pos="709" w:leader="none"/>
        </w:tabs>
        <w:bidi w:val="0"/>
        <w:spacing w:before="0" w:after="0"/>
        <w:ind w:hanging="283" w:start="709"/>
        <w:jc w:val="start"/>
        <w:rPr/>
      </w:pPr>
      <w:r>
        <w:rPr/>
        <w:t xml:space="preserve">Secure Tool-Call Interception </w:t>
      </w:r>
    </w:p>
    <w:p>
      <w:pPr>
        <w:pStyle w:val="BodyText"/>
        <w:numPr>
          <w:ilvl w:val="0"/>
          <w:numId w:val="2"/>
        </w:numPr>
        <w:tabs>
          <w:tab w:val="clear" w:pos="709"/>
          <w:tab w:val="left" w:pos="709" w:leader="none"/>
        </w:tabs>
        <w:bidi w:val="0"/>
        <w:ind w:hanging="283" w:start="709"/>
        <w:jc w:val="start"/>
        <w:rPr/>
      </w:pPr>
      <w:r>
        <w:rPr/>
        <w:t xml:space="preserve">Comprehensive Audit Logging </w:t>
      </w:r>
    </w:p>
    <w:p>
      <w:pPr>
        <w:pStyle w:val="BodyText"/>
        <w:bidi w:val="0"/>
        <w:jc w:val="start"/>
        <w:rPr/>
      </w:pPr>
      <w:r>
        <w:rPr/>
        <w:t>before allowing any interaction with external tools or services.</w:t>
      </w:r>
    </w:p>
    <w:p>
      <w:pPr>
        <w:pStyle w:val="HorizontalLine"/>
        <w:bidi w:val="0"/>
        <w:jc w:val="start"/>
        <w:rPr/>
      </w:pPr>
      <w:r>
        <w:rPr/>
      </w:r>
    </w:p>
    <w:p>
      <w:pPr>
        <w:pStyle w:val="Heading1"/>
        <w:bidi w:val="0"/>
        <w:jc w:val="start"/>
        <w:rPr>
          <w:sz w:val="36"/>
          <w:szCs w:val="36"/>
        </w:rPr>
      </w:pPr>
      <w:r>
        <w:rPr>
          <w:sz w:val="36"/>
          <w:szCs w:val="36"/>
        </w:rPr>
        <w:t>10. Expected Novel Contribution</w:t>
      </w:r>
    </w:p>
    <w:p>
      <w:pPr>
        <w:pStyle w:val="BodyText"/>
        <w:bidi w:val="0"/>
        <w:jc w:val="start"/>
        <w:rPr/>
      </w:pPr>
      <w:r>
        <w:rPr/>
        <w:t xml:space="preserve">Unlike existing approaches that focus on a single security mechanism, the proposed research aims to develop an </w:t>
      </w:r>
      <w:r>
        <w:rPr>
          <w:rStyle w:val="Strong"/>
        </w:rPr>
        <w:t>integrated runtime security gateway</w:t>
      </w:r>
      <w:r>
        <w:rPr/>
        <w:t xml:space="preserve"> that combines multiple complementary defense layers into a unified architecture. The gateway will be evaluated using established benchmarks such as </w:t>
      </w:r>
      <w:r>
        <w:rPr>
          <w:rStyle w:val="Strong"/>
        </w:rPr>
        <w:t>AgentDojo</w:t>
      </w:r>
      <w:r>
        <w:rPr/>
        <w:t xml:space="preserve">, </w:t>
      </w:r>
      <w:r>
        <w:rPr>
          <w:rStyle w:val="Strong"/>
        </w:rPr>
        <w:t>InjecAgent</w:t>
      </w:r>
      <w:r>
        <w:rPr/>
        <w:t xml:space="preserve">, </w:t>
      </w:r>
      <w:r>
        <w:rPr>
          <w:rStyle w:val="Strong"/>
        </w:rPr>
        <w:t>Agent Security Bench (ASB)</w:t>
      </w:r>
      <w:r>
        <w:rPr/>
        <w:t xml:space="preserve">, and </w:t>
      </w:r>
      <w:r>
        <w:rPr>
          <w:rStyle w:val="Strong"/>
        </w:rPr>
        <w:t>MCPTox</w:t>
      </w:r>
      <w:r>
        <w:rPr/>
        <w:t xml:space="preserve">, enabling direct comparison with current state-of-the-art solutions including </w:t>
      </w:r>
      <w:r>
        <w:rPr>
          <w:rStyle w:val="Strong"/>
        </w:rPr>
        <w:t>CaMeL</w:t>
      </w:r>
      <w:r>
        <w:rPr/>
        <w:t xml:space="preserve">, </w:t>
      </w:r>
      <w:r>
        <w:rPr>
          <w:rStyle w:val="Strong"/>
        </w:rPr>
        <w:t>Progent</w:t>
      </w:r>
      <w:r>
        <w:rPr/>
        <w:t xml:space="preserve">, </w:t>
      </w:r>
      <w:r>
        <w:rPr>
          <w:rStyle w:val="Strong"/>
        </w:rPr>
        <w:t>IsolateGPT</w:t>
      </w:r>
      <w:r>
        <w:rPr/>
        <w:t xml:space="preserve">, and </w:t>
      </w:r>
      <w:r>
        <w:rPr>
          <w:rStyle w:val="Strong"/>
        </w:rPr>
        <w:t>GuardAgent</w:t>
      </w:r>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74"/>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4</Pages>
  <Words>820</Words>
  <Characters>5535</Characters>
  <CharactersWithSpaces>6287</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2026-08-03T22:35:35Z</dcterms:created>
  <dc:creator/>
  <dc:description/>
  <dc:language>en-US</dc:language>
  <cp:lastModifiedBy/>
  <dcterms:modified xsi:type="dcterms:W3CDTF">2026-08-03T22:37:24Z</dcterms:modified>
  <cp:revision>1</cp:revision>
  <dc:subject/>
  <dc:title/>
</cp:coreProperties>
</file>