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t xml:space="preserve"/>
      </w:r>
    </w:p>
    <w:p>
      <w:pPr>
        <w:spacing w:after="80"/>
      </w:pPr>
      <w:r>
        <w:rPr>
          <w:rFonts w:ascii="Arial" w:cs="Arial" w:eastAsia="Arial" w:hAnsi="Arial"/>
          <w:b/>
          <w:bCs/>
          <w:color w:val="1F4E79"/>
          <w:sz w:val="48"/>
          <w:szCs w:val="48"/>
        </w:rPr>
        <w:t xml:space="preserve">Product Requirements Document</w:t>
      </w:r>
    </w:p>
    <w:p>
      <w:pPr>
        <w:spacing w:after="80"/>
      </w:pPr>
      <w:r>
        <w:rPr>
          <w:rFonts w:ascii="Arial" w:cs="Arial" w:eastAsia="Arial" w:hAnsi="Arial"/>
          <w:color w:val="444444"/>
          <w:sz w:val="36"/>
          <w:szCs w:val="36"/>
        </w:rPr>
        <w:t xml:space="preserve">Medicare Coverage Intelligence Platform</w:t>
      </w:r>
    </w:p>
    <w:p>
      <w:pPr>
        <w:spacing w:after="80"/>
      </w:pPr>
      <w:r>
        <w:rPr>
          <w:rFonts w:ascii="Arial" w:cs="Arial" w:eastAsia="Arial" w:hAnsi="Arial"/>
          <w:i/>
          <w:iCs/>
          <w:color w:val="888888"/>
          <w:sz w:val="24"/>
          <w:szCs w:val="24"/>
        </w:rPr>
        <w:t xml:space="preserve">Phase 1: Coverage Policy Intelligence Agent  ·  Phase 2: Evidence vs Coverage Gap Analyzer</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80"/>
        <w:gridCol w:w="1880"/>
        <w:gridCol w:w="1800"/>
      </w:tblGrid>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Product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Medicare Coverage Intelligence Platform</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Status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 v1.0</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Domain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 Insurance / Utilization Management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Data sources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CMS NCDs/LCDs · PubMed (Phase 2)</w:t>
            </w:r>
          </w:p>
        </w:tc>
      </w:tr>
    </w:tbl>
    <w:p>
      <w:r>
        <w:br w:type="page"/>
      </w:r>
    </w:p>
    <w:p>
      <w:pPr>
        <w:pStyle w:val="Heading1"/>
      </w:pPr>
      <w:r>
        <w:rPr>
          <w:rFonts w:ascii="Arial" w:cs="Arial" w:eastAsia="Arial" w:hAnsi="Arial"/>
          <w:b/>
          <w:bCs/>
          <w:sz w:val="32"/>
          <w:szCs w:val="32"/>
        </w:rPr>
        <w:t xml:space="preserve">1. Problem &amp; Opportunity</w:t>
      </w:r>
    </w:p>
    <w:p>
      <w:pPr>
        <w:pStyle w:val="Heading2"/>
      </w:pPr>
      <w:r>
        <w:rPr>
          <w:rFonts w:ascii="Arial" w:cs="Arial" w:eastAsia="Arial" w:hAnsi="Arial"/>
          <w:b/>
          <w:bCs/>
          <w:sz w:val="26"/>
          <w:szCs w:val="26"/>
        </w:rPr>
        <w:t xml:space="preserve">1.1 The core problem</w:t>
      </w:r>
    </w:p>
    <w:p>
      <w:pPr>
        <w:spacing w:after="100"/>
      </w:pPr>
      <w:r>
        <w:rPr>
          <w:rFonts w:ascii="Arial" w:cs="Arial" w:eastAsia="Arial" w:hAnsi="Arial"/>
          <w:sz w:val="22"/>
          <w:szCs w:val="22"/>
        </w:rPr>
        <w:t xml:space="preserve">UM reviewers and medical policy teams at health plans spend significant time manually searching the CMS Medicare Coverage Database before making prior authorization decisions or writing denial letters. The CMS search interface is poor, NCD and LCD documents are dense legal text, and locating the correct policy requires knowing the exact CMS terminology — not the clinical terminology a reviewer would use.</w:t>
      </w:r>
    </w:p>
    <w:p>
      <w:pPr>
        <w:spacing w:after="120"/>
      </w:pPr>
      <w:r>
        <w:t xml:space="preserve"/>
      </w:r>
    </w:p>
    <w:p>
      <w:pPr>
        <w:spacing w:after="100"/>
      </w:pPr>
      <w:r>
        <w:rPr>
          <w:rFonts w:ascii="Arial" w:cs="Arial" w:eastAsia="Arial" w:hAnsi="Arial"/>
          <w:sz w:val="22"/>
          <w:szCs w:val="22"/>
        </w:rPr>
        <w:t xml:space="preserve">A second, related problem: Medicare coverage policies lag clinical evidence by 3-7 years. Plans default to existing CMS policy while strong evidence accumulates for newly indicated services. This creates a systematic gap that generates avoidable denials, drives appeals volume, and disadvantages members who need evidence-supported care.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18"/>
                <w:szCs w:val="18"/>
              </w:rPr>
              <w:t xml:space="preserve">PM principle</w:t>
            </w:r>
          </w:p>
        </w:tc>
        <w:tc>
          <w:tcPr>
            <w:tcW w:type="dxa" w:w="8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 solves the retrieval and synthesis problem: 'What does CMS cover for this?' Phase 2 solves the strategic problem: 'Where does what CMS covers diverge from what the evidence supports?' Build Phase 1 correctly and Phase 2 is an architectural extension, not a rebuild.</w:t>
            </w:r>
          </w:p>
        </w:tc>
      </w:tr>
    </w:tbl>
    <w:p>
      <w:pPr>
        <w:spacing w:after="120"/>
      </w:pPr>
      <w:r>
        <w:t xml:space="preserve"/>
      </w:r>
    </w:p>
    <w:p>
      <w:pPr>
        <w:pStyle w:val="Heading2"/>
      </w:pPr>
      <w:r>
        <w:rPr>
          <w:rFonts w:ascii="Arial" w:cs="Arial" w:eastAsia="Arial" w:hAnsi="Arial"/>
          <w:b/>
          <w:bCs/>
          <w:sz w:val="26"/>
          <w:szCs w:val="26"/>
        </w:rPr>
        <w:t xml:space="preserve">1.2 Why this is an AI problem, not a search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Answer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Why can't this be solved with better search?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Coverage questions are not keyword lookup tasks. A reviewer asking 'does Medicare cover SGLT-2 inhibitors for heart failure in a non-diabetic patient?' needs the system to reason about conditional coverage logic, drug class membership, and diagnosis specificity — not find a document containing those words.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What data exists to ground the model?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~400 NCDs and ~2,000+ LCDs are publicly available as structured XML from cms.gov/medicare-coverage-database. Plus the Medicare Benefit Policy Manual and CMS MLN articles. All public, all downloadable today. No data partnership required.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What is the cost of a wrong answer?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 An incorrect coverage determination — stating covered when policy says not covered, or vice versa — can result in a wrongful denial, a regulatory audit finding, or member harm. Every output must be verifiable against source policy with a direct link. Hallucination is not an acceptable failure mode.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Why now?</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CMS-0057-F (2024) mandated increased PA transparency. CMS is scrutinising whether denial decisions are evidence-based. Plans that can demonstrate systematic, documented coverage policy review have a compliance and audit advantage.</w:t>
            </w:r>
          </w:p>
        </w:tc>
      </w:tr>
    </w:tbl>
    <w:p>
      <w:pPr>
        <w:spacing w:after="120"/>
      </w:pPr>
      <w:r>
        <w:t xml:space="preserve"/>
      </w:r>
    </w:p>
    <w:p>
      <w:r>
        <w:br w:type="page"/>
      </w:r>
    </w:p>
    <w:p>
      <w:pPr>
        <w:pStyle w:val="Heading1"/>
      </w:pPr>
      <w:r>
        <w:rPr>
          <w:rFonts w:ascii="Arial" w:cs="Arial" w:eastAsia="Arial" w:hAnsi="Arial"/>
          <w:b/>
          <w:bCs/>
          <w:sz w:val="32"/>
          <w:szCs w:val="32"/>
        </w:rPr>
        <w:t xml:space="preserve">2. Users &amp; Jobs to Be Done</w:t>
      </w:r>
    </w:p>
    <w:p>
      <w:pPr>
        <w:pStyle w:val="Heading2"/>
      </w:pPr>
      <w:r>
        <w:rPr>
          <w:rFonts w:ascii="Arial" w:cs="Arial" w:eastAsia="Arial" w:hAnsi="Arial"/>
          <w:b/>
          <w:bCs/>
          <w:sz w:val="26"/>
          <w:szCs w:val="26"/>
        </w:rPr>
        <w:t xml:space="preserve">2.1 Primary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User segment</w:t>
            </w:r>
          </w:p>
        </w:tc>
        <w:tc>
          <w:tcPr>
            <w:tcW w:type="dxa" w:w="3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Job to be done</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Current pain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UM nurses / PA reviewers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Quickly determine whether a requested service meets Medicare medical necessity criteria before making a PA decision.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Manual search on cms.gov takes 15-30 min per complex query. CMS terminology differs from clinical terminology. Conditional coverage logic buried in dense documents.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Medical policy analysts</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Monitor coverage policies for accuracy and currency against current evidence. Update internal plan policies when evidence or CMS guidance changes.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No systematic tool to track where internal policies are out of step with CMS or where CMS is out of step with evidence. Relies on external consultants for periodic reviews at $200K-500K per engagement.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Appeals reviewers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Find clinical and policy evidence supporting or opposing a member appeal within a 30-72 hour window.</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Manual PubMed + CMS search under time pressure. Inconsistent evidence quality across reviewers. No structured output format for appeal documentation.</w:t>
            </w:r>
          </w:p>
        </w:tc>
      </w:tr>
    </w:tbl>
    <w:p>
      <w:pPr>
        <w:spacing w:after="120"/>
      </w:pPr>
      <w:r>
        <w:t xml:space="preserve"/>
      </w:r>
    </w:p>
    <w:p>
      <w:pPr>
        <w:pStyle w:val="Heading2"/>
      </w:pPr>
      <w:r>
        <w:rPr>
          <w:rFonts w:ascii="Arial" w:cs="Arial" w:eastAsia="Arial" w:hAnsi="Arial"/>
          <w:b/>
          <w:bCs/>
          <w:sz w:val="26"/>
          <w:szCs w:val="26"/>
        </w:rPr>
        <w:t xml:space="preserve">2.2 AI-specific user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633806"/>
                <w:sz w:val="18"/>
                <w:szCs w:val="18"/>
              </w:rPr>
              <w:t xml:space="preserve">Watch out</w:t>
            </w:r>
          </w:p>
        </w:tc>
        <w:tc>
          <w:tcPr>
            <w:tcW w:type="dxa" w:w="8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UM reviewers are high-stakes decision makers with low tolerance for AI overconfidence. A hallucinated coverage determination that gets acted on is worse than no tool at all. The product must surface its source, its confidence, and a direct link to the policy document on every single response. Trust is built slowly and destroyed instantly in this user segment.</w:t>
            </w:r>
          </w:p>
        </w:tc>
      </w:tr>
    </w:tbl>
    <w:p>
      <w:pPr>
        <w:spacing w:after="120"/>
      </w:pPr>
      <w:r>
        <w:t xml:space="preserve"/>
      </w:r>
    </w:p>
    <w:p>
      <w:pPr>
        <w:pStyle w:val="ListParagraph"/>
        <w:numPr>
          <w:ilvl w:val="0"/>
          <w:numId w:val="2"/>
        </w:numPr>
        <w:spacing w:after="80"/>
      </w:pPr>
      <w:r>
        <w:rPr>
          <w:rFonts w:ascii="Arial" w:cs="Arial" w:eastAsia="Arial" w:hAnsi="Arial"/>
          <w:b/>
          <w:bCs/>
          <w:sz w:val="22"/>
          <w:szCs w:val="22"/>
        </w:rPr>
        <w:t xml:space="preserve">Trust calibration:</w:t>
      </w:r>
      <w:r>
        <w:rPr>
          <w:rFonts w:ascii="Arial" w:cs="Arial" w:eastAsia="Arial" w:hAnsi="Arial"/>
          <w:sz w:val="22"/>
          <w:szCs w:val="22"/>
        </w:rPr>
        <w:t xml:space="preserve"> Reviewers will initially distrust outputs. Design for verification-first UX — show the source NCD/LCD before showing the synthesised answer.</w:t>
      </w:r>
    </w:p>
    <w:p>
      <w:pPr>
        <w:pStyle w:val="ListParagraph"/>
        <w:numPr>
          <w:ilvl w:val="0"/>
          <w:numId w:val="2"/>
        </w:numPr>
        <w:spacing w:after="80"/>
      </w:pPr>
      <w:r>
        <w:rPr>
          <w:rFonts w:ascii="Arial" w:cs="Arial" w:eastAsia="Arial" w:hAnsi="Arial"/>
          <w:b/>
          <w:bCs/>
          <w:sz w:val="22"/>
          <w:szCs w:val="22"/>
        </w:rPr>
        <w:t xml:space="preserve">Error mode asymmetry:</w:t>
      </w:r>
      <w:r>
        <w:rPr>
          <w:rFonts w:ascii="Arial" w:cs="Arial" w:eastAsia="Arial" w:hAnsi="Arial"/>
          <w:sz w:val="22"/>
          <w:szCs w:val="22"/>
        </w:rPr>
        <w:t xml:space="preserve"> Users are more accepting of 'I could not find a definitive answer' than of a confident wrong answer. When confidence is low, say so explicitly.</w:t>
      </w:r>
    </w:p>
    <w:p>
      <w:pPr>
        <w:pStyle w:val="ListParagraph"/>
        <w:numPr>
          <w:ilvl w:val="0"/>
          <w:numId w:val="2"/>
        </w:numPr>
        <w:spacing w:after="80"/>
      </w:pPr>
      <w:r>
        <w:rPr>
          <w:rFonts w:ascii="Arial" w:cs="Arial" w:eastAsia="Arial" w:hAnsi="Arial"/>
          <w:b/>
          <w:bCs/>
          <w:sz w:val="22"/>
          <w:szCs w:val="22"/>
        </w:rPr>
        <w:t xml:space="preserve">Domain vocabulary mismatch:</w:t>
      </w:r>
      <w:r>
        <w:rPr>
          <w:rFonts w:ascii="Arial" w:cs="Arial" w:eastAsia="Arial" w:hAnsi="Arial"/>
          <w:sz w:val="22"/>
          <w:szCs w:val="22"/>
        </w:rPr>
        <w:t xml:space="preserve"> Reviewers use clinical terms (empagliflozin, HFpEF, prior auth). CMS uses policy terms (HCPCS J0605, Medicare benefit category, coverage with evidence development). The retrieval system must bridge this vocabulary gap.</w:t>
      </w:r>
    </w:p>
    <w:p>
      <w:pPr>
        <w:spacing w:after="120"/>
      </w:pPr>
      <w:r>
        <w:t xml:space="preserve"/>
      </w:r>
    </w:p>
    <w:p>
      <w:r>
        <w:br w:type="page"/>
      </w:r>
    </w:p>
    <w:p>
      <w:pPr>
        <w:pStyle w:val="Heading1"/>
      </w:pPr>
      <w:r>
        <w:rPr>
          <w:rFonts w:ascii="Arial" w:cs="Arial" w:eastAsia="Arial" w:hAnsi="Arial"/>
          <w:b/>
          <w:bCs/>
          <w:sz w:val="32"/>
          <w:szCs w:val="32"/>
        </w:rPr>
        <w:t xml:space="preserve">3. AI Architecture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Decision</w:t>
            </w:r>
          </w:p>
        </w:tc>
        <w:tc>
          <w:tcPr>
            <w:tcW w:type="dxa" w:w="8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 uses RAG + prompt engineering. No agent loop required — coverage policy lookup is a retrieval and synthesis task, not a multi-step autonomous task. Agents are introduced in Phase 2 for the comparison workflow across two independent sources.</w:t>
            </w:r>
          </w:p>
        </w:tc>
      </w:tr>
    </w:tbl>
    <w:p>
      <w:pPr>
        <w:spacing w:after="120"/>
      </w:pPr>
      <w:r>
        <w:t xml:space="preserve"/>
      </w:r>
    </w:p>
    <w:p>
      <w:pPr>
        <w:pStyle w:val="Heading2"/>
      </w:pPr>
      <w:r>
        <w:rPr>
          <w:rFonts w:ascii="Arial" w:cs="Arial" w:eastAsia="Arial" w:hAnsi="Arial"/>
          <w:b/>
          <w:bCs/>
          <w:sz w:val="26"/>
          <w:szCs w:val="26"/>
        </w:rPr>
        <w:t xml:space="preserve">3.1 Architecture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Reasoning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Prompt engineering only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Partial — used for output format and constraints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GPT-4o has some Medicare knowledge but it is stale and cannot be cited. Cannot produce verifiable, policy-grounded answers without retrieval.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RAG over CMS NCDs/LCDs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YES — primary architecture for Phase 1</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2,400+ documents, well-structured, publicly available. RAG grounds every claim in a real, linkable policy document. Faithfulness is verifiable.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Agentic workflow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2 only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1 does not require autonomous decision loops. Phase 2 comparison synthesis (NCD/LCD vs PubMed) benefits from an agentic approach: search source A, search source B independently, then synthesise comparison.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Fine-tuning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Phase 4 (Month 6+)</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After 6 months of labeled reviewer corrections, fine-tune a smaller open-weight model on proprietary gap assessments. Reduces cost and improves domain-specific accuracy. Not needed to ship.</w:t>
            </w:r>
          </w:p>
        </w:tc>
      </w:tr>
    </w:tbl>
    <w:p>
      <w:pPr>
        <w:spacing w:after="120"/>
      </w:pPr>
      <w:r>
        <w:t xml:space="preserve"/>
      </w:r>
    </w:p>
    <w:p>
      <w:pPr>
        <w:pStyle w:val="Heading2"/>
      </w:pPr>
      <w:r>
        <w:rPr>
          <w:rFonts w:ascii="Arial" w:cs="Arial" w:eastAsia="Arial" w:hAnsi="Arial"/>
          <w:b/>
          <w:bCs/>
          <w:sz w:val="26"/>
          <w:szCs w:val="26"/>
        </w:rPr>
        <w:t xml:space="preserve">3.2 Phase 1 pipeline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 / model</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 &amp; threshold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1. Input validation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Rule-based filter + lightweight classifier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Block queries containing PHI (member IDs, names, DOBs). Flag queries with clinical terms that suggest a specific member rather than a policy question. Halt and return privacy warning.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2. Query embedding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text-embedding-3-small (OpenAI)</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Same model used to index NCD/LCD documents at ingestion time. Consistency is required — mismatched embedding models break retrieval.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3. NCD/LCD vector search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ChromaDB (dev) → Pinecone (prod)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Retrieve top 10 documents by cosine similarity. Similarity threshold: 0.72. Below threshold → return 'no matching coverage policy found' and halt. Do not generate from memory.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4. Evidence type filter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Metadata filter on retrieved documents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Prefer NCDs over LCDs when both exist for same procedure (NCDs are nationally binding; LCDs are regional). Surface MAC region for LCD results.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5. Context injection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Prompt template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Inject full NCD/LCD text for top 3 documents. Max 12,000 tokens of context. Instruction: 'Answer using only the provided policy documents. Cite the specific NCD or LCD ID for every claim. Do not state coverage status for anything not addressed in the provided documents.'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6. Answer generation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Claude Sonnet 4.6 or GPT-4o</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Structured output format: coverage status, policy ID cited, effective date, conditional criteria, geographic scope (NCD vs LCD + MAC region), direct link to cms.gov. Long context handling: Claude Sonnet preferred for full NCD text retrieval.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7. Faithfulness judge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Claude Haiku 4.5 or GPT-4o-mini</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Judge prompt: 'Does the answer contain any coverage determinations not supported by the provided policy documents? Score 0-1.' Threshold: 0.85. Below threshold → do not surface answer, route to human reviewer queue.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8. Response delivery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Streamlit with token streaming</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Stream synthesis tokens. Show retrieved policy documents in sidebar before answer appears. Clickable NCD/LCD IDs link to cms.gov. Confidence indicator visible.</w:t>
            </w:r>
          </w:p>
        </w:tc>
      </w:tr>
    </w:tbl>
    <w:p>
      <w:pPr>
        <w:spacing w:after="120"/>
      </w:pPr>
      <w:r>
        <w:t xml:space="preserve"/>
      </w:r>
    </w:p>
    <w:p>
      <w:r>
        <w:br w:type="page"/>
      </w:r>
    </w:p>
    <w:p>
      <w:pPr>
        <w:pStyle w:val="Heading1"/>
      </w:pPr>
      <w:r>
        <w:rPr>
          <w:rFonts w:ascii="Arial" w:cs="Arial" w:eastAsia="Arial" w:hAnsi="Arial"/>
          <w:b/>
          <w:bCs/>
          <w:sz w:val="32"/>
          <w:szCs w:val="32"/>
        </w:rPr>
        <w:t xml:space="preserve">4. North Star Metrics &amp;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18"/>
                <w:szCs w:val="18"/>
              </w:rPr>
              <w:t xml:space="preserve">PM principle</w:t>
            </w:r>
          </w:p>
        </w:tc>
        <w:tc>
          <w:tcPr>
            <w:tcW w:type="dxa" w:w="8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AI metrics (DAU, session length) are insufficient for a UM tool. The primary quality signal is whether coverage determinations are correct and verifiable. A single wrong determination acted upon by a reviewer is a more serious failure than 100 sessions with poor engagement metrics.</w:t>
            </w:r>
          </w:p>
        </w:tc>
      </w:tr>
    </w:tbl>
    <w:p>
      <w:pPr>
        <w:spacing w:after="120"/>
      </w:pPr>
      <w:r>
        <w:t xml:space="preserve"/>
      </w:r>
    </w:p>
    <w:p>
      <w:pPr>
        <w:pStyle w:val="Heading2"/>
      </w:pPr>
      <w:r>
        <w:rPr>
          <w:rFonts w:ascii="Arial" w:cs="Arial" w:eastAsia="Arial" w:hAnsi="Arial"/>
          <w:b/>
          <w:bCs/>
          <w:sz w:val="26"/>
          <w:szCs w:val="26"/>
        </w:rPr>
        <w:t xml:space="preserve">4.1 AI quality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80"/>
        <w:gridCol w:w="30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Threshold to ship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Faithfulness score</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of responses where every coverage determination is grounded in a cited NCD/LCD document. Scored by LLM judge on every response.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&gt; 90% (higher than standard — coverage determinations have legal implications)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Citation accuracy</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of cited NCD/LCD IDs that are real, accessible, and contain the claimed information. Verified by automated link-checking + spot audit.</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&gt; 95%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Answer relevance</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of responses that address the actual coverage question asked. Scored by LLM judge.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&gt; 85%</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Empty retrieval rate</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of queries where similarity score falls below threshold and no policy is returned. Tracks knowledge base coverage gaps.</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&lt; 15% (expected higher early; should fall as ingestion matures)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False coverage rate</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of responses that state 'covered' for a service that is not covered per the cited policy. Manually audited on 10% sample.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 — this is the critical failure mode. Any instance is a production incident.</w:t>
            </w:r>
          </w:p>
        </w:tc>
      </w:tr>
    </w:tbl>
    <w:p>
      <w:pPr>
        <w:spacing w:after="120"/>
      </w:pPr>
      <w:r>
        <w:t xml:space="preserve"/>
      </w:r>
    </w:p>
    <w:p>
      <w:pPr>
        <w:pStyle w:val="Heading2"/>
      </w:pPr>
      <w:r>
        <w:rPr>
          <w:rFonts w:ascii="Arial" w:cs="Arial" w:eastAsia="Arial" w:hAnsi="Arial"/>
          <w:b/>
          <w:bCs/>
          <w:sz w:val="26"/>
          <w:szCs w:val="26"/>
        </w:rPr>
        <w:t xml:space="preserve">4.2 Operational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80"/>
        <w:gridCol w:w="30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Query response time p95</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95th percentile end-to-end latency from query submission to first token rendered.</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 8 seconds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Cost per query</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Total LLM cost (embedding + generation + judge) per user query.</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&lt; $0.06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Human review escalation rate</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of queries routed to human reviewer due to low faithfulness score or uncertain retrieval.</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 10%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Reviewer correction rate</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of human-reviewed responses where reviewer changes or overrides the AI output. Primary data flywheel signal.</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Track only — no target (corrections are training data)</w:t>
            </w:r>
          </w:p>
        </w:tc>
      </w:tr>
    </w:tbl>
    <w:p>
      <w:pPr>
        <w:spacing w:after="120"/>
      </w:pPr>
      <w:r>
        <w:t xml:space="preserve"/>
      </w:r>
    </w:p>
    <w:p>
      <w:r>
        <w:br w:type="page"/>
      </w:r>
    </w:p>
    <w:p>
      <w:pPr>
        <w:pStyle w:val="Heading1"/>
      </w:pPr>
      <w:r>
        <w:rPr>
          <w:rFonts w:ascii="Arial" w:cs="Arial" w:eastAsia="Arial" w:hAnsi="Arial"/>
          <w:b/>
          <w:bCs/>
          <w:sz w:val="32"/>
          <w:szCs w:val="32"/>
        </w:rPr>
        <w:t xml:space="preserve">5. Evaluation Framework</w:t>
      </w:r>
    </w:p>
    <w:p>
      <w:pPr>
        <w:pStyle w:val="Heading2"/>
      </w:pPr>
      <w:r>
        <w:rPr>
          <w:rFonts w:ascii="Arial" w:cs="Arial" w:eastAsia="Arial" w:hAnsi="Arial"/>
          <w:b/>
          <w:bCs/>
          <w:sz w:val="26"/>
          <w:szCs w:val="26"/>
        </w:rPr>
        <w:t xml:space="preserve">5.1 Golden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Dataset size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 coverage questions at launch. 500 target by Month 3. Build from: real UM reviewer queries (anonymised), synthetic questions generated by prompting GPT-4o to generate clinical coverage questions from each NCD, and known edge cases (conditional coverage, CED, geographic variation).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Ground truth source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Each question has: the correct NCD or LCD ID that answers it, the correct coverage determination (covered / not covered / covered with conditions / covered with evidence development), and the specific conditional criteria if applicable. Validated by a UM-knowledgeable reviewer before inclusion in dataset.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Special test cases required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Queries where NCD and LCD conflict for same procedure. 2) Queries with CED requirements. 3) Queries with geographic variation across MACs. 4) Queries where clinical term does not match CMS policy term (vocabulary gap test). 5) Queries for services with no NCD/LCD (expected empty retrieval).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Storage format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JSONL: {query, expected_ncd_lcd_id, expected_coverage_status, expected_conditions, retrieved_docs, generated_answer, faithfulness_score, citation_accuracy, reviewer_label, reviewer_notes, timestamp}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Refresh cadence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Monthly. Add 20-30 new cases per month from production queries that triggered human review.</w:t>
            </w:r>
          </w:p>
        </w:tc>
      </w:tr>
    </w:tbl>
    <w:p>
      <w:pPr>
        <w:spacing w:after="120"/>
      </w:pPr>
      <w:r>
        <w:t xml:space="preserve"/>
      </w:r>
    </w:p>
    <w:p>
      <w:pPr>
        <w:pStyle w:val="Heading2"/>
      </w:pPr>
      <w:r>
        <w:rPr>
          <w:rFonts w:ascii="Arial" w:cs="Arial" w:eastAsia="Arial" w:hAnsi="Arial"/>
          <w:b/>
          <w:bCs/>
          <w:sz w:val="26"/>
          <w:szCs w:val="26"/>
        </w:rPr>
        <w:t xml:space="preserve">5.2 Automated evaluation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Faithfulness judge prompt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'You are evaluating whether an AI-generated Medicare coverage summary is fully grounded in the provided NCD/LCD policy documents. Review each coverage determination stated in the answer. For each one, identify whether it is explicitly supported by the provided policy text. Return: faithfulness_score (0-1), unsupported_claims (list), reasoning.'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Citation accuracy check</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After generation, programmatically fetch each cited NCD/LCD ID from cms.gov API. Verify: document exists, effective date matches claim, coverage language matches claim. Flag any citation that fails verification.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Evaluation trigger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 full golden dataset evaluation on every prompt change, model swap, or retrieval parameter change. Nightly run in production on 5% random sample.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Regression gate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Block deployment if faithfulness drops &gt; 2% or citation accuracy drops &gt; 1% vs. prior baseline. These are tighter gates than standard AI products — the legal implications of coverage determination errors warrant extra caution.</w:t>
            </w:r>
          </w:p>
        </w:tc>
      </w:tr>
    </w:tbl>
    <w:p>
      <w:pPr>
        <w:spacing w:after="120"/>
      </w:pPr>
      <w:r>
        <w:t xml:space="preserve"/>
      </w:r>
    </w:p>
    <w:p>
      <w:r>
        <w:br w:type="page"/>
      </w:r>
    </w:p>
    <w:p>
      <w:pPr>
        <w:pStyle w:val="Heading1"/>
      </w:pPr>
      <w:r>
        <w:rPr>
          <w:rFonts w:ascii="Arial" w:cs="Arial" w:eastAsia="Arial" w:hAnsi="Arial"/>
          <w:b/>
          <w:bCs/>
          <w:sz w:val="32"/>
          <w:szCs w:val="32"/>
        </w:rPr>
        <w:t xml:space="preserve">6. Data Strategy &amp; Flywheel</w:t>
      </w:r>
    </w:p>
    <w:p>
      <w:pPr>
        <w:pStyle w:val="Heading2"/>
      </w:pPr>
      <w:r>
        <w:rPr>
          <w:rFonts w:ascii="Arial" w:cs="Arial" w:eastAsia="Arial" w:hAnsi="Arial"/>
          <w:b/>
          <w:bCs/>
          <w:sz w:val="26"/>
          <w:szCs w:val="26"/>
        </w:rPr>
        <w:t xml:space="preserve">6.1 Phase 1 data sources (all public)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80"/>
        <w:gridCol w:w="368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3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Access method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CMS Medicare Coverage Database — NCDs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~400 National Coverage Determinations. Nationally binding. Supersede LCDs.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cms.gov/medicare-coverage-database. Downloadable as structured XML. Automated ingestion via CMS API.</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CMS Medicare Coverage Database — LCDs</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~2,000+ Local Coverage Determinations by MAC region. More granular than NCDs.</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Same database. Include MAC region metadata — critical for geographic variation handling.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Medicare Benefit Policy Manual</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CMS benefit category definitions and coverage rules. Chapters downloadable as PDF.</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cms.gov/manuals/. Parse chapter by chapter. High value for benefit category classification.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CMS MLN Articles</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Clarification articles published by CMS explaining coverage policies in plain language. Good bridging vocabulary between clinical and policy terminology.</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cms.gov/outreach-and-education/. Useful for vocabulary mapping between clinical terms and CMS terminology.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PubMed (Phase 2 only)</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35M+ medical research papers. API access via NCBI E-utilities. Free, no auth required for standard access.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Added in Phase 2 as second retrieval source for evidence vs. coverage comparison.</w:t>
            </w:r>
          </w:p>
        </w:tc>
      </w:tr>
    </w:tbl>
    <w:p>
      <w:pPr>
        <w:spacing w:after="120"/>
      </w:pPr>
      <w:r>
        <w:t xml:space="preserve"/>
      </w:r>
    </w:p>
    <w:p>
      <w:pPr>
        <w:pStyle w:val="Heading2"/>
      </w:pPr>
      <w:r>
        <w:rPr>
          <w:rFonts w:ascii="Arial" w:cs="Arial" w:eastAsia="Arial" w:hAnsi="Arial"/>
          <w:b/>
          <w:bCs/>
          <w:sz w:val="26"/>
          <w:szCs w:val="26"/>
        </w:rPr>
        <w:t xml:space="preserve">6.2 Cold start — no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18"/>
                <w:szCs w:val="18"/>
              </w:rPr>
              <w:t xml:space="preserve">PM principle</w:t>
            </w:r>
          </w:p>
        </w:tc>
        <w:tc>
          <w:tcPr>
            <w:tcW w:type="dxa" w:w="8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This project has no cold start problem. All CMS data is public and available today. The vector database can be fully seeded before a single user interaction. This is a significant advantage over most AI products — you ship with a complete knowledge base, not an empty one.</w:t>
            </w:r>
          </w:p>
        </w:tc>
      </w:tr>
    </w:tbl>
    <w:p>
      <w:pPr>
        <w:spacing w:after="120"/>
      </w:pPr>
      <w:r>
        <w:t xml:space="preserve"/>
      </w:r>
    </w:p>
    <w:p>
      <w:pPr>
        <w:pStyle w:val="ListParagraph"/>
        <w:numPr>
          <w:ilvl w:val="0"/>
          <w:numId w:val="2"/>
        </w:numPr>
        <w:spacing w:after="80"/>
      </w:pPr>
      <w:r>
        <w:rPr>
          <w:rFonts w:ascii="Arial" w:cs="Arial" w:eastAsia="Arial" w:hAnsi="Arial"/>
          <w:b/>
          <w:bCs/>
          <w:sz w:val="22"/>
          <w:szCs w:val="22"/>
        </w:rPr>
        <w:t xml:space="preserve">Week 1 ingestion target:</w:t>
      </w:r>
      <w:r>
        <w:rPr>
          <w:rFonts w:ascii="Arial" w:cs="Arial" w:eastAsia="Arial" w:hAnsi="Arial"/>
          <w:sz w:val="22"/>
          <w:szCs w:val="22"/>
        </w:rPr>
        <w:t xml:space="preserve"> All ~400 NCDs fully indexed with metadata (policy ID, effective date, ICD-10 codes, HCPCS codes, coverage status).</w:t>
      </w:r>
    </w:p>
    <w:p>
      <w:pPr>
        <w:pStyle w:val="ListParagraph"/>
        <w:numPr>
          <w:ilvl w:val="0"/>
          <w:numId w:val="2"/>
        </w:numPr>
        <w:spacing w:after="80"/>
      </w:pPr>
      <w:r>
        <w:rPr>
          <w:rFonts w:ascii="Arial" w:cs="Arial" w:eastAsia="Arial" w:hAnsi="Arial"/>
          <w:b/>
          <w:bCs/>
          <w:sz w:val="22"/>
          <w:szCs w:val="22"/>
        </w:rPr>
        <w:t xml:space="preserve">Week 2 ingestion target:</w:t>
      </w:r>
      <w:r>
        <w:rPr>
          <w:rFonts w:ascii="Arial" w:cs="Arial" w:eastAsia="Arial" w:hAnsi="Arial"/>
          <w:sz w:val="22"/>
          <w:szCs w:val="22"/>
        </w:rPr>
        <w:t xml:space="preserve"> All ~2,000+ LCDs indexed with MAC region metadata.</w:t>
      </w:r>
    </w:p>
    <w:p>
      <w:pPr>
        <w:pStyle w:val="ListParagraph"/>
        <w:numPr>
          <w:ilvl w:val="0"/>
          <w:numId w:val="2"/>
        </w:numPr>
        <w:spacing w:after="80"/>
      </w:pPr>
      <w:r>
        <w:rPr>
          <w:rFonts w:ascii="Arial" w:cs="Arial" w:eastAsia="Arial" w:hAnsi="Arial"/>
          <w:b/>
          <w:bCs/>
          <w:sz w:val="22"/>
          <w:szCs w:val="22"/>
        </w:rPr>
        <w:t xml:space="preserve">Week 3 ingestion target:</w:t>
      </w:r>
      <w:r>
        <w:rPr>
          <w:rFonts w:ascii="Arial" w:cs="Arial" w:eastAsia="Arial" w:hAnsi="Arial"/>
          <w:sz w:val="22"/>
          <w:szCs w:val="22"/>
        </w:rPr>
        <w:t xml:space="preserve"> Medicare Benefit Policy Manual chapters. CMS MLN articles for vocabulary bridging.</w:t>
      </w:r>
    </w:p>
    <w:p>
      <w:pPr>
        <w:pStyle w:val="ListParagraph"/>
        <w:numPr>
          <w:ilvl w:val="0"/>
          <w:numId w:val="2"/>
        </w:numPr>
        <w:spacing w:after="80"/>
      </w:pPr>
      <w:r>
        <w:rPr>
          <w:rFonts w:ascii="Arial" w:cs="Arial" w:eastAsia="Arial" w:hAnsi="Arial"/>
          <w:b/>
          <w:bCs/>
          <w:sz w:val="22"/>
          <w:szCs w:val="22"/>
        </w:rPr>
        <w:t xml:space="preserve">Refresh cadence:</w:t>
      </w:r>
      <w:r>
        <w:rPr>
          <w:rFonts w:ascii="Arial" w:cs="Arial" w:eastAsia="Arial" w:hAnsi="Arial"/>
          <w:sz w:val="22"/>
          <w:szCs w:val="22"/>
        </w:rPr>
        <w:t xml:space="preserve"> CMS publishes NCD/LCD updates periodically. Set up automated weekly diff-check against CMS database. Re-index any updated documents within 48 hours of publication.</w:t>
      </w:r>
    </w:p>
    <w:p>
      <w:pPr>
        <w:spacing w:after="120"/>
      </w:pPr>
      <w:r>
        <w:t xml:space="preserve"/>
      </w:r>
    </w:p>
    <w:p>
      <w:pPr>
        <w:pStyle w:val="Heading2"/>
      </w:pPr>
      <w:r>
        <w:rPr>
          <w:rFonts w:ascii="Arial" w:cs="Arial" w:eastAsia="Arial" w:hAnsi="Arial"/>
          <w:b/>
          <w:bCs/>
          <w:sz w:val="26"/>
          <w:szCs w:val="26"/>
        </w:rPr>
        <w:t xml:space="preserve">6.3 Data flywheel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80"/>
        <w:gridCol w:w="348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Signal captured</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it compounds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Phase 1 (Months 1-3)</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Reviewer corrections logged in JSONL. Human review escalations logged with reason. Query patterns (what reviewers ask most) logged for golden dataset expansion.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Corrections become labeled training examples. Query patterns reveal knowledge gaps. Both improve retrieval and generation quality.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Phase 2 (Months 3-5)</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Gap assessments validated by medical policy analysts. Analyst accept / modify / reject decisions logged with reasoning.</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Validated gap assessments become the proprietary labeled dataset no competitor can replicate.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Phase 3 (Months 5-6)</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Aggregate correction patterns used to identify systematic retrieval failures (e.g. vocabulary gaps, conditional logic errors).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Systematic failures identified and fixed. Fine-tuning dataset reaches sufficient size for domain-specific model.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Phase 4 (Month 6+)</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Fine-tune open-weight model (e.g. Llama 3 or Mistral) on proprietary correction + gap dataset. Deploy as primary generation model.</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API cost reduced 5-10x. Domain accuracy improves. Competitive moat established — model trained on proprietary data that no competitor has.</w:t>
            </w:r>
          </w:p>
        </w:tc>
      </w:tr>
    </w:tbl>
    <w:p>
      <w:pPr>
        <w:spacing w:after="120"/>
      </w:pPr>
      <w:r>
        <w:t xml:space="preserve"/>
      </w:r>
    </w:p>
    <w:p>
      <w:r>
        <w:br w:type="page"/>
      </w:r>
    </w:p>
    <w:p>
      <w:pPr>
        <w:pStyle w:val="Heading1"/>
      </w:pPr>
      <w:r>
        <w:rPr>
          <w:rFonts w:ascii="Arial" w:cs="Arial" w:eastAsia="Arial" w:hAnsi="Arial"/>
          <w:b/>
          <w:bCs/>
          <w:sz w:val="32"/>
          <w:szCs w:val="32"/>
        </w:rPr>
        <w:t xml:space="preserve">7. Human-in-the-Loop (HITL)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633806"/>
                <w:sz w:val="18"/>
                <w:szCs w:val="18"/>
              </w:rPr>
              <w:t xml:space="preserve">Watch out</w:t>
            </w:r>
          </w:p>
        </w:tc>
        <w:tc>
          <w:tcPr>
            <w:tcW w:type="dxa" w:w="8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This product must never autonomously communicate a coverage determination to a member or provider. Every output is informational support for a human decision-maker. HITL is not optional UX polish here — it is a regulatory and liability requirement.</w:t>
            </w:r>
          </w:p>
        </w:tc>
      </w:tr>
    </w:tbl>
    <w:p>
      <w:pPr>
        <w:spacing w:after="120"/>
      </w:pPr>
      <w:r>
        <w:t xml:space="preserve"/>
      </w:r>
    </w:p>
    <w:p>
      <w:pPr>
        <w:pStyle w:val="Heading2"/>
      </w:pPr>
      <w:r>
        <w:rPr>
          <w:rFonts w:ascii="Arial" w:cs="Arial" w:eastAsia="Arial" w:hAnsi="Arial"/>
          <w:b/>
          <w:bCs/>
          <w:sz w:val="26"/>
          <w:szCs w:val="26"/>
        </w:rPr>
        <w:t xml:space="preserve">7.1 HITL checkpoints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80"/>
        <w:gridCol w:w="42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Checkpoint</w:t>
            </w:r>
          </w:p>
        </w:tc>
        <w:tc>
          <w:tcPr>
            <w:tcW w:type="dxa" w:w="2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Trigger condition</w:t>
            </w:r>
          </w:p>
        </w:tc>
        <w:tc>
          <w:tcPr>
            <w:tcW w:type="dxa" w:w="4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Human action &amp; SLA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Low faithfulness flag</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Faithfulness judge scores response &lt; 0.85. Answer not surfaced to reviewer.</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Senior UM reviewer or medical policy analyst reviews flagged response. Options: approve with edits, reject, escalate to medical director. SLA: 4 business hours.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Citation verification failure</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Automated check finds cited NCD/LCD ID does not exist, is superseded, or does not contain the claimed coverage language.</w:t>
            </w:r>
          </w:p>
        </w:tc>
        <w:tc>
          <w:tcPr>
            <w:tcW w:type="dxa" w:w="4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Immediate halt. Do not surface response. Log as critical evaluation failure. Route to engineering + clinical review. SLA: same business day.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'Not covered' determination on high-dollar service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Response concludes service is not covered AND the service is on a pre-defined high-dollar service list (e.g. CAR-T, gene therapy, transplants).</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Flag for medical director review before any denial letter is drafted using this output. SLA: 2 business hours.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Geographic variation detected</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Retrieved policy is an LCD (regional) rather than NCD (national). Coverage may differ by MAC region.</w:t>
            </w:r>
          </w:p>
        </w:tc>
        <w:tc>
          <w:tcPr>
            <w:tcW w:type="dxa" w:w="4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Surface MAC region prominently in output. Reviewer must confirm member's MAC region before acting on coverage determination.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Novel query — no policy found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Similarity score falls below 0.72. No matching NCD/LCD retrieved.</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Return structured 'no policy found' message. Log query for golden dataset expansion. Route to medical policy team for manual review. Never generate coverage opinion from model memory.</w:t>
            </w:r>
          </w:p>
        </w:tc>
      </w:tr>
    </w:tbl>
    <w:p>
      <w:pPr>
        <w:spacing w:after="120"/>
      </w:pPr>
      <w:r>
        <w:t xml:space="preserve"/>
      </w:r>
    </w:p>
    <w:p>
      <w:r>
        <w:br w:type="page"/>
      </w:r>
    </w:p>
    <w:p>
      <w:pPr>
        <w:pStyle w:val="Heading1"/>
      </w:pPr>
      <w:r>
        <w:rPr>
          <w:rFonts w:ascii="Arial" w:cs="Arial" w:eastAsia="Arial" w:hAnsi="Arial"/>
          <w:b/>
          <w:bCs/>
          <w:sz w:val="32"/>
          <w:szCs w:val="32"/>
        </w:rPr>
        <w:t xml:space="preserve">8. Failure Modes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Failure mode</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it manifests</w:t>
            </w:r>
          </w:p>
        </w:tc>
        <w:tc>
          <w:tcPr>
            <w:tcW w:type="dxa" w:w="3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Wrong NCD/LCD retrieved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Agent retrieves a coverage policy for a similar but different procedure or drug class. Reviewer acts on incorrect policy.</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 requirement: display full NCD/LCD title and ID before synthesis. Reviewer must see which document was used. Citation link enables instant verification at cms.gov.</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Outdated policy cited</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NCD was updated but old version is still in the vector database. Coverage determination reflects superseded policy.</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Weekly automated diff-check against CMS database. Re-index updated documents within 48 hours. Each document metadata includes version date. Surface version date prominently in every response.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Conditional coverage missed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'Covered if criteria A and B are met, except in circumstance C' synthesised as simply 'covered'.</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Structured output format requires explicit conditional criteria field. Judge evaluates whether conditions are preserved in synthesis, not just coverage status.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Vocabulary gap mismatch</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Reviewer asks about 'Ozempic for obesity' — policy refers to 'semaglutide, HCPCS J0223, anti-obesity medication'. Retrieval fails to connect clinical term to policy term.</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Index CMS MLN articles as vocabulary bridge. Add synonym expansion step before embedding. Track empty retrieval queries — they reveal vocabulary gaps.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Geographic variation missed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LCD retrieved applies only to Jurisdiction 15 (MAC region). Reviewer in Jurisdiction 5 applies it incorrectly.</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MAC region surfaced prominently in every LCD response. Warning: 'This LCD applies to [MAC region] only. Verify your jurisdiction.' Never flatten geographic variation.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PHI in query</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Reviewer pastes a full prior auth request including member name, DOB, or member ID into the query field.</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Input validation step screens for PHI patterns before any data is sent to LLM or stored. Flag and block with privacy warning. Log the detection (not the content) for compliance audit.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Prompt injection via policy document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Malicious or corrupt NCD/LCD text instructs model to override coverage determination.</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Document sanitisation at ingestion time. Output validation before delivery. Separate system prompt from retrieved context in prompt construction.</w:t>
            </w:r>
          </w:p>
        </w:tc>
      </w:tr>
    </w:tbl>
    <w:p>
      <w:pPr>
        <w:spacing w:after="120"/>
      </w:pPr>
      <w:r>
        <w:t xml:space="preserve"/>
      </w:r>
    </w:p>
    <w:p>
      <w:r>
        <w:br w:type="page"/>
      </w:r>
    </w:p>
    <w:p>
      <w:pPr>
        <w:pStyle w:val="Heading1"/>
      </w:pPr>
      <w:r>
        <w:rPr>
          <w:rFonts w:ascii="Arial" w:cs="Arial" w:eastAsia="Arial" w:hAnsi="Arial"/>
          <w:b/>
          <w:bCs/>
          <w:sz w:val="32"/>
          <w:szCs w:val="32"/>
        </w:rPr>
        <w:t xml:space="preserve">9. UX Considerations</w:t>
      </w:r>
    </w:p>
    <w:p>
      <w:pPr>
        <w:pStyle w:val="Heading2"/>
      </w:pPr>
      <w:r>
        <w:rPr>
          <w:rFonts w:ascii="Arial" w:cs="Arial" w:eastAsia="Arial" w:hAnsi="Arial"/>
          <w:b/>
          <w:bCs/>
          <w:sz w:val="26"/>
          <w:szCs w:val="26"/>
        </w:rPr>
        <w:t xml:space="preserve">9.1 Design principles for this user segment</w:t>
      </w:r>
    </w:p>
    <w:p>
      <w:pPr>
        <w:pStyle w:val="ListParagraph"/>
        <w:numPr>
          <w:ilvl w:val="0"/>
          <w:numId w:val="2"/>
        </w:numPr>
        <w:spacing w:after="80"/>
      </w:pPr>
      <w:r>
        <w:rPr>
          <w:rFonts w:ascii="Arial" w:cs="Arial" w:eastAsia="Arial" w:hAnsi="Arial"/>
          <w:b/>
          <w:bCs/>
          <w:sz w:val="22"/>
          <w:szCs w:val="22"/>
        </w:rPr>
        <w:t xml:space="preserve">Verification before trust:</w:t>
      </w:r>
      <w:r>
        <w:rPr>
          <w:rFonts w:ascii="Arial" w:cs="Arial" w:eastAsia="Arial" w:hAnsi="Arial"/>
          <w:sz w:val="22"/>
          <w:szCs w:val="22"/>
        </w:rPr>
        <w:t xml:space="preserve"> Show which NCD/LCD was retrieved before showing the synthesised answer. Reviewers build trust by verifying sources, not by seeing impressive-looking outputs.</w:t>
      </w:r>
    </w:p>
    <w:p>
      <w:pPr>
        <w:pStyle w:val="ListParagraph"/>
        <w:numPr>
          <w:ilvl w:val="0"/>
          <w:numId w:val="2"/>
        </w:numPr>
        <w:spacing w:after="80"/>
      </w:pPr>
      <w:r>
        <w:rPr>
          <w:rFonts w:ascii="Arial" w:cs="Arial" w:eastAsia="Arial" w:hAnsi="Arial"/>
          <w:b/>
          <w:bCs/>
          <w:sz w:val="22"/>
          <w:szCs w:val="22"/>
        </w:rPr>
        <w:t xml:space="preserve">Explicit uncertainty:</w:t>
      </w:r>
      <w:r>
        <w:rPr>
          <w:rFonts w:ascii="Arial" w:cs="Arial" w:eastAsia="Arial" w:hAnsi="Arial"/>
          <w:sz w:val="22"/>
          <w:szCs w:val="22"/>
        </w:rPr>
        <w:t xml:space="preserve"> When the system is uncertain, say so clearly. 'No matching Medicare coverage policy found for this query' is a correct, useful output. A confident wrong answer is not.</w:t>
      </w:r>
    </w:p>
    <w:p>
      <w:pPr>
        <w:pStyle w:val="ListParagraph"/>
        <w:numPr>
          <w:ilvl w:val="0"/>
          <w:numId w:val="2"/>
        </w:numPr>
        <w:spacing w:after="80"/>
      </w:pPr>
      <w:r>
        <w:rPr>
          <w:rFonts w:ascii="Arial" w:cs="Arial" w:eastAsia="Arial" w:hAnsi="Arial"/>
          <w:b/>
          <w:bCs/>
          <w:sz w:val="22"/>
          <w:szCs w:val="22"/>
        </w:rPr>
        <w:t xml:space="preserve">Framing discipline:</w:t>
      </w:r>
      <w:r>
        <w:rPr>
          <w:rFonts w:ascii="Arial" w:cs="Arial" w:eastAsia="Arial" w:hAnsi="Arial"/>
          <w:sz w:val="22"/>
          <w:szCs w:val="22"/>
        </w:rPr>
        <w:t xml:space="preserve"> Every response must include the disclaimer: 'This output is for informational support only. Coverage determinations require clinical judgment and must be reviewed by a qualified professional before any action is taken.'</w:t>
      </w:r>
    </w:p>
    <w:p>
      <w:pPr>
        <w:pStyle w:val="ListParagraph"/>
        <w:numPr>
          <w:ilvl w:val="0"/>
          <w:numId w:val="2"/>
        </w:numPr>
        <w:spacing w:after="80"/>
      </w:pPr>
      <w:r>
        <w:rPr>
          <w:rFonts w:ascii="Arial" w:cs="Arial" w:eastAsia="Arial" w:hAnsi="Arial"/>
          <w:b/>
          <w:bCs/>
          <w:sz w:val="22"/>
          <w:szCs w:val="22"/>
        </w:rPr>
        <w:t xml:space="preserve">Geographic salience:</w:t>
      </w:r>
      <w:r>
        <w:rPr>
          <w:rFonts w:ascii="Arial" w:cs="Arial" w:eastAsia="Arial" w:hAnsi="Arial"/>
          <w:sz w:val="22"/>
          <w:szCs w:val="22"/>
        </w:rPr>
        <w:t xml:space="preserve"> MAC region must be visually prominent for LCD results. Reviewers habitually overlook geographic scope — the UI must make it impossible to miss.</w:t>
      </w:r>
    </w:p>
    <w:p>
      <w:pPr>
        <w:spacing w:after="120"/>
      </w:pPr>
      <w:r>
        <w:t xml:space="preserve"/>
      </w:r>
    </w:p>
    <w:p>
      <w:pPr>
        <w:pStyle w:val="Heading2"/>
      </w:pPr>
      <w:r>
        <w:rPr>
          <w:rFonts w:ascii="Arial" w:cs="Arial" w:eastAsia="Arial" w:hAnsi="Arial"/>
          <w:b/>
          <w:bCs/>
          <w:sz w:val="26"/>
          <w:szCs w:val="26"/>
        </w:rPr>
        <w:t xml:space="preserve">9.2 Latency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UX approach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Response time &lt; 4 seconds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Direct delivery. No intermediate state needed.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Response time 4-10 seconds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Show retrieved NCD/LCD document titles immediately after retrieval (before synthesis completes). Reviewer sees what is being used while synthesis generates. Reduces perceived wait and enables early verification.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Response time &gt; 10 seconds (complex multi-document synthesis)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Progress indicator: 'Retrieving coverage policies... Synthesising answer... Verifying citations.' Show each stage as it completes. Stream synthesis tokens once generation begins.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Faithfulness check fails (response blocked)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 found relevant coverage policies but could not generate a sufficiently reliable summary. The retrieved policies are: [list with links]. Please review directly.' Never hide the failure — surface the raw sources.</w:t>
            </w:r>
          </w:p>
        </w:tc>
      </w:tr>
    </w:tbl>
    <w:p>
      <w:pPr>
        <w:spacing w:after="120"/>
      </w:pPr>
      <w:r>
        <w:t xml:space="preserve"/>
      </w:r>
    </w:p>
    <w:p>
      <w:pPr>
        <w:pStyle w:val="Heading2"/>
      </w:pPr>
      <w:r>
        <w:rPr>
          <w:rFonts w:ascii="Arial" w:cs="Arial" w:eastAsia="Arial" w:hAnsi="Arial"/>
          <w:b/>
          <w:bCs/>
          <w:sz w:val="26"/>
          <w:szCs w:val="26"/>
        </w:rPr>
        <w:t xml:space="preserve">9.3 Implicit feedback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to capture &amp; what it means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Reviewer clicks through to cms.gov link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Positive signal — answer was useful enough to verify. Log with query and response.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Reviewer copies answer text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Strong positive signal — answer is being used. Log clipboard event.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Reviewer triggers human review escalation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Negative signal — reviewer did not trust the output. Log full session as correction candidate.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Reviewer types follow-up question immediately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Partial negative — answer was incomplete. Follow-up query + original context = pair for golden dataset.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Session abandoned &lt; 15 seconds after response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Negative — answer was wrong or irrelevant. Log as negative training candidate.</w:t>
            </w:r>
          </w:p>
        </w:tc>
      </w:tr>
    </w:tbl>
    <w:p>
      <w:pPr>
        <w:spacing w:after="120"/>
      </w:pPr>
      <w:r>
        <w:t xml:space="preserve"/>
      </w:r>
    </w:p>
    <w:p>
      <w:r>
        <w:br w:type="page"/>
      </w:r>
    </w:p>
    <w:p>
      <w:pPr>
        <w:pStyle w:val="Heading1"/>
      </w:pPr>
      <w:r>
        <w:rPr>
          <w:rFonts w:ascii="Arial" w:cs="Arial" w:eastAsia="Arial" w:hAnsi="Arial"/>
          <w:b/>
          <w:bCs/>
          <w:sz w:val="32"/>
          <w:szCs w:val="32"/>
        </w:rPr>
        <w:t xml:space="preserve">10. FinOps &amp; Cost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18"/>
                <w:szCs w:val="18"/>
              </w:rPr>
              <w:t xml:space="preserve">PM principle</w:t>
            </w:r>
          </w:p>
        </w:tc>
        <w:tc>
          <w:tcPr>
            <w:tcW w:type="dxa" w:w="8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NCD and LCD documents are long — some run 5,000-10,000 words. Input token costs are higher than a typical RAG pipeline. Model selection and context management are the primary cost levers, not output volume.</w:t>
            </w:r>
          </w:p>
        </w:tc>
      </w:tr>
    </w:tbl>
    <w:p>
      <w:pPr>
        <w:spacing w:after="120"/>
      </w:pPr>
      <w:r>
        <w:t xml:space="preserve"/>
      </w:r>
    </w:p>
    <w:p>
      <w:pPr>
        <w:pStyle w:val="Heading2"/>
      </w:pPr>
      <w:r>
        <w:rPr>
          <w:rFonts w:ascii="Arial" w:cs="Arial" w:eastAsia="Arial" w:hAnsi="Arial"/>
          <w:b/>
          <w:bCs/>
          <w:sz w:val="26"/>
          <w:szCs w:val="26"/>
        </w:rPr>
        <w:t xml:space="preserve">10.1 Per-query cost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80"/>
        <w:gridCol w:w="32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 &amp; cost basis</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Estimated cost per query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Query embedding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text-embedding-3-small: $0.02 / 1M tokens. Query avg ~50 tokens.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~$0.000001</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Vector search</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ChromaDB: free (local). Pinecone: ~$0.001 per query at standard tier.</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~$0.001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Answer generation — input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Claude Sonnet: $3/1M input tokens. Context: ~8,000 tokens (3 NCD/LCD docs).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~$0.024</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Answer generation — output</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Claude Sonnet: $15/1M output tokens. Avg response: ~400 tokens.</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~$0.006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Faithfulness judge — input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Claude Haiku: $0.80/1M input tokens. Context + answer: ~9,000 tokens.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~$0.0072</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Faithfulness judge — output</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Claude Haiku: $4/1M output tokens. Score + reasoning: ~200 tokens.</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~$0.0008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Total per query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~$0.039</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At 500 queries/day</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~$19.50/day · ~$585/month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At 2,000 queries/day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~$78/day · ~$2,340/month</w:t>
            </w:r>
          </w:p>
        </w:tc>
      </w:tr>
    </w:tbl>
    <w:p>
      <w:pPr>
        <w:spacing w:after="120"/>
      </w:pPr>
      <w:r>
        <w:t xml:space="preserve"/>
      </w:r>
    </w:p>
    <w:p>
      <w:pPr>
        <w:pStyle w:val="Heading2"/>
      </w:pPr>
      <w:r>
        <w:rPr>
          <w:rFonts w:ascii="Arial" w:cs="Arial" w:eastAsia="Arial" w:hAnsi="Arial"/>
          <w:b/>
          <w:bCs/>
          <w:sz w:val="26"/>
          <w:szCs w:val="26"/>
        </w:rPr>
        <w:t xml:space="preserve">10.2 Cost optimisation levers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Lever</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Implementation &amp; timing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Semantic caching (highest impact)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Cache query embedding + response for repeated coverage questions. UM reviewers ask the same policy questions repeatedly. Estimate 30-40% query repetition rate in a UM workflow. Redis cache with 7-day TTL. At 35% cache hit rate: effective cost drops to ~$0.025/query. Implement Month 2.</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Context window management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Most NCD/LCD documents can be summarised to relevant sections before injection. Test: does faithfulness degrade if context is trimmed to relevant paragraphs only? Target: reduce average input tokens from 8,000 to 4,000. Cuts generation cost ~50%. Implement Month 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Model routing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Simple coverage lookups ('Is HCPCS J0605 covered?') routed to Claude Haiku. Complex conditional coverage questions routed to Claude Sonnet. Routing classifier adds ~$0.001 but saves ~$0.020 on Haiku-eligible queries. Estimate 30% of queries are simple lookups. Implement Month 3.</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Fine-tuned model (Phase 4)</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Domain-specific fine-tuned model replaces API calls for standard coverage determination queries. Target: 5-8x cost reduction on covered query types. Implement Month 6+ once proprietary dataset is sufficient.</w:t>
            </w:r>
          </w:p>
        </w:tc>
      </w:tr>
    </w:tbl>
    <w:p>
      <w:pPr>
        <w:spacing w:after="120"/>
      </w:pPr>
      <w:r>
        <w:t xml:space="preserve"/>
      </w:r>
    </w:p>
    <w:p>
      <w:r>
        <w:br w:type="page"/>
      </w:r>
    </w:p>
    <w:p>
      <w:pPr>
        <w:pStyle w:val="Heading1"/>
      </w:pPr>
      <w:r>
        <w:rPr>
          <w:rFonts w:ascii="Arial" w:cs="Arial" w:eastAsia="Arial" w:hAnsi="Arial"/>
          <w:b/>
          <w:bCs/>
          <w:sz w:val="32"/>
          <w:szCs w:val="32"/>
        </w:rPr>
        <w:t xml:space="preserve">11. Safety &amp; Compliance</w:t>
      </w:r>
    </w:p>
    <w:p>
      <w:pPr>
        <w:pStyle w:val="Heading2"/>
      </w:pPr>
      <w:r>
        <w:rPr>
          <w:rFonts w:ascii="Arial" w:cs="Arial" w:eastAsia="Arial" w:hAnsi="Arial"/>
          <w:b/>
          <w:bCs/>
          <w:sz w:val="26"/>
          <w:szCs w:val="26"/>
        </w:rPr>
        <w:t xml:space="preserve">11.1 Safety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Control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False coverage determination communicated to member or provider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Critical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Product is positioned as informational support tool only. Disclaimer on every response. HITL required before any denial letter or PA decision is made using this output. No automated PA decisions.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PHI exposure in LLM pipeline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Critical</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Input validation screens for PHI before any data reaches LLM APIs. Queries should be policy questions, not member-specific scenarios. No PHI stored in vector DB or query logs.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Outdated policy cited as current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Weekly automated NCD/LCD refresh. Version date surfaced in every response. Reviewer warned when cited policy is more than 6 months since last update.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Prompt injection via user input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Input sanitisation before retrieval. Enforce query character limits. Reject queries with known injection patterns.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Geographic scope misapplication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MAC region mandatory in LCD responses. UI warning for LCD vs NCD distinction. Reviewer must confirm jurisdiction before acting on LCD result.</w:t>
            </w:r>
          </w:p>
        </w:tc>
      </w:tr>
    </w:tbl>
    <w:p>
      <w:pPr>
        <w:spacing w:after="120"/>
      </w:pPr>
      <w:r>
        <w:t xml:space="preserve"/>
      </w:r>
    </w:p>
    <w:p>
      <w:pPr>
        <w:pStyle w:val="Heading2"/>
      </w:pPr>
      <w:r>
        <w:rPr>
          <w:rFonts w:ascii="Arial" w:cs="Arial" w:eastAsia="Arial" w:hAnsi="Arial"/>
          <w:b/>
          <w:bCs/>
          <w:sz w:val="26"/>
          <w:szCs w:val="26"/>
        </w:rPr>
        <w:t xml:space="preserve">11.2 Regulatory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Regulation</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Specific requirements for this product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HIPAA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PHI processed or stored. Queries must be policy questions only. If PHI is detected in input, halt and log the detection event (not the PHI content) for compliance audit. BAA required with any LLM API provider if PHI could be present.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CMS Prior Auth Rules (CMS-0057-F)</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Product supports compliance with PA transparency requirements by providing documented, evidence-based coverage policy lookup. Audit trail of all queries and responses supports regulatory review readiness.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State insurance regulations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Coverage determinations may be subject to state-specific requirements beyond Medicare. Surface CMS policy as Medicare-specific. Do not represent outputs as state-compliant without additional review.</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Disclaimer requirements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Every response: 'This output is generated by an AI system for informational support only and does not constitute a coverage determination, clinical advice, or legal opinion. All coverage decisions require review by a qualified professional.'</w:t>
            </w:r>
          </w:p>
        </w:tc>
      </w:tr>
    </w:tbl>
    <w:p>
      <w:pPr>
        <w:spacing w:after="120"/>
      </w:pPr>
      <w:r>
        <w:t xml:space="preserve"/>
      </w:r>
    </w:p>
    <w:p>
      <w:r>
        <w:br w:type="page"/>
      </w:r>
    </w:p>
    <w:p>
      <w:pPr>
        <w:pStyle w:val="Heading1"/>
      </w:pPr>
      <w:r>
        <w:rPr>
          <w:rFonts w:ascii="Arial" w:cs="Arial" w:eastAsia="Arial" w:hAnsi="Arial"/>
          <w:b/>
          <w:bCs/>
          <w:sz w:val="32"/>
          <w:szCs w:val="32"/>
        </w:rPr>
        <w:t xml:space="preserve">12. Phased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18"/>
                <w:szCs w:val="18"/>
              </w:rPr>
              <w:t xml:space="preserve">PM principle</w:t>
            </w:r>
          </w:p>
        </w:tc>
        <w:tc>
          <w:tcPr>
            <w:tcW w:type="dxa" w:w="8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 ships in 6 weeks and immediately generates proprietary data. Phase 2 is an architectural extension of Phase 1, not a separate build. The roadmap is designed so that every week of Phase 1 is also building Phase 2 infrastructure.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ships</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builds underneath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Phase 1 — Coverage Policy Agent
Weeks 1-6</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Working Streamlit MVP. NCD/LCD RAG pipeline. Faithfulness judge. HITL escalation path. Streaming UI with citation links.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NCD/LCD knowledge base indexed. Evaluation pipeline with 200-item golden dataset. Implicit signal logging in JSONL from day one. Reviewer correction capture.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Phase 2 — Evidence vs Coverage Gap
Weeks 7-12</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PubMed integration as second retrieval source. Dual-source synthesis layer. Gap classification output (coverage lag, aligned, over-coverage, conflict). Evidence quality grading.</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Medical policy analyst review workflow for gap assessments. Gap assessment database growing as proprietary labeled dataset. Comparison evaluation framework (3-source faithfulness check).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Phase 3 — Quality &amp; Cost
Months 4-5</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Model routing for simple vs complex queries. Semantic caching via Redis. Improved retrieval via vocabulary expansion. NCD/LCD auto-refresh pipeline.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Labeled correction dataset approaching fine-tuning threshold. Cost per query reduced 40-50%. System stable enough for broader internal rollout.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Phase 4 — Moat
Month 6+</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Domain-specific fine-tuned model replaces API calls for standard query types. Cost reduced 5-8x. Accuracy improves on payer-specific patterns.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Proprietary model trained on labeled correction + gap assessment data. Competitive differentiation: a model trained on actual payer-specific coverage decisions that no competitor has access to.</w:t>
            </w:r>
          </w:p>
        </w:tc>
      </w:tr>
    </w:tbl>
    <w:p>
      <w:pPr>
        <w:spacing w:after="120"/>
      </w:pPr>
      <w:r>
        <w:t xml:space="preserve"/>
      </w:r>
    </w:p>
    <w:p>
      <w:pPr>
        <w:pStyle w:val="Heading2"/>
      </w:pPr>
      <w:r>
        <w:rPr>
          <w:rFonts w:ascii="Arial" w:cs="Arial" w:eastAsia="Arial" w:hAnsi="Arial"/>
          <w:b/>
          <w:bCs/>
          <w:sz w:val="26"/>
          <w:szCs w:val="26"/>
        </w:rPr>
        <w:t xml:space="preserve">12.1 Week-by-week Phase 1 build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Week 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Environment setup. CMS NCD ingestion pipeline: fetch XML from cms.gov API, parse policy ID / title / coverage text / ICD-10 codes / HCPCS codes, store as structured JSON. Index all ~400 NCDs in ChromaDB with metadata. Basic query → retrieval → print working end-to-end.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Week 2</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LCD ingestion: same pipeline for ~2,000+ LCDs with MAC region metadata. Add vocabulary bridging: index CMS MLN articles as supplementary corpus. Test retrieval on 20 known coverage questions — identify vocabulary gap failures.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Week 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RAG pipeline: embedding + retrieval + context injection + Claude Sonnet synthesis with structured output format. Faithfulness judge (Claude Haiku). End-to-end query → answer → judge score working. Start building golden dataset (target 50 questions this week).</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Week 4</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Streamlit UI: streaming response, NCD/LCD title sidebar, clickable citation links, faithfulness score indicator, geographic scope warning for LCDs, disclaimer footer. HITL escalation: low-score responses routed to review queue.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Week 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Evaluation pipeline: run full golden dataset (target 200 by now). Get baseline scores: faithfulness, citation accuracy, answer relevance. Identify failure clusters. Iterate on retrieval parameters and prompt.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Week 6</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Cost optimisation: semantic caching setup (Redis). Implicit signal logging: clipboard copy, escalation trigger, session abandonment detection. JSONL logging for all interactions. Cost projection at 500 and 2,000 queries/day.</w:t>
            </w:r>
          </w:p>
        </w:tc>
      </w:tr>
    </w:tbl>
    <w:p>
      <w:pPr>
        <w:spacing w:after="120"/>
      </w:pPr>
      <w:r>
        <w:t xml:space="preserve"/>
      </w:r>
    </w:p>
    <w:p>
      <w:pPr>
        <w:pBdr>
          <w:top w:val="single" w:color="CCCCCC" w:sz="4" w:space="1"/>
        </w:pBdr>
        <w:spacing w:before="480"/>
      </w:pPr>
      <w:r>
        <w:rPr>
          <w:rFonts w:ascii="Arial" w:cs="Arial" w:eastAsia="Arial" w:hAnsi="Arial"/>
          <w:i/>
          <w:iCs/>
          <w:color w:val="999999"/>
          <w:sz w:val="18"/>
          <w:szCs w:val="18"/>
        </w:rPr>
        <w:t xml:space="preserve">Medicare Coverage Intelligence Platform  |  PRD v1.0  |  Phase 1: Coverage Policy Intelligence Agent  ·  Phase 2: Evidence vs Coverage Gap Analyzer  |  All data sources public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1"/>
      </w:pBd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2026-06-05T00:45:28.579Z</dcterms:created>
  <dcterms:modified xsi:type="dcterms:W3CDTF">2026-06-05T00:45:28.592Z</dcterms:modified>
</cp:coreProperties>
</file>

<file path=docProps/custom.xml><?xml version="1.0" encoding="utf-8"?>
<Properties xmlns="http://schemas.openxmlformats.org/officeDocument/2006/custom-properties" xmlns:vt="http://schemas.openxmlformats.org/officeDocument/2006/docPropsVTypes"/>
</file>