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GCUL / Reboot 2026 — Canton Layer Assessment</w:t>
      </w:r>
    </w:p>
    <w:p>
      <w:r>
        <w:rPr>
          <w:b/>
        </w:rPr>
        <w:t>Reference document · Generated 2026-07-30</w:t>
        <w:br/>
      </w:r>
      <w:r>
        <w:t>Scope: Daml sandbox, blockchain-orchestrator, policy/claims integration, local dev, and gaps vs enterprise Canton (e.g. LBG commercial banking).</w:t>
      </w:r>
    </w:p>
    <w:p>
      <w:pPr>
        <w:pStyle w:val="Heading1"/>
      </w:pPr>
      <w:r>
        <w:t>Executive summary</w:t>
      </w:r>
    </w:p>
    <w:p>
      <w:r>
        <w:t>The platform has a working demo path: Daml sandbox → blockchain-orchestrator → policy mint → claims verify, with a simulated fallback when Canton is unavailable. This is appropriate for Reboot 2026 demos, but several behaviours can present as “Canton verified” while ledger proof is weak or missing. Production readiness requires honest mint modes, correct Daml exercise paths, security hardening, and observability beyond orchestrator :8088.</w:t>
      </w:r>
    </w:p>
    <w:p>
      <w:pPr>
        <w:pStyle w:val="Heading1"/>
      </w:pPr>
      <w:r>
        <w:t>1. Architecture today</w:t>
      </w:r>
    </w:p>
    <w:p>
      <w:r>
        <w:t>policy-service → blockchain-orchestrator (:8088)</w:t>
        <w:br/>
        <w:t xml:space="preserve">  • Canton JSON API (:7575 local / :8080 Cloud Run) → InsurancePolicy / ClaimSettlement</w:t>
        <w:br/>
        <w:t xml:space="preserve">  • SimulatedLedgerAdapter when Canton is down</w:t>
        <w:br/>
        <w:t xml:space="preserve">  • H2 insurance chain (audit mirror, not Daml)</w:t>
        <w:br/>
        <w:t xml:space="preserve">  • gcul-sidecar (:8091) for GBP wallet movements (not on Canton)</w:t>
        <w:br/>
        <w:br/>
        <w:t>claims-service → verify + settle via orchestrator</w:t>
        <w:br/>
        <w:t>admin UI → Tokenization / Smart Contracts (live status); capital-market pages are design reference</w:t>
      </w:r>
    </w:p>
    <w:p>
      <w:pPr>
        <w:pStyle w:val="Heading2"/>
      </w:pPr>
      <w:r>
        <w:t>Key ports (local)</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Port</w:t>
            </w:r>
          </w:p>
        </w:tc>
        <w:tc>
          <w:tcPr>
            <w:tcW w:type="dxa" w:w="2880"/>
          </w:tcPr>
          <w:p>
            <w:r>
              <w:t>Role</w:t>
            </w:r>
          </w:p>
        </w:tc>
      </w:tr>
      <w:tr>
        <w:tc>
          <w:tcPr>
            <w:tcW w:type="dxa" w:w="2880"/>
          </w:tcPr>
          <w:p>
            <w:r>
              <w:t>Canton JSON Ledger API</w:t>
            </w:r>
          </w:p>
        </w:tc>
        <w:tc>
          <w:tcPr>
            <w:tcW w:type="dxa" w:w="2880"/>
          </w:tcPr>
          <w:p>
            <w:r>
              <w:t>7575 (local)</w:t>
            </w:r>
          </w:p>
        </w:tc>
        <w:tc>
          <w:tcPr>
            <w:tcW w:type="dxa" w:w="2880"/>
          </w:tcPr>
          <w:p>
            <w:r>
              <w:t>http://127.0.0.1:7575</w:t>
            </w:r>
          </w:p>
        </w:tc>
      </w:tr>
      <w:tr>
        <w:tc>
          <w:tcPr>
            <w:tcW w:type="dxa" w:w="2880"/>
          </w:tcPr>
          <w:p>
            <w:r>
              <w:t>blockchain-orchestrator</w:t>
            </w:r>
          </w:p>
        </w:tc>
        <w:tc>
          <w:tcPr>
            <w:tcW w:type="dxa" w:w="2880"/>
          </w:tcPr>
          <w:p>
            <w:r>
              <w:t>8088</w:t>
            </w:r>
          </w:p>
        </w:tc>
        <w:tc>
          <w:tcPr>
            <w:tcW w:type="dxa" w:w="2880"/>
          </w:tcPr>
          <w:p>
            <w:r>
              <w:t>Mint, verify, settle, Canton status</w:t>
            </w:r>
          </w:p>
        </w:tc>
      </w:tr>
      <w:tr>
        <w:tc>
          <w:tcPr>
            <w:tcW w:type="dxa" w:w="2880"/>
          </w:tcPr>
          <w:p>
            <w:r>
              <w:t>policy-service</w:t>
            </w:r>
          </w:p>
        </w:tc>
        <w:tc>
          <w:tcPr>
            <w:tcW w:type="dxa" w:w="2880"/>
          </w:tcPr>
          <w:p>
            <w:r>
              <w:t>8082</w:t>
            </w:r>
          </w:p>
        </w:tc>
        <w:tc>
          <w:tcPr>
            <w:tcW w:type="dxa" w:w="2880"/>
          </w:tcPr>
          <w:p>
            <w:r>
              <w:t>Issues policies, calls mint API</w:t>
            </w:r>
          </w:p>
        </w:tc>
      </w:tr>
      <w:tr>
        <w:tc>
          <w:tcPr>
            <w:tcW w:type="dxa" w:w="2880"/>
          </w:tcPr>
          <w:p>
            <w:r>
              <w:t>claims-service</w:t>
            </w:r>
          </w:p>
        </w:tc>
        <w:tc>
          <w:tcPr>
            <w:tcW w:type="dxa" w:w="2880"/>
          </w:tcPr>
          <w:p>
            <w:r>
              <w:t>8085</w:t>
            </w:r>
          </w:p>
        </w:tc>
        <w:tc>
          <w:tcPr>
            <w:tcW w:type="dxa" w:w="2880"/>
          </w:tcPr>
          <w:p>
            <w:r>
              <w:t>Canton verify on claim intake</w:t>
            </w:r>
          </w:p>
        </w:tc>
      </w:tr>
      <w:tr>
        <w:tc>
          <w:tcPr>
            <w:tcW w:type="dxa" w:w="2880"/>
          </w:tcPr>
          <w:p>
            <w:r>
              <w:t>gcul-sidecar</w:t>
            </w:r>
          </w:p>
        </w:tc>
        <w:tc>
          <w:tcPr>
            <w:tcW w:type="dxa" w:w="2880"/>
          </w:tcPr>
          <w:p>
            <w:r>
              <w:t>8091</w:t>
            </w:r>
          </w:p>
        </w:tc>
        <w:tc>
          <w:tcPr>
            <w:tcW w:type="dxa" w:w="2880"/>
          </w:tcPr>
          <w:p>
            <w:r>
              <w:t>GCUL Universal Ledger (GBP, not Canton)</w:t>
            </w:r>
          </w:p>
        </w:tc>
      </w:tr>
    </w:tbl>
    <w:p/>
    <w:p>
      <w:pPr>
        <w:pStyle w:val="Heading1"/>
      </w:pPr>
      <w:r>
        <w:t>2. Current problems</w:t>
      </w:r>
    </w:p>
    <w:p>
      <w:pPr>
        <w:pStyle w:val="Heading2"/>
      </w:pPr>
      <w:r>
        <w:t>2.1 Integrity — “minted on Canton” can be misleading</w:t>
      </w:r>
    </w:p>
    <w:p>
      <w:pPr>
        <w:pStyle w:val="ListBullet"/>
      </w:pPr>
      <w:r>
        <w:t>Silent simulated fallback: if Canton is down, LedgerAdapterRegistry mints via SimulatedLedgerAdapter. Policy still shows MINTED with a synthetic token_id.</w:t>
      </w:r>
    </w:p>
    <w:p>
      <w:pPr>
        <w:pStyle w:val="ListBullet"/>
      </w:pPr>
      <w:r>
        <w:t>Claims verify bypass: if Canton verify fails but mint_status=MINTED and token_id exists, claims still pass (BlockchainValidationClient.assertVerifiedOnCanton).</w:t>
      </w:r>
    </w:p>
    <w:p>
      <w:pPr>
        <w:pStyle w:val="ListBullet"/>
      </w:pPr>
      <w:r>
        <w:t>Verify uses primary Canton adapter only; simulated mints fail verify on orchestrator, then claims bypass via the rule above.</w:t>
      </w:r>
    </w:p>
    <w:p>
      <w:pPr>
        <w:pStyle w:val="ListBullet"/>
      </w:pPr>
      <w:r>
        <w:t>Impact: customer evaluation trail can show Canton verification passed without a Daml contract.</w:t>
      </w:r>
    </w:p>
    <w:p>
      <w:pPr>
        <w:pStyle w:val="Heading2"/>
      </w:pPr>
      <w:r>
        <w:t>2.2 Daml contract vs Java implementation mismatch</w:t>
      </w:r>
    </w:p>
    <w:p>
      <w:r>
        <w:t>Daml defines InsurerMintAuthority.MintPolicy as the intended mint gate (Gcul/InsurancePolicy.daml). Java CantonJsonApiClient.mintPolicy() calls POST /v1/create on InsurancePolicy directly and sends mintedAt as an ISO string; Daml expects Time. findAuthorityContractId() exists but is not used in the mint path.</w:t>
      </w:r>
    </w:p>
    <w:p>
      <w:pPr>
        <w:pStyle w:val="ListBullet"/>
      </w:pPr>
      <w:r>
        <w:t>Works on permissive sandbox; may fail on stricter Canton Network deployments.</w:t>
      </w:r>
    </w:p>
    <w:p>
      <w:pPr>
        <w:pStyle w:val="ListBullet"/>
      </w:pPr>
      <w:r>
        <w:t>Hardcoded Daml package ID in application.properties drifts on every Daml rebuild.</w:t>
      </w:r>
    </w:p>
    <w:p>
      <w:pPr>
        <w:pStyle w:val="Heading2"/>
      </w:pPr>
      <w:r>
        <w:t>2.3 Configuration and race conditions</w:t>
      </w:r>
    </w:p>
    <w:p>
      <w:pPr>
        <w:pStyle w:val="ListBullet"/>
      </w:pPr>
      <w:r>
        <w:t>Local JSON API :7575 vs Cloud Run Canton :8080 — env must match target.</w:t>
      </w:r>
    </w:p>
    <w:p>
      <w:pPr>
        <w:pStyle w:val="ListBullet"/>
      </w:pPr>
      <w:r>
        <w:t>Double mint risk: policy-service may publish PolicyMintRequested and call mint HTTP immediately in cloud.</w:t>
      </w:r>
    </w:p>
    <w:p>
      <w:pPr>
        <w:pStyle w:val="ListBullet"/>
      </w:pPr>
      <w:r>
        <w:t>local-dev.cmd can start APIs before Canton is healthy → first mints silently simulate.</w:t>
      </w:r>
    </w:p>
    <w:p>
      <w:pPr>
        <w:pStyle w:val="Heading2"/>
      </w:pPr>
      <w:r>
        <w:t>2.4 Security (not production-ready)</w:t>
      </w:r>
    </w:p>
    <w:p>
      <w:pPr>
        <w:pStyle w:val="ListBullet"/>
      </w:pPr>
      <w:r>
        <w:t>Internal /api/blockchain/internal/* routes lack service-to-service authentication.</w:t>
      </w:r>
    </w:p>
    <w:p>
      <w:pPr>
        <w:pStyle w:val="ListBullet"/>
      </w:pPr>
      <w:r>
        <w:t>Canton sandbox uses unsigned JWTs and --allow-insecure-tokens.</w:t>
      </w:r>
    </w:p>
    <w:p>
      <w:pPr>
        <w:pStyle w:val="ListBullet"/>
      </w:pPr>
      <w:r>
        <w:t>Cloud deploy may expose gcul-canton with allow-unauthenticated.</w:t>
      </w:r>
    </w:p>
    <w:p>
      <w:pPr>
        <w:pStyle w:val="ListBullet"/>
      </w:pPr>
      <w:r>
        <w:t>On-ledger fields include customerId, walletAddress, metadataUri — privacy model not documented.</w:t>
      </w:r>
    </w:p>
    <w:p>
      <w:pPr>
        <w:pStyle w:val="Heading2"/>
      </w:pPr>
      <w:r>
        <w:t>2.5 Settlement and observability</w:t>
      </w:r>
    </w:p>
    <w:p>
      <w:pPr>
        <w:pStyle w:val="ListBullet"/>
      </w:pPr>
      <w:r>
        <w:t>GBP payouts use sidecar/wallet; ClaimSettlement on Canton is best-effort (deferred on failure).</w:t>
      </w:r>
    </w:p>
    <w:p>
      <w:pPr>
        <w:pStyle w:val="ListBullet"/>
      </w:pPr>
      <w:r>
        <w:t>Claim settlement may send amountGbp as string vs Daml Decimal.</w:t>
      </w:r>
    </w:p>
    <w:p>
      <w:pPr>
        <w:pStyle w:val="ListBullet"/>
      </w:pPr>
      <w:r>
        <w:t>Observability monitors orchestrator :8088, not Canton :7575.</w:t>
      </w:r>
    </w:p>
    <w:p>
      <w:pPr>
        <w:pStyle w:val="ListBullet"/>
      </w:pPr>
      <w:r>
        <w:t>No metric for simulated fallback rate or package ID mismatch.</w:t>
      </w:r>
    </w:p>
    <w:p>
      <w:pPr>
        <w:pStyle w:val="ListBullet"/>
      </w:pPr>
      <w:r>
        <w:t>Canton Docker sandbox is ephemeral — restart wipes ledger while policy DB still says MINTED.</w:t>
      </w:r>
    </w:p>
    <w:p>
      <w:pPr>
        <w:pStyle w:val="Heading2"/>
      </w:pPr>
      <w:r>
        <w:t>2.6 vs enterprise Canton (LBG direction)</w:t>
      </w:r>
    </w:p>
    <w:tbl>
      <w:tblPr>
        <w:tblStyle w:val="TableGrid"/>
        <w:tblW w:type="auto" w:w="0"/>
        <w:tblLook w:firstColumn="1" w:firstRow="1" w:lastColumn="0" w:lastRow="0" w:noHBand="0" w:noVBand="1" w:val="04A0"/>
      </w:tblPr>
      <w:tblGrid>
        <w:gridCol w:w="4320"/>
        <w:gridCol w:w="4320"/>
      </w:tblGrid>
      <w:tr>
        <w:tc>
          <w:tcPr>
            <w:tcW w:type="dxa" w:w="4320"/>
          </w:tcPr>
          <w:p>
            <w:r>
              <w:t>LBG-style production</w:t>
            </w:r>
          </w:p>
        </w:tc>
        <w:tc>
          <w:tcPr>
            <w:tcW w:type="dxa" w:w="4320"/>
          </w:tcPr>
          <w:p>
            <w:r>
              <w:t>This stack today</w:t>
            </w:r>
          </w:p>
        </w:tc>
      </w:tr>
      <w:tr>
        <w:tc>
          <w:tcPr>
            <w:tcW w:type="dxa" w:w="4320"/>
          </w:tcPr>
          <w:p>
            <w:r>
              <w:t>Tokenised deposit + DvP + bank reconciliation</w:t>
            </w:r>
          </w:p>
        </w:tc>
        <w:tc>
          <w:tcPr>
            <w:tcW w:type="dxa" w:w="4320"/>
          </w:tcPr>
          <w:p>
            <w:r>
              <w:t>Mint + verify; weak proof when simulated</w:t>
            </w:r>
          </w:p>
        </w:tc>
      </w:tr>
      <w:tr>
        <w:tc>
          <w:tcPr>
            <w:tcW w:type="dxa" w:w="4320"/>
          </w:tcPr>
          <w:p>
            <w:r>
              <w:t>Own validator node, bank controls</w:t>
            </w:r>
          </w:p>
        </w:tc>
        <w:tc>
          <w:tcPr>
            <w:tcW w:type="dxa" w:w="4320"/>
          </w:tcPr>
          <w:p>
            <w:r>
              <w:t>Single sandbox, insurer admin JWT</w:t>
            </w:r>
          </w:p>
        </w:tc>
      </w:tr>
      <w:tr>
        <w:tc>
          <w:tcPr>
            <w:tcW w:type="dxa" w:w="4320"/>
          </w:tcPr>
          <w:p>
            <w:r>
              <w:t>Privacy by sub-transaction</w:t>
            </w:r>
          </w:p>
        </w:tc>
        <w:tc>
          <w:tcPr>
            <w:tcW w:type="dxa" w:w="4320"/>
          </w:tcPr>
          <w:p>
            <w:r>
              <w:t>Policy payload on template; customer observer only</w:t>
            </w:r>
          </w:p>
        </w:tc>
      </w:tr>
      <w:tr>
        <w:tc>
          <w:tcPr>
            <w:tcW w:type="dxa" w:w="4320"/>
          </w:tcPr>
          <w:p>
            <w:r>
              <w:t>Oracle-governed triggers</w:t>
            </w:r>
          </w:p>
        </w:tc>
        <w:tc>
          <w:tcPr>
            <w:tcW w:type="dxa" w:w="4320"/>
          </w:tcPr>
          <w:p>
            <w:r>
              <w:t>Parametric off-chain; cat triggers not on Daml</w:t>
            </w:r>
          </w:p>
        </w:tc>
      </w:tr>
    </w:tbl>
    <w:p/>
    <w:p>
      <w:pPr>
        <w:pStyle w:val="Heading1"/>
      </w:pPr>
      <w:r>
        <w:t>3. How to improve (prioritized)</w:t>
      </w:r>
    </w:p>
    <w:p>
      <w:pPr>
        <w:pStyle w:val="Heading2"/>
      </w:pPr>
      <w:r>
        <w:t>Phase A — Trust and honesty (high impact)</w:t>
      </w:r>
    </w:p>
    <w:p>
      <w:pPr>
        <w:pStyle w:val="ListBullet"/>
      </w:pPr>
      <w:r>
        <w:t>Expose ledger_type: canton | simulated | failed on policy APIs and admin UI.</w:t>
      </w:r>
    </w:p>
    <w:p>
      <w:pPr>
        <w:pStyle w:val="ListBullet"/>
      </w:pPr>
      <w:r>
        <w:t>Never show Canton verified when mode=simulated.</w:t>
      </w:r>
    </w:p>
    <w:p>
      <w:pPr>
        <w:pStyle w:val="ListBullet"/>
      </w:pPr>
      <w:r>
        <w:t>Narrow claims verify bypass: require verified=true for canton ledger type.</w:t>
      </w:r>
    </w:p>
    <w:p>
      <w:pPr>
        <w:pStyle w:val="ListBullet"/>
      </w:pPr>
      <w:r>
        <w:t>Optional GCUL_CANTON_STRICT=true — no simulated mint in strict environments.</w:t>
      </w:r>
    </w:p>
    <w:p>
      <w:pPr>
        <w:pStyle w:val="ListBullet"/>
      </w:pPr>
      <w:r>
        <w:t>Health gate: check Canton status before mint; retry queue if offline.</w:t>
      </w:r>
    </w:p>
    <w:p>
      <w:pPr>
        <w:pStyle w:val="Heading2"/>
      </w:pPr>
      <w:r>
        <w:t>Phase B — Correct Daml integration</w:t>
      </w:r>
    </w:p>
    <w:p>
      <w:pPr>
        <w:pStyle w:val="ListBullet"/>
      </w:pPr>
      <w:r>
        <w:t>Mint via InsurerMintAuthority.MintPolicy exercise, not raw /v1/create.</w:t>
      </w:r>
    </w:p>
    <w:p>
      <w:pPr>
        <w:pStyle w:val="ListBullet"/>
      </w:pPr>
      <w:r>
        <w:t>Fix payload types (Time, Decimal) for JSON API.</w:t>
      </w:r>
    </w:p>
    <w:p>
      <w:pPr>
        <w:pStyle w:val="ListBullet"/>
      </w:pPr>
      <w:r>
        <w:t>Auto-resolve package ID at startup or from build artifact.</w:t>
      </w:r>
    </w:p>
    <w:p>
      <w:pPr>
        <w:pStyle w:val="ListBullet"/>
      </w:pPr>
      <w:r>
        <w:t>Single idempotent mint path (Pub/Sub or HTTP, not both racing).</w:t>
      </w:r>
    </w:p>
    <w:p>
      <w:pPr>
        <w:pStyle w:val="Heading2"/>
      </w:pPr>
      <w:r>
        <w:t>Phase C — Security and operations</w:t>
      </w:r>
    </w:p>
    <w:p>
      <w:pPr>
        <w:pStyle w:val="ListBullet"/>
      </w:pPr>
      <w:r>
        <w:t>Internal API authentication between policy/claims and orchestrator.</w:t>
      </w:r>
    </w:p>
    <w:p>
      <w:pPr>
        <w:pStyle w:val="ListBullet"/>
      </w:pPr>
      <w:r>
        <w:t>Restrict Canton JSON API in cloud (not public unauthenticated).</w:t>
      </w:r>
    </w:p>
    <w:p>
      <w:pPr>
        <w:pStyle w:val="ListBullet"/>
      </w:pPr>
      <w:r>
        <w:t>Signed JWTs or participant credentials outside sandbox.</w:t>
      </w:r>
    </w:p>
    <w:p>
      <w:pPr>
        <w:pStyle w:val="ListBullet"/>
      </w:pPr>
      <w:r>
        <w:t>Monitor Canton health separately from orchestrator.</w:t>
      </w:r>
    </w:p>
    <w:p>
      <w:pPr>
        <w:pStyle w:val="Heading2"/>
      </w:pPr>
      <w:r>
        <w:t>Phase D — Insurance capital market (roadmap)</w:t>
      </w:r>
    </w:p>
    <w:p>
      <w:pPr>
        <w:pStyle w:val="ListBullet"/>
      </w:pPr>
      <w:r>
        <w:t>Daml templates: InsuranceLinkedNote, InvestorEligibility, DvP settlement.</w:t>
      </w:r>
    </w:p>
    <w:p>
      <w:pPr>
        <w:pStyle w:val="ListBullet"/>
      </w:pPr>
      <w:r>
        <w:t>Privacy: portfolio-level on-ledger data; no policy-level PII on shared templates.</w:t>
      </w:r>
    </w:p>
    <w:p>
      <w:pPr>
        <w:pStyle w:val="ListBullet"/>
      </w:pPr>
      <w:r>
        <w:t>Reconciliation jobs: Canton contract IDs ↔ policy DB ↔ wallet balances.</w:t>
      </w:r>
    </w:p>
    <w:p>
      <w:pPr>
        <w:pStyle w:val="ListBullet"/>
      </w:pPr>
      <w:r>
        <w:t>Oracle service for catastrophe triggers feeding TriggerLoss choice.</w:t>
      </w:r>
    </w:p>
    <w:p>
      <w:pPr>
        <w:pStyle w:val="Heading1"/>
      </w:pPr>
      <w:r>
        <w:t>4. Quick wins</w:t>
      </w:r>
    </w:p>
    <w:tbl>
      <w:tblPr>
        <w:tblStyle w:val="TableGrid"/>
        <w:tblW w:type="auto" w:w="0"/>
        <w:tblLook w:firstColumn="1" w:firstRow="1" w:lastColumn="0" w:lastRow="0" w:noHBand="0" w:noVBand="1" w:val="04A0"/>
      </w:tblPr>
      <w:tblGrid>
        <w:gridCol w:w="4320"/>
        <w:gridCol w:w="4320"/>
      </w:tblGrid>
      <w:tr>
        <w:tc>
          <w:tcPr>
            <w:tcW w:type="dxa" w:w="4320"/>
          </w:tcPr>
          <w:p>
            <w:r>
              <w:t>Change</w:t>
            </w:r>
          </w:p>
        </w:tc>
        <w:tc>
          <w:tcPr>
            <w:tcW w:type="dxa" w:w="4320"/>
          </w:tcPr>
          <w:p>
            <w:r>
              <w:t>Effect</w:t>
            </w:r>
          </w:p>
        </w:tc>
      </w:tr>
      <w:tr>
        <w:tc>
          <w:tcPr>
            <w:tcW w:type="dxa" w:w="4320"/>
          </w:tcPr>
          <w:p>
            <w:r>
              <w:t>Expose ledger_mode on policy API</w:t>
            </w:r>
          </w:p>
        </w:tc>
        <w:tc>
          <w:tcPr>
            <w:tcW w:type="dxa" w:w="4320"/>
          </w:tcPr>
          <w:p>
            <w:r>
              <w:t>UI and evaluation trail stay truthful</w:t>
            </w:r>
          </w:p>
        </w:tc>
      </w:tr>
      <w:tr>
        <w:tc>
          <w:tcPr>
            <w:tcW w:type="dxa" w:w="4320"/>
          </w:tcPr>
          <w:p>
            <w:r>
              <w:t>Fix assertVerifiedOnCanton for production</w:t>
            </w:r>
          </w:p>
        </w:tc>
        <w:tc>
          <w:tcPr>
            <w:tcW w:type="dxa" w:w="4320"/>
          </w:tcPr>
          <w:p>
            <w:r>
              <w:t>Stops fake Canton attestation</w:t>
            </w:r>
          </w:p>
        </w:tc>
      </w:tr>
      <w:tr>
        <w:tc>
          <w:tcPr>
            <w:tcW w:type="dxa" w:w="4320"/>
          </w:tcPr>
          <w:p>
            <w:r>
              <w:t>Use InsurerMintAuthority in mint path</w:t>
            </w:r>
          </w:p>
        </w:tc>
        <w:tc>
          <w:tcPr>
            <w:tcW w:type="dxa" w:w="4320"/>
          </w:tcPr>
          <w:p>
            <w:r>
              <w:t>Matches Daml design</w:t>
            </w:r>
          </w:p>
        </w:tc>
      </w:tr>
      <w:tr>
        <w:tc>
          <w:tcPr>
            <w:tcW w:type="dxa" w:w="4320"/>
          </w:tcPr>
          <w:p>
            <w:r>
              <w:t>Add Canton to observability</w:t>
            </w:r>
          </w:p>
        </w:tc>
        <w:tc>
          <w:tcPr>
            <w:tcW w:type="dxa" w:w="4320"/>
          </w:tcPr>
          <w:p>
            <w:r>
              <w:t>Ops sees sandbox down early</w:t>
            </w:r>
          </w:p>
        </w:tc>
      </w:tr>
      <w:tr>
        <w:tc>
          <w:tcPr>
            <w:tcW w:type="dxa" w:w="4320"/>
          </w:tcPr>
          <w:p>
            <w:r>
              <w:t>Tokenization banner for simulated mode</w:t>
            </w:r>
          </w:p>
        </w:tc>
        <w:tc>
          <w:tcPr>
            <w:tcW w:type="dxa" w:w="4320"/>
          </w:tcPr>
          <w:p>
            <w:r>
              <w:t>Aligns with enterprise docs</w:t>
            </w:r>
          </w:p>
        </w:tc>
      </w:tr>
    </w:tbl>
    <w:p/>
    <w:p>
      <w:pPr>
        <w:pStyle w:val="Heading1"/>
      </w:pPr>
      <w:r>
        <w:t>5. Key code references</w:t>
      </w:r>
    </w:p>
    <w:tbl>
      <w:tblPr>
        <w:tblStyle w:val="TableGrid"/>
        <w:tblW w:type="auto" w:w="0"/>
        <w:tblLook w:firstColumn="1" w:firstRow="1" w:lastColumn="0" w:lastRow="0" w:noHBand="0" w:noVBand="1" w:val="04A0"/>
      </w:tblPr>
      <w:tblGrid>
        <w:gridCol w:w="4320"/>
        <w:gridCol w:w="4320"/>
      </w:tblGrid>
      <w:tr>
        <w:tc>
          <w:tcPr>
            <w:tcW w:type="dxa" w:w="4320"/>
          </w:tcPr>
          <w:p>
            <w:r>
              <w:t>Path</w:t>
            </w:r>
          </w:p>
        </w:tc>
        <w:tc>
          <w:tcPr>
            <w:tcW w:type="dxa" w:w="4320"/>
          </w:tcPr>
          <w:p>
            <w:r>
              <w:t>Role</w:t>
            </w:r>
          </w:p>
        </w:tc>
      </w:tr>
      <w:tr>
        <w:tc>
          <w:tcPr>
            <w:tcW w:type="dxa" w:w="4320"/>
          </w:tcPr>
          <w:p>
            <w:r>
              <w:t>canton/daml/daml/Gcul/InsurancePolicy.daml</w:t>
            </w:r>
          </w:p>
        </w:tc>
        <w:tc>
          <w:tcPr>
            <w:tcW w:type="dxa" w:w="4320"/>
          </w:tcPr>
          <w:p>
            <w:r>
              <w:t>InsurerMintAuthority, InsurancePolicy, ClaimSettlement</w:t>
            </w:r>
          </w:p>
        </w:tc>
      </w:tr>
      <w:tr>
        <w:tc>
          <w:tcPr>
            <w:tcW w:type="dxa" w:w="4320"/>
          </w:tcPr>
          <w:p>
            <w:r>
              <w:t>apps/services/blockchain-orchestrator-service/.../CantonJsonApiClient.java</w:t>
            </w:r>
          </w:p>
        </w:tc>
        <w:tc>
          <w:tcPr>
            <w:tcW w:type="dxa" w:w="4320"/>
          </w:tcPr>
          <w:p>
            <w:r>
              <w:t>Canton HTTP mint/verify</w:t>
            </w:r>
          </w:p>
        </w:tc>
      </w:tr>
      <w:tr>
        <w:tc>
          <w:tcPr>
            <w:tcW w:type="dxa" w:w="4320"/>
          </w:tcPr>
          <w:p>
            <w:r>
              <w:t>apps/services/blockchain-orchestrator-service/.../LedgerAdapterRegistry.java</w:t>
            </w:r>
          </w:p>
        </w:tc>
        <w:tc>
          <w:tcPr>
            <w:tcW w:type="dxa" w:w="4320"/>
          </w:tcPr>
          <w:p>
            <w:r>
              <w:t>Canton vs simulated fallback</w:t>
            </w:r>
          </w:p>
        </w:tc>
      </w:tr>
      <w:tr>
        <w:tc>
          <w:tcPr>
            <w:tcW w:type="dxa" w:w="4320"/>
          </w:tcPr>
          <w:p>
            <w:r>
              <w:t>apps/services/claims-service/.../BlockchainValidationClient.java</w:t>
            </w:r>
          </w:p>
        </w:tc>
        <w:tc>
          <w:tcPr>
            <w:tcW w:type="dxa" w:w="4320"/>
          </w:tcPr>
          <w:p>
            <w:r>
              <w:t>Verify bypass logic</w:t>
            </w:r>
          </w:p>
        </w:tc>
      </w:tr>
      <w:tr>
        <w:tc>
          <w:tcPr>
            <w:tcW w:type="dxa" w:w="4320"/>
          </w:tcPr>
          <w:p>
            <w:r>
              <w:t>apps/services/policy-service/.../BlockchainMintClient.java</w:t>
            </w:r>
          </w:p>
        </w:tc>
        <w:tc>
          <w:tcPr>
            <w:tcW w:type="dxa" w:w="4320"/>
          </w:tcPr>
          <w:p>
            <w:r>
              <w:t>Mint API client</w:t>
            </w:r>
          </w:p>
        </w:tc>
      </w:tr>
      <w:tr>
        <w:tc>
          <w:tcPr>
            <w:tcW w:type="dxa" w:w="4320"/>
          </w:tcPr>
          <w:p>
            <w:r>
              <w:t>scripts/local/start-canton.ps1</w:t>
            </w:r>
          </w:p>
        </w:tc>
        <w:tc>
          <w:tcPr>
            <w:tcW w:type="dxa" w:w="4320"/>
          </w:tcPr>
          <w:p>
            <w:r>
              <w:t>Local Docker sandbox</w:t>
            </w:r>
          </w:p>
        </w:tc>
      </w:tr>
      <w:tr>
        <w:tc>
          <w:tcPr>
            <w:tcW w:type="dxa" w:w="4320"/>
          </w:tcPr>
          <w:p>
            <w:r>
              <w:t>deploy/deploy-cloud-run.ps1</w:t>
            </w:r>
          </w:p>
        </w:tc>
        <w:tc>
          <w:tcPr>
            <w:tcW w:type="dxa" w:w="4320"/>
          </w:tcPr>
          <w:p>
            <w:r>
              <w:t>Cloud Canton + orchestrator wiring</w:t>
            </w:r>
          </w:p>
        </w:tc>
      </w:tr>
    </w:tbl>
    <w:p/>
    <w:p>
      <w:pPr>
        <w:pStyle w:val="Heading1"/>
      </w:pPr>
      <w:r>
        <w:t>6. Bottom line</w:t>
      </w:r>
    </w:p>
    <w:p>
      <w:r>
        <w:t>Three structural risks: (1) truth gap — simulated mint looks like Canton mint; (2) contract gap — Java bypasses authority pattern and type conventions; (3) production gap — auth, privacy, monitoring, and reconciliation are not yet suitable for LBG-style commercial banking.</w:t>
        <w:br/>
        <w:br/>
        <w:t>Canton’s value is programmable ownership, eligibility, and atomic DvP — not merely storing policy metadata on a sandbox. Legal wrapper, SPV, regulated market, and core banking systems remain the source of truth; Canton is the synchronized operational layer.</w:t>
      </w:r>
    </w:p>
    <w:p/>
    <w:p>
      <w:pPr>
        <w:jc w:val="center"/>
      </w:pPr>
      <w:r>
        <w:t>Reboot 2026 Insurance Platform · Internal reference · Not legal or regulatory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