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737759">
        <w:rPr>
          <w:rFonts w:ascii="&amp;quot" w:hAnsi="&amp;quot" w:cs="&amp;quot"/>
          <w:color w:val="000000"/>
          <w:sz w:val="30"/>
          <w:szCs w:val="30"/>
        </w:rPr>
        <w:t>HYH</w:t>
      </w:r>
      <w:r w:rsidR="00737759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737759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6C015F" w:rsidRPr="006C015F">
        <w:rPr>
          <w:rFonts w:ascii="宋体" w:eastAsia="宋体" w:hAnsi="宋体" w:cs="宋体" w:hint="eastAsia"/>
          <w:color w:val="000000"/>
          <w:sz w:val="28"/>
          <w:szCs w:val="28"/>
        </w:rPr>
        <w:t>吴湘龙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043047" w:rsidRPr="00043047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行政经理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6C015F" w:rsidRPr="006C015F">
        <w:rPr>
          <w:rFonts w:ascii="宋体" w:eastAsia="宋体" w:hAnsi="宋体" w:cs="宋体" w:hint="eastAsia"/>
          <w:color w:val="000000"/>
          <w:sz w:val="30"/>
          <w:szCs w:val="30"/>
        </w:rPr>
        <w:t>吴湘龙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043047"/>
    <w:rsid w:val="001313F1"/>
    <w:rsid w:val="002D39FD"/>
    <w:rsid w:val="00473D87"/>
    <w:rsid w:val="00574B32"/>
    <w:rsid w:val="006C015F"/>
    <w:rsid w:val="00737759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dcterms:created xsi:type="dcterms:W3CDTF">2018-01-22T06:49:00Z</dcterms:created>
  <dcterms:modified xsi:type="dcterms:W3CDTF">2018-01-22T07:38:00Z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