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AMAZON ADS BOT</w:t>
      </w:r>
    </w:p>
    <w:p>
      <w:pPr>
        <w:spacing w:after="100"/>
        <w:jc w:val="center"/>
      </w:pPr>
      <w:r>
        <w:rPr>
          <w:rFonts w:ascii="Arial" w:cs="Arial" w:eastAsia="Arial" w:hAnsi="Arial"/>
          <w:color w:val="2E86C1"/>
          <w:sz w:val="36"/>
          <w:szCs w:val="36"/>
        </w:rPr>
        <w:t xml:space="preserve">Rapport d'</w:t>
      </w:r>
      <w:r>
        <w:rPr>
          <w:rFonts w:ascii="Arial" w:cs="Arial" w:eastAsia="Arial" w:hAnsi="Arial"/>
          <w:color w:val="2E86C1"/>
          <w:sz w:val="36"/>
          <w:szCs w:val="36"/>
        </w:rPr>
        <w:t xml:space="preserve">E</w:t>
      </w:r>
      <w:r>
        <w:rPr>
          <w:rFonts w:ascii="Arial" w:cs="Arial" w:eastAsia="Arial" w:hAnsi="Arial"/>
          <w:color w:val="2E86C1"/>
          <w:sz w:val="36"/>
          <w:szCs w:val="36"/>
        </w:rPr>
        <w:t xml:space="preserve">tat des Lieux</w:t>
      </w:r>
    </w:p>
    <w:p>
      <w:pPr>
        <w:pBdr>
          <w:bottom w:val="single" w:color="2E86C1" w:sz="6" w:space="1"/>
        </w:pBdr>
        <w:spacing w:after="600"/>
        <w:jc w:val="center"/>
      </w:pPr>
      <w:r>
        <w:rPr>
          <w:rFonts w:ascii="Arial" w:cs="Arial" w:eastAsia="Arial" w:hAnsi="Arial"/>
          <w:color w:val="7F8C8D"/>
          <w:sz w:val="24"/>
          <w:szCs w:val="24"/>
        </w:rPr>
        <w:t xml:space="preserve">v1.0 — 17 février 2026</w:t>
      </w:r>
    </w:p>
    <w:p>
      <w:pPr>
        <w:spacing w:before="400"/>
      </w:pPr>
    </w:p>
    <w:p>
      <w:pPr>
        <w:jc w:val="center"/>
      </w:pPr>
      <w:r>
        <w:rPr>
          <w:rFonts w:ascii="Arial" w:cs="Arial" w:eastAsia="Arial" w:hAnsi="Arial"/>
          <w:color w:val="555555"/>
          <w:sz w:val="24"/>
          <w:szCs w:val="24"/>
        </w:rPr>
        <w:t xml:space="preserve">Auteur : Ulrich</w:t>
      </w:r>
    </w:p>
    <w:p>
      <w:pPr>
        <w:jc w:val="center"/>
      </w:pPr>
      <w:r>
        <w:rPr>
          <w:rFonts w:ascii="Arial" w:cs="Arial" w:eastAsia="Arial" w:hAnsi="Arial"/>
          <w:color w:val="777777"/>
          <w:sz w:val="22"/>
          <w:szCs w:val="22"/>
        </w:rPr>
        <w:t xml:space="preserve">Projet : Amazon Ads Automation Bot</w:t>
      </w:r>
    </w:p>
    <w:p>
      <w:pPr>
        <w:jc w:val="center"/>
      </w:pPr>
      <w:r>
        <w:rPr>
          <w:rFonts w:ascii="Arial" w:cs="Arial" w:eastAsia="Arial" w:hAnsi="Arial"/>
          <w:color w:val="777777"/>
          <w:sz w:val="22"/>
          <w:szCs w:val="22"/>
        </w:rPr>
        <w:t xml:space="preserve">Stack : NestJS · Drizzle ORM · PostgreSQL (Supabase) · TypeScript</w:t>
      </w:r>
    </w:p>
    <w:p>
      <w:pPr>
        <w:sectPr>
          <w:pgSz w:w="12240" w:h="15840" w:orient="portrait"/>
          <w:pgMar w:top="1440" w:right="1440" w:bottom="1440" w:left="1440" w:header="708" w:footer="708" w:gutter="0"/>
          <w:pgNumType/>
          <w:docGrid w:linePitch="360"/>
        </w:sectPr>
      </w:pPr>
    </w:p>
    <w:p>
      <w:pPr>
        <w:pStyle w:val="Heading1"/>
      </w:pPr>
      <w:r>
        <w:t xml:space="preserve">1. Synthèse exécutive</w:t>
      </w:r>
    </w:p>
    <w:p>
      <w:pPr>
        <w:spacing w:after="200"/>
      </w:pPr>
      <w:r>
        <w:rPr>
          <w:sz w:val="22"/>
          <w:szCs w:val="22"/>
        </w:rPr>
        <w:t xml:space="preserve">Le projet amazon-ads-bot est un backend NestJS conçu pour automatiser la gestion des publicités Amazon Ads. Il repose sur une architecture modulaire bien structurée avec 11 modules, un schéma de base de données complet (22 tables Drizzle ORM), et un système de garde-fous robuste pour la sécurité des opérations.</w:t>
      </w:r>
    </w:p>
    <w:p>
      <w:pPr>
        <w:spacing w:after="200"/>
      </w:pPr>
      <w:r>
        <w:rPr>
          <w:sz w:val="22"/>
          <w:szCs w:val="22"/>
        </w:rPr>
        <w:t xml:space="preserve">Le code source totalise environ 9 300 lignes de TypeScript réparties sur 76 fichiers. Le projet a été initialisé le 1er février 2026 avec 3 commits à ce jour. Les phases A (bootstrap) et B (authentification Amazon OAuth) sont terminées. Les phases C à G restent à compléter.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Fichiers TypeScript source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Lignes de code (src/)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~9 300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 NestJS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Tables Drizzle (schéma)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Commits 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Phases terminées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 7 (A + 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 unitaires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Workflows n8n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 4</w:t>
            </w:r>
          </w:p>
        </w:tc>
      </w:tr>
    </w:tbl>
    <w:p>
      <w:pPr>
        <w:spacing w:after="100"/>
      </w:pPr>
    </w:p>
    <w:p>
      <w:pPr>
        <w:pStyle w:val="Heading1"/>
      </w:pPr>
      <w:r>
        <w:t xml:space="preserve">2. Stack technique</w:t>
      </w:r>
    </w:p>
    <w:p>
      <w:pPr>
        <w:spacing w:after="200"/>
      </w:pPr>
      <w:r>
        <w:rPr>
          <w:sz w:val="22"/>
          <w:szCs w:val="22"/>
        </w:rPr>
        <w:t xml:space="preserve">Le projet s'appuie sur une stack moderne et bien choisie pour un backend API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NestJS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10.3.x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Drizzle 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0.29.x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de données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Zod + class-validator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3.22 / 0.14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 Client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Axios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Swagger (@nestjs/swagger)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NestJS Schedule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Telegram Bot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n8n (prévu)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100"/>
      </w:pPr>
    </w:p>
    <w:p>
      <w:pPr>
        <w:pStyle w:val="Heading1"/>
      </w:pPr>
      <w:r>
        <w:t xml:space="preserve">3. Architecture du projet</w:t>
      </w:r>
    </w:p>
    <w:p>
      <w:pPr>
        <w:pStyle w:val="Heading2"/>
      </w:pPr>
      <w:r>
        <w:t xml:space="preserve">3.1 Structure des dossiers</w:t>
      </w:r>
    </w:p>
    <w:p>
      <w:pPr>
        <w:spacing w:after="200"/>
      </w:pPr>
      <w:r>
        <w:rPr>
          <w:sz w:val="22"/>
          <w:szCs w:val="22"/>
        </w:rPr>
        <w:t xml:space="preserve">Le projet suit la convention NestJS standard avec une séparation claire entre configuration, modules métier, couche base de données et utilitaires. Le dossier src/ contient 4 sous-dossiers principaux : config/ (5 fichiers de configuration), db/ (22 schémas + connexion), modules/ (11 modules métier), et utils/ (4 fichiers utilitaires).</w:t>
      </w:r>
    </w:p>
    <w:p>
      <w:pPr>
        <w:pStyle w:val="Heading2"/>
      </w:pPr>
      <w:r>
        <w:t xml:space="preserve">3.2 Modules NestJS</w:t>
      </w:r>
    </w:p>
    <w:p>
      <w:pPr>
        <w:spacing w:after="200"/>
      </w:pPr>
      <w:r>
        <w:rPr>
          <w:sz w:val="22"/>
          <w:szCs w:val="22"/>
        </w:rPr>
        <w:t xml:space="preserve">L'application s'organise autour de 11 modules chargés dans un ordre précis de dépendances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checks, config, kill switch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FAIT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 Amazon (LWA), 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FAIT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AmazonClientModule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HTTP Amazon Ads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(service)</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SyncModule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Synchro données depuis Amazon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Moteur de règles d'automatisation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Recommandations issues des règles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ExecutorModule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Exécution actions sur Amazon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Catalogue livres / mapping campagnes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MetricsModule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KPIs et métriques quotidiennes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Incidents et notifications Telegram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ReportsModule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Rapports Amazon (prévu)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MANQUANT</w:t>
            </w:r>
          </w:p>
        </w:tc>
      </w:tr>
    </w:tbl>
    <w:p>
      <w:pPr>
        <w:spacing w:after="100"/>
      </w:pPr>
    </w:p>
    <w:p>
      <w:pPr>
        <w:pStyle w:val="Heading2"/>
      </w:pPr>
      <w:r>
        <w:t xml:space="preserve">3.3 Schéma de base de données (22 tables)</w:t>
      </w:r>
    </w:p>
    <w:p>
      <w:pPr>
        <w:spacing w:after="200"/>
      </w:pPr>
      <w:r>
        <w:rPr>
          <w:sz w:val="22"/>
          <w:szCs w:val="22"/>
        </w:rPr>
        <w:t xml:space="preserve">Le schéma Drizzle couvre l'intégralité du modèle de données défini dans ArchitectureV1.pdf. Les tables sont organisées en 6 domaines fonctionnels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Clés / Contraintes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Utilisateurs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 workspaces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UNIQUE(user_id,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Comptes Amazon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ad_accounts, marketplace_profiles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UNIQUE(ad_account_id, profile_id)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books, campaign_book_mapping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UNIQUE(workspace_id, asin, marketplace)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 campagnes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campaigns, ad_groups, keywords, negative_keywords, product_targets, portfolios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 keys polymorphes type:amazon_id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Métriques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daily_metrics, report_jobs, search_terms, sync_logs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UNIQUE(entity_type, entity_key,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Automatisation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 recommendations, action_log, incidents, system_config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rule_snapshot JSONB, before/after audit</w:t>
            </w:r>
          </w:p>
        </w:tc>
      </w:tr>
    </w:tbl>
    <w:p>
      <w:pPr>
        <w:spacing w:after="100"/>
      </w:pPr>
    </w:p>
    <w:p>
      <w:r>
        <w:br w:type="page"/>
      </w:r>
    </w:p>
    <w:p>
      <w:pPr>
        <w:pStyle w:val="Heading1"/>
      </w:pPr>
      <w:r>
        <w:t xml:space="preserve">4. État d'avancement par phase</w:t>
      </w:r>
    </w:p>
    <w:p>
      <w:pPr>
        <w:spacing w:after="200"/>
      </w:pPr>
      <w:r>
        <w:rPr>
          <w:sz w:val="22"/>
          <w:szCs w:val="22"/>
        </w:rPr>
        <w:t xml:space="preserve">Le plan d'implémentation définit 7 phases (A à G). Voici l'état actuel de chacune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Remarques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Bootstrap NestJS, health checks, DB</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FAIT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main.ts, app.module, SSL Supabase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Amazon OAuth (LWA)</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FAIT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Flow complet, tokens chiffrés en DB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Sync structure (campaigns, ad_groups, keywords)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Schéma prêt, logique sync à implémenter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Reports &amp; métriques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MANQUANT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 Reports inexistant, ingestion manquante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Moteur de règles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RuleEvaluator partiel, seed règles manquant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Executor &amp; action log</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STUB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 prête, exécution API manquante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Alertes &amp; n8n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B4335"/>
                <w:sz w:val="20"/>
                <w:szCs w:val="20"/>
              </w:rPr>
              <w:t xml:space="preserve">MANQUANT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 workflows n8n, Telegram partiel</w:t>
            </w:r>
          </w:p>
        </w:tc>
      </w:tr>
    </w:tbl>
    <w:p>
      <w:pPr>
        <w:spacing w:after="100"/>
      </w:pPr>
    </w:p>
    <w:p>
      <w:pPr>
        <w:spacing w:before="200" w:after="200"/>
      </w:pPr>
      <w:r>
        <w:rPr>
          <w:b/>
          <w:bCs/>
          <w:color w:val="1B4F72"/>
          <w:sz w:val="24"/>
          <w:szCs w:val="24"/>
        </w:rPr>
        <w:t xml:space="preserve">Progression globale estimée : environ 30-35%</w:t>
      </w:r>
      <w:r>
        <w:rPr>
          <w:sz w:val="22"/>
          <w:szCs w:val="22"/>
        </w:rPr>
        <w:t xml:space="preserve"> — Les fondations (config, DB, auth) sont solides. La logique métier (sync, reports, execution) représente le gros du travail restant.</w:t>
      </w:r>
    </w:p>
    <w:p>
      <w:pPr>
        <w:pStyle w:val="Heading1"/>
      </w:pPr>
      <w:r>
        <w:t xml:space="preserve">5. Analyse détaillée des composants</w:t>
      </w:r>
    </w:p>
    <w:p>
      <w:pPr>
        <w:pStyle w:val="Heading2"/>
      </w:pPr>
      <w:r>
        <w:t xml:space="preserve">5.1 Configuration (config/)</w:t>
      </w:r>
    </w:p>
    <w:p>
      <w:pPr>
        <w:spacing w:after="200"/>
      </w:pPr>
      <w:r>
        <w:rPr>
          <w:sz w:val="22"/>
          <w:szCs w:val="22"/>
        </w:rPr>
        <w:t xml:space="preserve">La couche de configuration est complète et robuste. La validation Zod dans env.ts garantit que le serveur ne démarre pas sans les variables critiques (DATABASE_URL, ENCRYPTION_KEY, clés Amazon). Le fichier guards.ts définit les garde-fous de sécurité : enchhère min/max (0.10€ à 2.00€), limites de variation (+20% / -30%), seuils de décision (15 clics min, 5€ de dépense min), et limites d'actions (50/jour, 10/règle/jour). La fonction validateBidChange() est implémentée et conforme au PDF.</w:t>
      </w:r>
    </w:p>
    <w:p>
      <w:pPr>
        <w:pStyle w:val="Heading2"/>
      </w:pPr>
      <w:r>
        <w:t xml:space="preserve">5.2 Authentification Amazon</w:t>
      </w:r>
    </w:p>
    <w:p>
      <w:pPr>
        <w:spacing w:after="200"/>
      </w:pPr>
      <w:r>
        <w:rPr>
          <w:sz w:val="22"/>
          <w:szCs w:val="22"/>
        </w:rPr>
        <w:t xml:space="preserve">Le module Auth est le plus complet du projet. Le flow OAuth LWA fonctionne de bout en bout : redirection Amazon, échange de code, stockage du refresh_token chiffré (AES-256-GCM), pages HTML de succès/erreur pour le callback. La protection CSRF est assurée par des tokens d'état avec TTL de 10 minutes. Seul point d'attention : le cache des tokens est en mémoire (perdu au redémarrage) — à migrer vers Redis pour la production.</w:t>
      </w:r>
    </w:p>
    <w:p>
      <w:pPr>
        <w:pStyle w:val="Heading2"/>
      </w:pPr>
      <w:r>
        <w:t xml:space="preserve">5.3 Client Amazon Ads API</w:t>
      </w:r>
    </w:p>
    <w:p>
      <w:pPr>
        <w:spacing w:after="200"/>
      </w:pPr>
      <w:r>
        <w:rPr>
          <w:sz w:val="22"/>
          <w:szCs w:val="22"/>
        </w:rPr>
        <w:t xml:space="preserve">Le service AmazonClientService gère le cache d'access tokens en mémoire avec une marge de sécurité de 5 minutes, le déchiffrement des refresh tokens depuis la DB, et la configuration du rate limiting (10 req/s par défaut, 1 req/s pour les reports). Les méthodes requestReport, getReportStatus et downloadReport sont déclarées mais l'intégration complète dans un module Reports est absente.</w:t>
      </w:r>
    </w:p>
    <w:p>
      <w:pPr>
        <w:pStyle w:val="Heading2"/>
      </w:pPr>
      <w:r>
        <w:t xml:space="preserve">5.4 Synchronisation (Sync)</w:t>
      </w:r>
    </w:p>
    <w:p>
      <w:pPr>
        <w:spacing w:after="200"/>
      </w:pPr>
      <w:r>
        <w:rPr>
          <w:sz w:val="22"/>
          <w:szCs w:val="22"/>
        </w:rPr>
        <w:t xml:space="preserve">Le module Sync dispose d'un controller fonctionnel (POST /api/sync/trigger, GET /api/sync/status) mais le service contient essentiellement des stubs. La logique de récupération des données Amazon (campaigns, ad_groups, keywords, targets) via l'API et leur persistance en base par UPSERT reste à implémenter. C'est un des chantiers les plus importants.</w:t>
      </w:r>
    </w:p>
    <w:p>
      <w:pPr>
        <w:pStyle w:val="Heading2"/>
      </w:pPr>
      <w:r>
        <w:t xml:space="preserve">5.5 Utilitaires</w:t>
      </w:r>
    </w:p>
    <w:p>
      <w:pPr>
        <w:spacing w:after="200"/>
      </w:pPr>
      <w:r>
        <w:rPr>
          <w:sz w:val="22"/>
          <w:szCs w:val="22"/>
        </w:rPr>
        <w:t xml:space="preserve">Les utilitaires sont complets et bien conçus : entity-key.ts gère le système de clés polymorphes (type:amazon_id et search_term:adGroupId:hash), helpers.ts fournit le chiffrement AES-256-GCM, le calcul des KPIs (ACOS, ROAS, CTR, CVR, CPC), la gestion des dates Amazon, et des helpers async (retry avec backoff exponentiel, traitement par batch avec concurrence limitée). Le logger contextuel permet un suivi structuré des opérations.</w:t>
      </w:r>
    </w:p>
    <w:p>
      <w:r>
        <w:br w:type="page"/>
      </w:r>
    </w:p>
    <w:p>
      <w:pPr>
        <w:pStyle w:val="Heading1"/>
      </w:pPr>
      <w:r>
        <w:t xml:space="preserve">6. Éléments manquants et à compléter</w:t>
      </w:r>
    </w:p>
    <w:p>
      <w:pPr>
        <w:pStyle w:val="Heading2"/>
      </w:pPr>
      <w:r>
        <w:t xml:space="preserve">6.1 Manquants critiques (bloquants)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Élément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 Reports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Aucun controller/service pour request, poll et ingestion des rapports Amazon. Nécessaire pour alimenter daily_metrics et search_terms.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Logique Sync complète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 service sync est un stub. L'UPSERT des campaigns, ad_groups, keywords, targets depuis l'API Amazon n'est pas implémenté.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Ingestion reports vers daily_metrics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Aucun code pour parser les rapports CSV Amazon et peupler daily_metrics avec les entity_keys correctes (dont search_term:adGroupId:hash).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Exécution Amazon API (Executor)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 méthodes d'appel API réelles (modifier enchère, pauser keyword, ajouter négatif) sont absentes du service executor.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Migrations SQL Supabase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 migrations 001 (schéma), 002 (vues/fonctions) et 003 (seed règles) n'ont pas été exécutées sur Supabase.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Critique</w:t>
            </w:r>
          </w:p>
        </w:tc>
      </w:tr>
    </w:tbl>
    <w:p>
      <w:pPr>
        <w:spacing w:after="200"/>
      </w:pPr>
    </w:p>
    <w:p>
      <w:pPr>
        <w:pStyle w:val="Heading2"/>
      </w:pPr>
      <w:r>
        <w:t xml:space="preserve">6.2 Manquants importants (non bloquants)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Élément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Workflows n8n (0/4)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Aucun des 4 workflows n8n (Nightly-Sync, Evaluate-Rules, Execute-Approved, Daily-Summary) n'est créé.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 règles par défaut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 7 règles d'automatisation par défaut (bid_adjustment, pause_keyword, harvest, negative, alertes) ne sont pas chargées.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Sync search terms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 table search_terms est définie mais la synchro depuis les rapports n'existe pas.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Vues 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 vues calculées (v_daily_metrics_with_kpi, v_book_performance, etc.) ne sont pas déployées.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 seed workspace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script pour initialiser un workspace avec ses règles par défaut.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 unitaires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Aucun fichier .spec.ts détecté. Zéro couverture de tests.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 Redis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 tokens et l'état OAuth sont en mémoire. Incompatible avec un déploiement multi-instances.</w:t>
            </w:r>
          </w:p>
        </w:tc>
      </w:tr>
    </w:tbl>
    <w:p>
      <w:pPr>
        <w:spacing w:after="100"/>
      </w:pPr>
    </w:p>
    <w:p>
      <w:pPr>
        <w:pStyle w:val="Heading1"/>
      </w:pPr>
      <w:r>
        <w:t xml:space="preserve">7. Points forts du projet</w:t>
      </w:r>
    </w:p>
    <w:p>
      <w:pPr>
        <w:pStyle w:val="ListParagraph"/>
        <w:numPr>
          <w:ilvl w:val="0"/>
          <w:numId w:val="2"/>
        </w:numPr>
        <w:spacing w:after="80"/>
      </w:pPr>
      <w:r>
        <w:rPr>
          <w:b/>
          <w:bCs/>
          <w:sz w:val="22"/>
          <w:szCs w:val="22"/>
        </w:rPr>
        <w:t xml:space="preserve">Architecture modulaire NestJS propre</w:t>
      </w:r>
      <w:r>
        <w:rPr>
          <w:sz w:val="22"/>
          <w:szCs w:val="22"/>
        </w:rPr>
        <w:t xml:space="preserve"> — séparation claire des responsabilités entre modules, facilité d'évolution.</w:t>
      </w:r>
    </w:p>
    <w:p>
      <w:pPr>
        <w:pStyle w:val="ListParagraph"/>
        <w:numPr>
          <w:ilvl w:val="0"/>
          <w:numId w:val="2"/>
        </w:numPr>
        <w:spacing w:after="80"/>
      </w:pPr>
      <w:r>
        <w:rPr>
          <w:b/>
          <w:bCs/>
          <w:sz w:val="22"/>
          <w:szCs w:val="22"/>
        </w:rPr>
        <w:t xml:space="preserve">Schéma DB exhaustif et bien indexé</w:t>
      </w:r>
      <w:r>
        <w:rPr>
          <w:sz w:val="22"/>
          <w:szCs w:val="22"/>
        </w:rPr>
        <w:t xml:space="preserve"> — 22 tables avec contraintes UNIQUE, index composites, JSONB pour la flexibilité.</w:t>
      </w:r>
    </w:p>
    <w:p>
      <w:pPr>
        <w:pStyle w:val="ListParagraph"/>
        <w:numPr>
          <w:ilvl w:val="0"/>
          <w:numId w:val="2"/>
        </w:numPr>
        <w:spacing w:after="80"/>
      </w:pPr>
      <w:r>
        <w:rPr>
          <w:b/>
          <w:bCs/>
          <w:sz w:val="22"/>
          <w:szCs w:val="22"/>
        </w:rPr>
        <w:t xml:space="preserve">Sécurité intégrée dès le départ</w:t>
      </w:r>
      <w:r>
        <w:rPr>
          <w:sz w:val="22"/>
          <w:szCs w:val="22"/>
        </w:rPr>
        <w:t xml:space="preserve"> — chiffrement AES-256-GCM des tokens, DRY_RUN par défaut, kill switch, garde-fous sur les enchères.</w:t>
      </w:r>
    </w:p>
    <w:p>
      <w:pPr>
        <w:pStyle w:val="ListParagraph"/>
        <w:numPr>
          <w:ilvl w:val="0"/>
          <w:numId w:val="2"/>
        </w:numPr>
        <w:spacing w:after="80"/>
      </w:pPr>
      <w:r>
        <w:rPr>
          <w:b/>
          <w:bCs/>
          <w:sz w:val="22"/>
          <w:szCs w:val="22"/>
        </w:rPr>
        <w:t xml:space="preserve">Validation env stricte (Zod)</w:t>
      </w:r>
      <w:r>
        <w:rPr>
          <w:sz w:val="22"/>
          <w:szCs w:val="22"/>
        </w:rPr>
        <w:t xml:space="preserve"> — le serveur ne démarre pas si une variable critique manque.</w:t>
      </w:r>
    </w:p>
    <w:p>
      <w:pPr>
        <w:pStyle w:val="ListParagraph"/>
        <w:numPr>
          <w:ilvl w:val="0"/>
          <w:numId w:val="2"/>
        </w:numPr>
        <w:spacing w:after="80"/>
      </w:pPr>
      <w:r>
        <w:rPr>
          <w:b/>
          <w:bCs/>
          <w:sz w:val="22"/>
          <w:szCs w:val="22"/>
        </w:rPr>
        <w:t xml:space="preserve">Entity keys polymorphes</w:t>
      </w:r>
      <w:r>
        <w:rPr>
          <w:sz w:val="22"/>
          <w:szCs w:val="22"/>
        </w:rPr>
        <w:t xml:space="preserve"> — système élégant pour identifier n'importe quelle entité (campaign:id, keyword:id, search_term:adGroupId:hash).</w:t>
      </w:r>
    </w:p>
    <w:p>
      <w:pPr>
        <w:pStyle w:val="ListParagraph"/>
        <w:numPr>
          <w:ilvl w:val="0"/>
          <w:numId w:val="2"/>
        </w:numPr>
        <w:spacing w:after="80"/>
      </w:pPr>
      <w:r>
        <w:rPr>
          <w:b/>
          <w:bCs/>
          <w:sz w:val="22"/>
          <w:szCs w:val="22"/>
        </w:rPr>
        <w:t xml:space="preserve">Document d'architecture complet (PDF)</w:t>
      </w:r>
      <w:r>
        <w:rPr>
          <w:sz w:val="22"/>
          <w:szCs w:val="22"/>
        </w:rPr>
        <w:t xml:space="preserve"> — ArchitectureV1.pdf sert de source de vérité, le code s'y conforme fidèlement.</w:t>
      </w:r>
    </w:p>
    <w:p>
      <w:pPr>
        <w:pStyle w:val="ListParagraph"/>
        <w:numPr>
          <w:ilvl w:val="0"/>
          <w:numId w:val="2"/>
        </w:numPr>
        <w:spacing w:after="80"/>
      </w:pPr>
      <w:r>
        <w:rPr>
          <w:b/>
          <w:bCs/>
          <w:sz w:val="22"/>
          <w:szCs w:val="22"/>
        </w:rPr>
        <w:t xml:space="preserve">Audit trail complet prévu</w:t>
      </w:r>
      <w:r>
        <w:rPr>
          <w:sz w:val="22"/>
          <w:szCs w:val="22"/>
        </w:rPr>
        <w:t xml:space="preserve"> — action_log avec before/after, API request/response, rollback, dry_run flag.</w:t>
      </w:r>
    </w:p>
    <w:p>
      <w:r>
        <w:br w:type="page"/>
      </w:r>
    </w:p>
    <w:p>
      <w:pPr>
        <w:pStyle w:val="Heading1"/>
      </w:pPr>
      <w:r>
        <w:t xml:space="preserve">8. Risques et recommandations</w:t>
      </w:r>
    </w:p>
    <w:p>
      <w:pPr>
        <w:pStyle w:val="Heading2"/>
      </w:pPr>
      <w:r>
        <w:t xml:space="preserve">8.1 Risques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800"/>
        <w:gridCol w:w="34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Risque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Probabilité</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Zéro tests unitaires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Certaine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Ajouter des tests au fur et à mesure des phases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 mémoire (tokens, state)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Haute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Migrer vers Redis avant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rate limiting applicatif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Implémenter throttling NestJS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gestion transactions DB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Ajouter transactions Drizzle pour les ops complexes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Dépendance n8n non testée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Haute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Créer les workflows et tester le pipeline complet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 de monitoring / observabilité</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Certaine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Ajouter métriques Prometheus ou équivalent (V2)</w:t>
            </w:r>
          </w:p>
        </w:tc>
      </w:tr>
    </w:tbl>
    <w:p>
      <w:pPr>
        <w:spacing w:after="200"/>
      </w:pPr>
    </w:p>
    <w:p>
      <w:pPr>
        <w:pStyle w:val="Heading2"/>
      </w:pPr>
      <w:r>
        <w:t xml:space="preserve">8.2 Recommandations prioritaires</w:t>
      </w:r>
    </w:p>
    <w:p>
      <w:pPr>
        <w:pStyle w:val="ListParagraph"/>
        <w:numPr>
          <w:ilvl w:val="0"/>
          <w:numId w:val="3"/>
        </w:numPr>
        <w:spacing w:after="80"/>
      </w:pPr>
      <w:r>
        <w:rPr>
          <w:b/>
          <w:bCs/>
          <w:sz w:val="22"/>
          <w:szCs w:val="22"/>
        </w:rPr>
        <w:t xml:space="preserve">Compléter la Phase C (Sync)</w:t>
      </w:r>
      <w:r>
        <w:rPr>
          <w:sz w:val="22"/>
          <w:szCs w:val="22"/>
        </w:rPr>
        <w:t xml:space="preserve"> — C'est le fondement : sans données synchronisées, rien d'autre ne fonctionne. Implémenter l'UPSERT complet depuis l'API Amazon.</w:t>
      </w:r>
    </w:p>
    <w:p>
      <w:pPr>
        <w:pStyle w:val="ListParagraph"/>
        <w:numPr>
          <w:ilvl w:val="0"/>
          <w:numId w:val="3"/>
        </w:numPr>
        <w:spacing w:after="80"/>
      </w:pPr>
      <w:r>
        <w:rPr>
          <w:b/>
          <w:bCs/>
          <w:sz w:val="22"/>
          <w:szCs w:val="22"/>
        </w:rPr>
        <w:t xml:space="preserve">Créer le Module Reports (Phase D)</w:t>
      </w:r>
      <w:r>
        <w:rPr>
          <w:sz w:val="22"/>
          <w:szCs w:val="22"/>
        </w:rPr>
        <w:t xml:space="preserve"> — Les métriques quotidiennes sont la matière première du moteur de règles. Sans reports ingested, pas de décisions automatisées.</w:t>
      </w:r>
    </w:p>
    <w:p>
      <w:pPr>
        <w:pStyle w:val="ListParagraph"/>
        <w:numPr>
          <w:ilvl w:val="0"/>
          <w:numId w:val="3"/>
        </w:numPr>
        <w:spacing w:after="80"/>
      </w:pPr>
      <w:r>
        <w:rPr>
          <w:b/>
          <w:bCs/>
          <w:sz w:val="22"/>
          <w:szCs w:val="22"/>
        </w:rPr>
        <w:t xml:space="preserve">Exécuter les migrations SQL sur Supabase</w:t>
      </w:r>
      <w:r>
        <w:rPr>
          <w:sz w:val="22"/>
          <w:szCs w:val="22"/>
        </w:rPr>
        <w:t xml:space="preserve"> — Les vues calculées et fonctions SQL sont nécessaires pour les KPIs et le moteur de règles.</w:t>
      </w:r>
    </w:p>
    <w:p>
      <w:pPr>
        <w:pStyle w:val="ListParagraph"/>
        <w:numPr>
          <w:ilvl w:val="0"/>
          <w:numId w:val="3"/>
        </w:numPr>
        <w:spacing w:after="80"/>
      </w:pPr>
      <w:r>
        <w:rPr>
          <w:b/>
          <w:bCs/>
          <w:sz w:val="22"/>
          <w:szCs w:val="22"/>
        </w:rPr>
        <w:t xml:space="preserve">Ajouter des tests dès maintenant</w:t>
      </w:r>
      <w:r>
        <w:rPr>
          <w:sz w:val="22"/>
          <w:szCs w:val="22"/>
        </w:rPr>
        <w:t xml:space="preserve"> — Commencer par les utilitaires (entity-key, helpers, guards) puis les services critiques (auth, sync). Viser 70%+ de couverture.</w:t>
      </w:r>
    </w:p>
    <w:p>
      <w:pPr>
        <w:pStyle w:val="ListParagraph"/>
        <w:numPr>
          <w:ilvl w:val="0"/>
          <w:numId w:val="3"/>
        </w:numPr>
        <w:spacing w:after="80"/>
      </w:pPr>
      <w:r>
        <w:rPr>
          <w:b/>
          <w:bCs/>
          <w:sz w:val="22"/>
          <w:szCs w:val="22"/>
        </w:rPr>
        <w:t xml:space="preserve">Tester le pipeline complet en dry_run</w:t>
      </w:r>
      <w:r>
        <w:rPr>
          <w:sz w:val="22"/>
          <w:szCs w:val="22"/>
        </w:rPr>
        <w:t xml:space="preserve"> — Dès que les phases C+D+E sont en place, valider le cycle sync → metrics → règles → recommandations en mode dry_run.</w:t>
      </w:r>
    </w:p>
    <w:p>
      <w:pPr>
        <w:pStyle w:val="Heading1"/>
      </w:pPr>
      <w:r>
        <w:t xml:space="preserve">9. Feuille de route suggérée</w:t>
      </w:r>
    </w:p>
    <w:p>
      <w:pPr>
        <w:spacing w:after="200"/>
      </w:pPr>
      <w:r>
        <w:rPr>
          <w:sz w:val="22"/>
          <w:szCs w:val="22"/>
        </w:rPr>
        <w:t xml:space="preserve">Voici l'ordre de priorité suggéré pour atteindre un MVP fonctionnel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23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Ordre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 Tâche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Dépendances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Migrations SQL Supabase (001, 002, 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jour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Accès Supabase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C — Sync complète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Migrations SQL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D — Module Reports + ingestion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E — Moteur de règles complet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F — Executor API réel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 unitaires (couverture 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G — Workflows n8n + Telegram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pipeline complet (dry_run)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Toutes phases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 cache 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Avant production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ESTIMÉ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19-30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200"/>
      </w:pPr>
    </w:p>
    <w:p>
      <w:pPr>
        <w:pStyle w:val="Heading1"/>
      </w:pPr>
      <w:r>
        <w:t xml:space="preserve">10. Conclusion</w:t>
      </w:r>
    </w:p>
    <w:p>
      <w:pPr>
        <w:spacing w:after="200"/>
      </w:pPr>
      <w:r>
        <w:rPr>
          <w:sz w:val="22"/>
          <w:szCs w:val="22"/>
        </w:rPr>
        <w:t xml:space="preserve">Le projet amazon-ads-bot repose sur des fondations solides : une architecture NestJS bien structurée, un schéma de base de données complet et fidèle au document d'architecture, et des mécanismes de sécurité intégrés dès la conception (chiffrement, garde-fous, dry_run, kill switch).</w:t>
      </w:r>
    </w:p>
    <w:p>
      <w:pPr>
        <w:spacing w:after="200"/>
      </w:pPr>
      <w:r>
        <w:rPr>
          <w:sz w:val="22"/>
          <w:szCs w:val="22"/>
        </w:rPr>
        <w:t xml:space="preserve">Le travail restant est principalement de la logique métier : connecter les modules aux API Amazon pour la synchronisation et l'exécution, implémenter le pipeline de rapports, et finaliser le moteur de règles. L'estimation globale pour atteindre un MVP fonctionnel est de 3 à 5 semaines de développement.</w:t>
      </w:r>
    </w:p>
    <w:p>
      <w:pPr>
        <w:spacing w:after="200"/>
      </w:pPr>
      <w:r>
        <w:rPr>
          <w:sz w:val="22"/>
          <w:szCs w:val="22"/>
        </w:rPr>
        <w:t xml:space="preserve">La priorité immédiate devrait être la Phase C (synchronisation complète) suivie de la Phase D (rapports et métriques), car ces deux composants sont les prérequis de tout le reste du système.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color w:val="999999"/>
        <w:sz w:val="16"/>
        <w:szCs w:val="16"/>
      </w:rPr>
      <w:t xml:space="preserve">Amazon Ads Bot — </w:t>
    </w:r>
    <w:r>
      <w:rPr>
        <w:rFonts w:ascii="Arial" w:cs="Arial" w:eastAsia="Arial" w:hAnsi="Arial"/>
        <w:color w:val="999999"/>
        <w:sz w:val="16"/>
        <w:szCs w:val="16"/>
      </w:rPr>
      <w:t xml:space="preserve">E</w:t>
    </w:r>
    <w:r>
      <w:rPr>
        <w:rFonts w:ascii="Arial" w:cs="Arial" w:eastAsia="Arial" w:hAnsi="Arial"/>
        <w:color w:val="999999"/>
        <w:sz w:val="16"/>
        <w:szCs w:val="16"/>
      </w:rPr>
      <w:t xml:space="preserve">tat des lieux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2026-02-17T14:48:52.073Z</dcterms:created>
  <dcterms:modified xsi:type="dcterms:W3CDTF">2026-02-17T14:48:52.086Z</dcterms:modified>
</cp:coreProperties>
</file>

<file path=docProps/custom.xml><?xml version="1.0" encoding="utf-8"?>
<Properties xmlns="http://schemas.openxmlformats.org/officeDocument/2006/custom-properties" xmlns:vt="http://schemas.openxmlformats.org/officeDocument/2006/docPropsVTypes"/>
</file>