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0"/>
        </w:numPr>
        <w:spacing w:lineRule="auto" w:line="240" w:before="100" w:after="100"/>
        <w:ind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 xml:space="preserve">Adafruit INA219 current sensor breakout 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240" w:before="100" w:after="10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sz w:val="20"/>
            <w:szCs w:val="20"/>
          </w:rPr>
          <w:t>https://learn.adafruit.com/adafruit-ina219-current-sensor-breakout/pinouts</w:t>
        </w:r>
      </w:hyperlink>
    </w:p>
    <w:p>
      <w:pPr>
        <w:pStyle w:val="Heading2"/>
        <w:numPr>
          <w:ilvl w:val="0"/>
          <w:numId w:val="0"/>
        </w:numPr>
        <w:spacing w:lineRule="auto" w:line="240" w:before="100" w:after="100"/>
        <w:ind w:hanging="0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O</w:t>
      </w:r>
      <w:r>
        <w:rPr>
          <w:rFonts w:eastAsia="Times New Roman" w:cs="Times New Roman"/>
          <w:b/>
          <w:bCs/>
          <w:sz w:val="36"/>
          <w:szCs w:val="36"/>
        </w:rPr>
        <w:t xml:space="preserve">verview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/>
      </w:pPr>
      <w:r>
        <w:rPr/>
        <w:t xml:space="preserve">The INA219B breakout board and the INA219 FeatherWing will solve all your power-monitoring problems. Instead of struggling with two multimeters, you can use this breakout to measure both the high side voltage and DC current draw over I2C with 1% precision. </w:t>
      </w:r>
    </w:p>
    <w:p>
      <w:pPr>
        <w:pStyle w:val="Heading2"/>
        <w:tabs>
          <w:tab w:val="clear" w:pos="720"/>
          <w:tab w:val="left" w:pos="0" w:leader="none"/>
        </w:tabs>
        <w:ind w:left="0" w:hanging="0"/>
        <w:rPr/>
      </w:pPr>
      <w:r>
        <w:rPr/>
        <w:t>W</w:t>
      </w:r>
      <w:r>
        <w:rPr/>
        <w:t>hy the High Side?</w:t>
      </w:r>
    </w:p>
    <w:p>
      <w:pPr>
        <w:pStyle w:val="TextBody"/>
        <w:spacing w:before="0" w:after="0"/>
        <w:rPr/>
      </w:pPr>
      <w:r>
        <w:rPr/>
        <w:t>Most current-measuring devices such as our current panel meter are only good for </w:t>
      </w:r>
      <w:r>
        <w:rPr>
          <w:rStyle w:val="Emphasis"/>
        </w:rPr>
        <w:t>low side</w:t>
      </w:r>
      <w:r>
        <w:rPr/>
        <w:t xml:space="preserve"> measuring. That means that unless you want to get a battery involved, you have to stick the measurement resistor between the target ground and true ground. </w:t>
        <w:br/>
        <w:br/>
        <w:t xml:space="preserve">Since the voltage drop across the resistor is proportional to the current draw, this means that the ground reference will change with varying current. Having a shifting ground reference can cause problems for many circuits. </w:t>
        <w:br/>
        <w:br/>
        <w:t xml:space="preserve">The INA219B chip is much smarter - it can handle high side current measuring, up to +26VDC, even though it is powered with 3 or 5V. It will also report back that high side voltage, which is great for tracking battery life or solar panels. </w:t>
      </w:r>
    </w:p>
    <w:p>
      <w:pPr>
        <w:pStyle w:val="Heading2"/>
        <w:tabs>
          <w:tab w:val="clear" w:pos="720"/>
          <w:tab w:val="left" w:pos="0" w:leader="none"/>
        </w:tabs>
        <w:ind w:left="0" w:hanging="0"/>
        <w:rPr/>
      </w:pPr>
      <w:r>
        <w:rPr/>
        <w:t>H</w:t>
      </w:r>
      <w:r>
        <w:rPr/>
        <w:t>ow does it work?</w:t>
      </w:r>
    </w:p>
    <w:p>
      <w:pPr>
        <w:pStyle w:val="TextBody"/>
        <w:spacing w:before="0" w:after="0"/>
        <w:rPr/>
      </w:pPr>
      <w:r>
        <w:rPr/>
        <w:t>A precision amplifier measures the voltage across the 0.1 ohm, 1% sense resistor. Since the amplifier maximum input difference is ±320mV this means it can measure up to ±3.2 Amps. With the internal 12 bit ADC, the resolution at ±3.2A range is 0.8mA. With the internal gain set at the minimum of div8, the max current is ±400mA and the resolution is 0.1mA. Advanced hackers can remove the 0.1 ohm current sense resistor and replace it with their own to change the range (say a 0.01 ohm to measure up 32 Amps with a resolution of 8mA)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 xml:space="preserve">(The medium-gain mode we will use has a max current of 1 A and  a resolution of—I think—0.4 mA). 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240" w:before="100" w:after="10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1"/>
        <w:numPr>
          <w:ilvl w:val="0"/>
          <w:numId w:val="0"/>
        </w:numPr>
        <w:suppressAutoHyphens w:val="true"/>
        <w:spacing w:lineRule="auto" w:line="240" w:before="100" w:after="10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  <w:r>
        <w:br w:type="page"/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240" w:before="100" w:after="10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 xml:space="preserve">Pinouts </w:t>
      </w:r>
    </w:p>
    <w:p>
      <w:pPr>
        <w:pStyle w:val="Normal1"/>
        <w:spacing w:lineRule="auto" w:line="240" w:before="0" w:after="0"/>
        <w:rPr/>
      </w:pPr>
      <w:r>
        <w:rPr>
          <w:rStyle w:val="DefaultParagraphFont"/>
          <w:rFonts w:eastAsia="Times New Roman" w:cs="Times New Roman" w:ascii="Times New Roman" w:hAnsi="Times New Roman"/>
          <w:color w:val="0000FF"/>
          <w:sz w:val="24"/>
          <w:szCs w:val="24"/>
        </w:rPr>
        <w:drawing>
          <wp:inline distT="0" distB="0" distL="0" distR="0">
            <wp:extent cx="2991485" cy="2244090"/>
            <wp:effectExtent l="0" t="0" r="0" b="0"/>
            <wp:docPr id="1" name="Picture 2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close-up of a computer chip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240" w:before="100" w:after="10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Power Pins</w:t>
      </w:r>
    </w:p>
    <w:p>
      <w:pPr>
        <w:pStyle w:val="Normal1"/>
        <w:spacing w:lineRule="auto" w:line="240" w:before="100" w:after="1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sensor on the breakout requires between a 2.7V and 5.5V.</w:t>
      </w:r>
    </w:p>
    <w:p>
      <w:pPr>
        <w:pStyle w:val="Normal1"/>
        <w:numPr>
          <w:ilvl w:val="0"/>
          <w:numId w:val="2"/>
        </w:numPr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VIN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 - This is the power pin. To power the board, give it the same power as the logic level of your microcontroller - e.g. for a 5V micro like Arduino, use 5V, or for a Feather use 3.3V. (Arduino MKR is 3.3 V.)</w:t>
      </w:r>
    </w:p>
    <w:p>
      <w:pPr>
        <w:pStyle w:val="Normal1"/>
        <w:numPr>
          <w:ilvl w:val="0"/>
          <w:numId w:val="2"/>
        </w:numPr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GND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 - This is common ground for power and logic.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240" w:before="100" w:after="10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I2C Pins</w:t>
      </w:r>
    </w:p>
    <w:p>
      <w:pPr>
        <w:pStyle w:val="Normal1"/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Default address is </w:t>
      </w: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0x40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numPr>
          <w:ilvl w:val="0"/>
          <w:numId w:val="3"/>
        </w:numPr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 xml:space="preserve">SCL 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- This is the I2C </w:t>
      </w: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clock pin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, connect to your microcontroller's I2C clock line. There's a </w:t>
      </w: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10K pullup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 on this pin.</w:t>
      </w:r>
    </w:p>
    <w:p>
      <w:pPr>
        <w:pStyle w:val="Normal1"/>
        <w:numPr>
          <w:ilvl w:val="0"/>
          <w:numId w:val="3"/>
        </w:numPr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 xml:space="preserve">SDA 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- This is the I2C </w:t>
      </w: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data pin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, connect to your microcontroller's I2C data line. There's a </w:t>
      </w: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10K pullup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 on this pin.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240" w:before="100" w:after="10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Other Pins</w:t>
      </w:r>
    </w:p>
    <w:p>
      <w:pPr>
        <w:pStyle w:val="Normal1"/>
        <w:numPr>
          <w:ilvl w:val="0"/>
          <w:numId w:val="4"/>
        </w:numPr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Vin+ 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>is the positive input pin. Connect to supply for high side current sensing or to load ground for low side sensing.</w:t>
      </w:r>
    </w:p>
    <w:p>
      <w:pPr>
        <w:pStyle w:val="Normal1"/>
        <w:numPr>
          <w:ilvl w:val="0"/>
          <w:numId w:val="4"/>
        </w:numPr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Vin-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 is the negative input pin. Connect to load for high side current sensing or to board ground for low side sensing</w:t>
      </w:r>
    </w:p>
    <w:p>
      <w:pPr>
        <w:pStyle w:val="Normal1"/>
        <w:numPr>
          <w:ilvl w:val="0"/>
          <w:numId w:val="4"/>
        </w:numPr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 xml:space="preserve">A0 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and </w:t>
      </w: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A1 solder jumpers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 - These can be bridged with solder to pull the address pin up to VIN to change the I2C address according to the list below.</w:t>
      </w:r>
    </w:p>
    <w:p>
      <w:pPr>
        <w:pStyle w:val="Normal1"/>
        <w:numPr>
          <w:ilvl w:val="1"/>
          <w:numId w:val="1"/>
        </w:numPr>
        <w:tabs>
          <w:tab w:val="clear" w:pos="720"/>
          <w:tab w:val="left" w:pos="0" w:leader="none"/>
        </w:tabs>
        <w:spacing w:lineRule="auto" w:line="240" w:before="100" w:after="10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I2C Addresses Based on Jumpers</w:t>
      </w:r>
    </w:p>
    <w:p>
      <w:pPr>
        <w:pStyle w:val="Normal1"/>
        <w:numPr>
          <w:ilvl w:val="0"/>
          <w:numId w:val="5"/>
        </w:numPr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Default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 = 0x40</w:t>
      </w:r>
    </w:p>
    <w:p>
      <w:pPr>
        <w:pStyle w:val="Normal1"/>
        <w:numPr>
          <w:ilvl w:val="0"/>
          <w:numId w:val="5"/>
        </w:numPr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A0 soldered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 = 0x41</w:t>
      </w:r>
    </w:p>
    <w:p>
      <w:pPr>
        <w:pStyle w:val="Normal1"/>
        <w:numPr>
          <w:ilvl w:val="0"/>
          <w:numId w:val="5"/>
        </w:numPr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A1 soldered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 = 0x44</w:t>
      </w:r>
    </w:p>
    <w:p>
      <w:pPr>
        <w:pStyle w:val="Normal1"/>
        <w:numPr>
          <w:ilvl w:val="0"/>
          <w:numId w:val="5"/>
        </w:numPr>
        <w:spacing w:lineRule="auto" w:line="240" w:before="100" w:after="100"/>
        <w:rPr/>
      </w:pPr>
      <w:r>
        <w:rPr>
          <w:rStyle w:val="DefaultParagraphFont"/>
          <w:rFonts w:eastAsia="Times New Roman" w:cs="Times New Roman" w:ascii="Times New Roman" w:hAnsi="Times New Roman"/>
          <w:b/>
          <w:bCs/>
          <w:sz w:val="24"/>
          <w:szCs w:val="24"/>
        </w:rPr>
        <w:t>A0 and A1 soldered</w:t>
      </w:r>
      <w:r>
        <w:rPr>
          <w:rStyle w:val="DefaultParagraphFont"/>
          <w:rFonts w:eastAsia="Times New Roman" w:cs="Times New Roman" w:ascii="Times New Roman" w:hAnsi="Times New Roman"/>
          <w:sz w:val="24"/>
          <w:szCs w:val="24"/>
        </w:rPr>
        <w:t xml:space="preserve"> = 0x45</w:t>
      </w:r>
    </w:p>
    <w:sectPr>
      <w:type w:val="nextPage"/>
      <w:pgSz w:w="12240" w:h="15840"/>
      <w:pgMar w:left="1440" w:right="1440" w:gutter="0" w:header="0" w:top="720" w:footer="0" w:bottom="72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US" w:eastAsia="en-US" w:bidi="ar-SA"/>
    </w:rPr>
  </w:style>
  <w:style w:type="paragraph" w:styleId="Heading2">
    <w:name w:val="Heading 2"/>
    <w:basedOn w:val="Normal1"/>
    <w:qFormat/>
    <w:pPr>
      <w:numPr>
        <w:ilvl w:val="1"/>
        <w:numId w:val="1"/>
      </w:numPr>
      <w:suppressAutoHyphens w:val="true"/>
      <w:spacing w:lineRule="auto" w:line="240" w:before="100" w:after="10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WWCharLFO1LVL1">
    <w:name w:val="WW_CharLFO1LVL1"/>
    <w:qFormat/>
    <w:rPr>
      <w:rFonts w:ascii="Symbol" w:hAnsi="Symbol"/>
      <w:sz w:val="20"/>
    </w:rPr>
  </w:style>
  <w:style w:type="character" w:styleId="WWCharLFO1LVL2">
    <w:name w:val="WW_CharLFO1LVL2"/>
    <w:qFormat/>
    <w:rPr>
      <w:rFonts w:ascii="Courier New" w:hAnsi="Courier New"/>
      <w:sz w:val="20"/>
    </w:rPr>
  </w:style>
  <w:style w:type="character" w:styleId="WWCharLFO1LVL3">
    <w:name w:val="WW_CharLFO1LVL3"/>
    <w:qFormat/>
    <w:rPr>
      <w:rFonts w:ascii="Wingdings" w:hAnsi="Wingdings"/>
      <w:sz w:val="20"/>
    </w:rPr>
  </w:style>
  <w:style w:type="character" w:styleId="WWCharLFO1LVL4">
    <w:name w:val="WW_CharLFO1LVL4"/>
    <w:qFormat/>
    <w:rPr>
      <w:rFonts w:ascii="Wingdings" w:hAnsi="Wingdings"/>
      <w:sz w:val="20"/>
    </w:rPr>
  </w:style>
  <w:style w:type="character" w:styleId="WWCharLFO1LVL5">
    <w:name w:val="WW_CharLFO1LVL5"/>
    <w:qFormat/>
    <w:rPr>
      <w:rFonts w:ascii="Wingdings" w:hAnsi="Wingdings"/>
      <w:sz w:val="20"/>
    </w:rPr>
  </w:style>
  <w:style w:type="character" w:styleId="WWCharLFO1LVL6">
    <w:name w:val="WW_CharLFO1LVL6"/>
    <w:qFormat/>
    <w:rPr>
      <w:rFonts w:ascii="Wingdings" w:hAnsi="Wingdings"/>
      <w:sz w:val="20"/>
    </w:rPr>
  </w:style>
  <w:style w:type="character" w:styleId="WWCharLFO1LVL7">
    <w:name w:val="WW_CharLFO1LVL7"/>
    <w:qFormat/>
    <w:rPr>
      <w:rFonts w:ascii="Wingdings" w:hAnsi="Wingdings"/>
      <w:sz w:val="20"/>
    </w:rPr>
  </w:style>
  <w:style w:type="character" w:styleId="WWCharLFO1LVL8">
    <w:name w:val="WW_CharLFO1LVL8"/>
    <w:qFormat/>
    <w:rPr>
      <w:rFonts w:ascii="Wingdings" w:hAnsi="Wingdings"/>
      <w:sz w:val="20"/>
    </w:rPr>
  </w:style>
  <w:style w:type="character" w:styleId="WWCharLFO1LVL9">
    <w:name w:val="WW_CharLFO1LVL9"/>
    <w:qFormat/>
    <w:rPr>
      <w:rFonts w:ascii="Wingdings" w:hAnsi="Wingdings"/>
      <w:sz w:val="20"/>
    </w:rPr>
  </w:style>
  <w:style w:type="character" w:styleId="WWCharLFO2LVL1">
    <w:name w:val="WW_CharLFO2LVL1"/>
    <w:qFormat/>
    <w:rPr>
      <w:rFonts w:ascii="Symbol" w:hAnsi="Symbol"/>
      <w:sz w:val="20"/>
    </w:rPr>
  </w:style>
  <w:style w:type="character" w:styleId="WWCharLFO2LVL2">
    <w:name w:val="WW_CharLFO2LVL2"/>
    <w:qFormat/>
    <w:rPr>
      <w:rFonts w:ascii="Courier New" w:hAnsi="Courier New"/>
      <w:sz w:val="20"/>
    </w:rPr>
  </w:style>
  <w:style w:type="character" w:styleId="WWCharLFO2LVL3">
    <w:name w:val="WW_CharLFO2LVL3"/>
    <w:qFormat/>
    <w:rPr>
      <w:rFonts w:ascii="Wingdings" w:hAnsi="Wingdings"/>
      <w:sz w:val="20"/>
    </w:rPr>
  </w:style>
  <w:style w:type="character" w:styleId="WWCharLFO2LVL4">
    <w:name w:val="WW_CharLFO2LVL4"/>
    <w:qFormat/>
    <w:rPr>
      <w:rFonts w:ascii="Wingdings" w:hAnsi="Wingdings"/>
      <w:sz w:val="20"/>
    </w:rPr>
  </w:style>
  <w:style w:type="character" w:styleId="WWCharLFO2LVL5">
    <w:name w:val="WW_CharLFO2LVL5"/>
    <w:qFormat/>
    <w:rPr>
      <w:rFonts w:ascii="Wingdings" w:hAnsi="Wingdings"/>
      <w:sz w:val="20"/>
    </w:rPr>
  </w:style>
  <w:style w:type="character" w:styleId="WWCharLFO2LVL6">
    <w:name w:val="WW_CharLFO2LVL6"/>
    <w:qFormat/>
    <w:rPr>
      <w:rFonts w:ascii="Wingdings" w:hAnsi="Wingdings"/>
      <w:sz w:val="20"/>
    </w:rPr>
  </w:style>
  <w:style w:type="character" w:styleId="WWCharLFO2LVL7">
    <w:name w:val="WW_CharLFO2LVL7"/>
    <w:qFormat/>
    <w:rPr>
      <w:rFonts w:ascii="Wingdings" w:hAnsi="Wingdings"/>
      <w:sz w:val="20"/>
    </w:rPr>
  </w:style>
  <w:style w:type="character" w:styleId="WWCharLFO2LVL8">
    <w:name w:val="WW_CharLFO2LVL8"/>
    <w:qFormat/>
    <w:rPr>
      <w:rFonts w:ascii="Wingdings" w:hAnsi="Wingdings"/>
      <w:sz w:val="20"/>
    </w:rPr>
  </w:style>
  <w:style w:type="character" w:styleId="WWCharLFO2LVL9">
    <w:name w:val="WW_CharLFO2LVL9"/>
    <w:qFormat/>
    <w:rPr>
      <w:rFonts w:ascii="Wingdings" w:hAnsi="Wingdings"/>
      <w:sz w:val="20"/>
    </w:rPr>
  </w:style>
  <w:style w:type="character" w:styleId="WWCharLFO3LVL1">
    <w:name w:val="WW_CharLFO3LVL1"/>
    <w:qFormat/>
    <w:rPr>
      <w:rFonts w:ascii="Symbol" w:hAnsi="Symbol"/>
      <w:sz w:val="20"/>
    </w:rPr>
  </w:style>
  <w:style w:type="character" w:styleId="WWCharLFO3LVL2">
    <w:name w:val="WW_CharLFO3LVL2"/>
    <w:qFormat/>
    <w:rPr>
      <w:rFonts w:ascii="Courier New" w:hAnsi="Courier New"/>
      <w:sz w:val="20"/>
    </w:rPr>
  </w:style>
  <w:style w:type="character" w:styleId="WWCharLFO3LVL3">
    <w:name w:val="WW_CharLFO3LVL3"/>
    <w:qFormat/>
    <w:rPr>
      <w:rFonts w:ascii="Wingdings" w:hAnsi="Wingdings"/>
      <w:sz w:val="20"/>
    </w:rPr>
  </w:style>
  <w:style w:type="character" w:styleId="WWCharLFO3LVL4">
    <w:name w:val="WW_CharLFO3LVL4"/>
    <w:qFormat/>
    <w:rPr>
      <w:rFonts w:ascii="Wingdings" w:hAnsi="Wingdings"/>
      <w:sz w:val="20"/>
    </w:rPr>
  </w:style>
  <w:style w:type="character" w:styleId="WWCharLFO3LVL5">
    <w:name w:val="WW_CharLFO3LVL5"/>
    <w:qFormat/>
    <w:rPr>
      <w:rFonts w:ascii="Wingdings" w:hAnsi="Wingdings"/>
      <w:sz w:val="20"/>
    </w:rPr>
  </w:style>
  <w:style w:type="character" w:styleId="WWCharLFO3LVL6">
    <w:name w:val="WW_CharLFO3LVL6"/>
    <w:qFormat/>
    <w:rPr>
      <w:rFonts w:ascii="Wingdings" w:hAnsi="Wingdings"/>
      <w:sz w:val="20"/>
    </w:rPr>
  </w:style>
  <w:style w:type="character" w:styleId="WWCharLFO3LVL7">
    <w:name w:val="WW_CharLFO3LVL7"/>
    <w:qFormat/>
    <w:rPr>
      <w:rFonts w:ascii="Wingdings" w:hAnsi="Wingdings"/>
      <w:sz w:val="20"/>
    </w:rPr>
  </w:style>
  <w:style w:type="character" w:styleId="WWCharLFO3LVL8">
    <w:name w:val="WW_CharLFO3LVL8"/>
    <w:qFormat/>
    <w:rPr>
      <w:rFonts w:ascii="Wingdings" w:hAnsi="Wingdings"/>
      <w:sz w:val="20"/>
    </w:rPr>
  </w:style>
  <w:style w:type="character" w:styleId="WWCharLFO3LVL9">
    <w:name w:val="WW_CharLFO3LVL9"/>
    <w:qFormat/>
    <w:rPr>
      <w:rFonts w:ascii="Wingdings" w:hAnsi="Wingdings"/>
      <w:sz w:val="20"/>
    </w:rPr>
  </w:style>
  <w:style w:type="character" w:styleId="WWCharLFO4LVL1">
    <w:name w:val="WW_CharLFO4LVL1"/>
    <w:qFormat/>
    <w:rPr>
      <w:rFonts w:ascii="Symbol" w:hAnsi="Symbol"/>
      <w:sz w:val="20"/>
    </w:rPr>
  </w:style>
  <w:style w:type="character" w:styleId="WWCharLFO4LVL2">
    <w:name w:val="WW_CharLFO4LVL2"/>
    <w:qFormat/>
    <w:rPr>
      <w:rFonts w:ascii="Courier New" w:hAnsi="Courier New"/>
      <w:sz w:val="20"/>
    </w:rPr>
  </w:style>
  <w:style w:type="character" w:styleId="WWCharLFO4LVL3">
    <w:name w:val="WW_CharLFO4LVL3"/>
    <w:qFormat/>
    <w:rPr>
      <w:rFonts w:ascii="Wingdings" w:hAnsi="Wingdings"/>
      <w:sz w:val="20"/>
    </w:rPr>
  </w:style>
  <w:style w:type="character" w:styleId="WWCharLFO4LVL4">
    <w:name w:val="WW_CharLFO4LVL4"/>
    <w:qFormat/>
    <w:rPr>
      <w:rFonts w:ascii="Wingdings" w:hAnsi="Wingdings"/>
      <w:sz w:val="20"/>
    </w:rPr>
  </w:style>
  <w:style w:type="character" w:styleId="WWCharLFO4LVL5">
    <w:name w:val="WW_CharLFO4LVL5"/>
    <w:qFormat/>
    <w:rPr>
      <w:rFonts w:ascii="Wingdings" w:hAnsi="Wingdings"/>
      <w:sz w:val="20"/>
    </w:rPr>
  </w:style>
  <w:style w:type="character" w:styleId="WWCharLFO4LVL6">
    <w:name w:val="WW_CharLFO4LVL6"/>
    <w:qFormat/>
    <w:rPr>
      <w:rFonts w:ascii="Wingdings" w:hAnsi="Wingdings"/>
      <w:sz w:val="20"/>
    </w:rPr>
  </w:style>
  <w:style w:type="character" w:styleId="WWCharLFO4LVL7">
    <w:name w:val="WW_CharLFO4LVL7"/>
    <w:qFormat/>
    <w:rPr>
      <w:rFonts w:ascii="Wingdings" w:hAnsi="Wingdings"/>
      <w:sz w:val="20"/>
    </w:rPr>
  </w:style>
  <w:style w:type="character" w:styleId="WWCharLFO4LVL8">
    <w:name w:val="WW_CharLFO4LVL8"/>
    <w:qFormat/>
    <w:rPr>
      <w:rFonts w:ascii="Wingdings" w:hAnsi="Wingdings"/>
      <w:sz w:val="20"/>
    </w:rPr>
  </w:style>
  <w:style w:type="character" w:styleId="WWCharLFO4LVL9">
    <w:name w:val="WW_CharLFO4LVL9"/>
    <w:qFormat/>
    <w:rPr>
      <w:rFonts w:ascii="Wingdings" w:hAnsi="Wingdings"/>
      <w:sz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US" w:eastAsia="en-US" w:bidi="ar-SA"/>
    </w:rPr>
  </w:style>
  <w:style w:type="paragraph" w:styleId="NormalWeb">
    <w:name w:val="Normal (Web)"/>
    <w:basedOn w:val="Normal1"/>
    <w:qFormat/>
    <w:pPr>
      <w:suppressAutoHyphens w:val="true"/>
      <w:spacing w:lineRule="auto" w:line="240" w:before="100" w:after="10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adafruit.com/adafruit-ina219-current-sensor-breakout/pinouts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LibreOffice/7.4.2.3$Windows_X86_64 LibreOffice_project/382eef1f22670f7f4118c8c2dd222ec7ad009daf</Application>
  <AppVersion>15.0000</AppVersion>
  <Pages>2</Pages>
  <Words>522</Words>
  <Characters>2371</Characters>
  <CharactersWithSpaces>2864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2023-01-10T05:08:00Z</dcterms:created>
  <dc:creator>Jordan Firth</dc:creator>
  <dc:description/>
  <dc:language>en-US</dc:language>
  <cp:lastModifiedBy/>
  <dcterms:modified xsi:type="dcterms:W3CDTF">2023-01-09T22:22:59Z</dcterms:modified>
  <cp:revision>5</cp:revision>
  <dc:subject/>
  <dc:title/>
</cp:coreProperties>
</file>