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В желто-зеленом безумии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Белая мгла накрывает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Опустело небо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И тоскливо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Стало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 безоблачной тиши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Иссяк источник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Силы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Его до скрипа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Выжали чижи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И желтый лист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Под ноги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Падает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Устало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Кроватки детской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Ясный стан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Взошел над горизонтом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серебристый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Нежный цвет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Явился ночью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Желтой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Тревожит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Очертание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Округлых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Форм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Тоска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И жажда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Своих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Реформ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