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работаешь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 рвоты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Увы, не пишутся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Стихи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 работы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Снова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работу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 некогда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Напрячь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Как нет приливов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Вдохновения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 только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Монотонный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Шум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 монолитное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Гудение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Тяжелых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 привычных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Дум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 лишь внутри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Надежда лижет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Живой весны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Последний след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Безмерной верой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силу денег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Не остановишь ее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Нет...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Да. Я не отмечаю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Девятое мая...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Если спросишь...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Отвечу я как?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Когда дети героев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 грудь нацепили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Тот поганый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Пол-свастики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Нам которые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теплых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Уютных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Постелях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Кофе утром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Вечерний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Салют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 понять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Тех которые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Молят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 мире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Верят в Бога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Надеятся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Ждут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Ждут свободного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Синего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Чистого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Неба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Ждут с войны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Своих близких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Родных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Тех которые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Гордые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Не покорились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Власти наших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Безумцев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Седых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Но я рад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меня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Ни о чем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Не спросили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Дед давно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Спит в могиле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 не видит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Позора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 срама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России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Самый главный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Мой вечный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Герой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