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sz w:val="56"/>
          <w:szCs w:val="56"/>
        </w:rPr>
        <w:t xml:space="preserve">Star Navigation</w:t>
      </w:r>
    </w:p>
    <w:p>
      <w:pPr>
        <w:spacing w:after="80"/>
      </w:pPr>
      <w:r>
        <w:rPr>
          <w:color w:val="444444"/>
          <w:sz w:val="28"/>
          <w:szCs w:val="28"/>
        </w:rPr>
        <w:t xml:space="preserve">Ceiling-Marker Absolute Localization for Mobile Robots</w:t>
      </w:r>
    </w:p>
    <w:p>
      <w:pPr>
        <w:spacing w:after="600"/>
      </w:pPr>
      <w:r>
        <w:rPr>
          <w:i/>
          <w:iCs/>
          <w:color w:val="666666"/>
          <w:sz w:val="22"/>
          <w:szCs w:val="22"/>
        </w:rPr>
        <w:t xml:space="preserve">Technical Evaluation — marker selection, optical budget, and accuracy analysis</w:t>
      </w:r>
    </w:p>
    <w:p>
      <w:pPr>
        <w:spacing w:after="40"/>
      </w:pPr>
      <w:r>
        <w:rPr>
          <w:sz w:val="21"/>
          <w:szCs w:val="21"/>
        </w:rPr>
        <w:t xml:space="preserve">Prototype feasibility study</w:t>
      </w:r>
    </w:p>
    <w:p>
      <w:pPr>
        <w:spacing w:after="40"/>
      </w:pPr>
      <w:r>
        <w:rPr>
          <w:sz w:val="21"/>
          <w:szCs w:val="21"/>
        </w:rPr>
        <w:t xml:space="preserve">Target accuracy: ±5 cm absolute, ceiling heights to 12 m</w:t>
      </w:r>
    </w:p>
    <w:p>
      <w:pPr>
        <w:spacing w:after="800"/>
      </w:pPr>
      <w:r>
        <w:rPr>
          <w:sz w:val="21"/>
          <w:szCs w:val="21"/>
        </w:rPr>
        <w:t xml:space="preserve">Platform: Raspberry Pi + upward-facing camera, OpenCV</w:t>
      </w:r>
    </w:p>
    <w:p>
      <w:r>
        <w:br w:type="page"/>
      </w:r>
    </w:p>
    <w:p>
      <w:pPr>
        <w:pStyle w:val="Heading1"/>
        <w:spacing w:after="160" w:before="320"/>
      </w:pPr>
      <w:r>
        <w:t xml:space="preserve">1. Summary of findings</w:t>
      </w:r>
    </w:p>
    <w:p>
      <w:pPr>
        <w:spacing w:after="120" w:line="276"/>
      </w:pPr>
      <w:r>
        <w:rPr>
          <w:sz w:val="21"/>
          <w:szCs w:val="21"/>
        </w:rPr>
        <w:t xml:space="preserve">This document derives the optical and geometric parameters for a ceiling-marker localization system and evaluates the marker technology, camera, and processing options against a ±5 cm accuracy target at ceiling heights up to 12 m. Every figure below is derived from stated formulas and can be recomputed from the inputs given.</w:t>
      </w:r>
    </w:p>
    <w:p>
      <w:pPr>
        <w:spacing w:after="120" w:line="276"/>
      </w:pPr>
      <w:r>
        <w:rPr>
          <w:sz w:val="21"/>
          <w:szCs w:val="21"/>
        </w:rPr>
        <w:t xml:space="preserve">The central finding is that lateral accuracy is not limited by pixel resolution. It is limited by how well the camera’s orientation is constrained. At 12 m, a single visible marker yields roughly ±8 cm of lateral uncertainty regardless of resolution, because the marker itself is too small a lever arm to pin down the camera’s tilt. Two markers separated by 3.5 m reduce the same term to about 7 mm — a factor of twelve, at zero hardware cost.</w:t>
      </w:r>
    </w:p>
    <w:p>
      <w:pPr>
        <w:pBdr>
          <w:left w:val="single" w:color="999999" w:sz="12" w:space="10"/>
        </w:pBdr>
        <w:spacing w:after="140"/>
        <w:ind w:left="340"/>
      </w:pPr>
      <w:r>
        <w:rPr>
          <w:i/>
          <w:iCs/>
          <w:color w:val="444444"/>
          <w:sz w:val="20"/>
          <w:szCs w:val="20"/>
        </w:rPr>
        <w:t xml:space="preserve">Multi-marker visibility is therefore not an optional robustness improvement, as the brief suggests. It is the single design decision that makes ±5 cm reachable at 12 m. Marker spacing must be chosen so that two or more markers are visible at all times, not merely one.</w:t>
      </w:r>
    </w:p>
    <w:p>
      <w:pPr>
        <w:spacing w:after="120" w:line="276"/>
      </w:pPr>
      <w:r>
        <w:rPr>
          <w:sz w:val="21"/>
          <w:szCs w:val="21"/>
        </w:rPr>
        <w:t xml:space="preserve">Recommended configuration, derived in the sections that follow:</w:t>
      </w:r>
    </w:p>
    <w:p>
      <w:pPr>
        <w:pStyle w:val="ListParagraph"/>
        <w:numPr>
          <w:ilvl w:val="0"/>
          <w:numId w:val="2"/>
        </w:numPr>
        <w:spacing w:after="80"/>
      </w:pPr>
      <w:r>
        <w:rPr>
          <w:sz w:val="21"/>
          <w:szCs w:val="21"/>
        </w:rPr>
        <w:t xml:space="preserve">Marker type: ArUco 4×4 (DICT_4X4_50 or _100), for maximum module size per unit of printed area at long range.</w:t>
      </w:r>
    </w:p>
    <w:p>
      <w:pPr>
        <w:pStyle w:val="ListParagraph"/>
        <w:numPr>
          <w:ilvl w:val="0"/>
          <w:numId w:val="2"/>
        </w:numPr>
        <w:spacing w:after="80"/>
      </w:pPr>
      <w:r>
        <w:rPr>
          <w:sz w:val="21"/>
          <w:szCs w:val="21"/>
        </w:rPr>
        <w:t xml:space="preserve">Marker size: 15 cm at 5 m, 20 cm at 8 m, 30 cm at 12 m ceiling height.</w:t>
      </w:r>
    </w:p>
    <w:p>
      <w:pPr>
        <w:pStyle w:val="ListParagraph"/>
        <w:numPr>
          <w:ilvl w:val="0"/>
          <w:numId w:val="2"/>
        </w:numPr>
        <w:spacing w:after="80"/>
      </w:pPr>
      <w:r>
        <w:rPr>
          <w:sz w:val="21"/>
          <w:szCs w:val="21"/>
        </w:rPr>
        <w:t xml:space="preserve">Marker spacing: 1.5 m at 5 m, 2.5 m at 8 m, 3.5 m at 12 m — guaranteeing two or more markers in view.</w:t>
      </w:r>
    </w:p>
    <w:p>
      <w:pPr>
        <w:pStyle w:val="ListParagraph"/>
        <w:numPr>
          <w:ilvl w:val="0"/>
          <w:numId w:val="2"/>
        </w:numPr>
        <w:spacing w:after="80"/>
      </w:pPr>
      <w:r>
        <w:rPr>
          <w:sz w:val="21"/>
          <w:szCs w:val="21"/>
        </w:rPr>
        <w:t xml:space="preserve">Camera: global-shutter sensor with a ~6 mm lens for production; a rolling-shutter autofocus module is acceptable for the prototype and for low speeds.</w:t>
      </w:r>
    </w:p>
    <w:p>
      <w:pPr>
        <w:pStyle w:val="ListParagraph"/>
        <w:numPr>
          <w:ilvl w:val="0"/>
          <w:numId w:val="2"/>
        </w:numPr>
        <w:spacing w:after="80"/>
      </w:pPr>
      <w:r>
        <w:rPr>
          <w:sz w:val="21"/>
          <w:szCs w:val="21"/>
        </w:rPr>
        <w:t xml:space="preserve">Processing: OpenCV ArUco detection plus a single fused solvePnP over all visible corners. Intrinsic calibration is mandatory.</w:t>
      </w:r>
    </w:p>
    <w:p>
      <w:pPr>
        <w:spacing w:after="120" w:line="276"/>
      </w:pPr>
      <w:r>
        <w:rPr>
          <w:sz w:val="21"/>
          <w:szCs w:val="21"/>
        </w:rPr>
        <w:t xml:space="preserve">Predicted total error under this configuration is approximately ±1.1 cm (1σ), leaving comfortable margin against the ±5 cm target. The full budget appears in Section 11.</w:t>
      </w:r>
    </w:p>
    <w:p>
      <w:pPr>
        <w:pStyle w:val="Heading1"/>
        <w:spacing w:after="160" w:before="320"/>
      </w:pPr>
      <w:r>
        <w:t xml:space="preserve">2. Scope and assumptions</w:t>
      </w:r>
    </w:p>
    <w:p>
      <w:pPr>
        <w:spacing w:after="120" w:line="276"/>
      </w:pPr>
      <w:r>
        <w:rPr>
          <w:sz w:val="21"/>
          <w:szCs w:val="21"/>
        </w:rPr>
        <w:t xml:space="preserve">The following assumptions are stated explicitly because several of them materially affect the results, and because the brief does not specify them.</w:t>
      </w:r>
    </w:p>
    <w:p>
      <w:pPr>
        <w:pStyle w:val="ListParagraph"/>
        <w:numPr>
          <w:ilvl w:val="0"/>
          <w:numId w:val="2"/>
        </w:numPr>
        <w:spacing w:after="80"/>
      </w:pPr>
      <w:r>
        <w:rPr>
          <w:sz w:val="21"/>
          <w:szCs w:val="21"/>
        </w:rPr>
        <w:t xml:space="preserve">Motion is planar. The robot travels on a level floor; the system reports X, Y and yaw. Roll and pitch are estimated internally by the pose solver but are not reported.</w:t>
      </w:r>
    </w:p>
    <w:p>
      <w:pPr>
        <w:pStyle w:val="ListParagraph"/>
        <w:numPr>
          <w:ilvl w:val="0"/>
          <w:numId w:val="2"/>
        </w:numPr>
        <w:spacing w:after="80"/>
      </w:pPr>
      <w:r>
        <w:rPr>
          <w:sz w:val="21"/>
          <w:szCs w:val="21"/>
        </w:rPr>
        <w:t xml:space="preserve">The camera is rigidly mounted and points approximately upward. It does not need to be perfectly level — see Section 8 for why this matters less than it first appears.</w:t>
      </w:r>
    </w:p>
    <w:p>
      <w:pPr>
        <w:pStyle w:val="ListParagraph"/>
        <w:numPr>
          <w:ilvl w:val="0"/>
          <w:numId w:val="2"/>
        </w:numPr>
        <w:spacing w:after="80"/>
      </w:pPr>
      <w:r>
        <w:rPr>
          <w:sz w:val="21"/>
          <w:szCs w:val="21"/>
        </w:rPr>
        <w:t xml:space="preserve">All markers lie on a single horizontal plane at a known height. Real halls contain ducting, beams and varying ceiling heights; Section 13 addresses this.</w:t>
      </w:r>
    </w:p>
    <w:p>
      <w:pPr>
        <w:pStyle w:val="ListParagraph"/>
        <w:numPr>
          <w:ilvl w:val="0"/>
          <w:numId w:val="2"/>
        </w:numPr>
        <w:spacing w:after="80"/>
      </w:pPr>
      <w:r>
        <w:rPr>
          <w:sz w:val="21"/>
          <w:szCs w:val="21"/>
        </w:rPr>
        <w:t xml:space="preserve">Marker world positions are surveyed in advance and supplied as a map. The system localizes the camera against a known map; it does not build the map.</w:t>
      </w:r>
    </w:p>
    <w:p>
      <w:pPr>
        <w:pStyle w:val="ListParagraph"/>
        <w:numPr>
          <w:ilvl w:val="0"/>
          <w:numId w:val="2"/>
        </w:numPr>
        <w:spacing w:after="80"/>
      </w:pPr>
      <w:r>
        <w:rPr>
          <w:sz w:val="21"/>
          <w:szCs w:val="21"/>
        </w:rPr>
        <w:t xml:space="preserve">Nominal robot speed of 1.5 m/s is used for motion-blur and shutter calculations.</w:t>
      </w:r>
    </w:p>
    <w:p>
      <w:pPr>
        <w:pBdr>
          <w:left w:val="single" w:color="999999" w:sz="12" w:space="10"/>
        </w:pBdr>
        <w:spacing w:after="140"/>
        <w:ind w:left="340"/>
      </w:pPr>
      <w:r>
        <w:rPr>
          <w:i/>
          <w:iCs/>
          <w:color w:val="444444"/>
          <w:sz w:val="20"/>
          <w:szCs w:val="20"/>
        </w:rPr>
        <w:t xml:space="preserve">The planar-motion assumption is a scoping decision, not a physical claim. A robot crossing a floor joint or carrying an uneven load will tilt. Section 8 quantifies what that costs and why the chosen geometry absorbs it.</w:t>
      </w:r>
    </w:p>
    <w:p>
      <w:pPr>
        <w:pStyle w:val="Heading1"/>
        <w:spacing w:after="160" w:before="320"/>
      </w:pPr>
      <w:r>
        <w:t xml:space="preserve">3. Coordinate frames and pose recovery</w:t>
      </w:r>
    </w:p>
    <w:p>
      <w:pPr>
        <w:spacing w:after="120" w:line="276"/>
      </w:pPr>
      <w:r>
        <w:rPr>
          <w:sz w:val="21"/>
          <w:szCs w:val="21"/>
        </w:rPr>
        <w:t xml:space="preserve">The world frame has its origin at a surveyed reference point on the hall floor, with X and Y in the floor plane and Z vertically upward. All markers lie at Z = h, where h is the ceiling height, facing downward. The camera frame follows the OpenCV convention: X right, Y down, Z along the optical axis.</w:t>
      </w:r>
    </w:p>
    <w:p>
      <w:pPr>
        <w:spacing w:after="120" w:line="276"/>
      </w:pPr>
      <w:r>
        <w:rPr>
          <w:sz w:val="21"/>
          <w:szCs w:val="21"/>
        </w:rPr>
        <w:t xml:space="preserve">Each detected marker contributes four corner correspondences between known world points and observed image points. The perspective projection of a world point onto the image plane is:</w:t>
      </w:r>
    </w:p>
    <w:p>
      <w:pPr>
        <w:spacing w:after="140" w:before="120"/>
        <w:jc w:val="center"/>
      </w:pPr>
      <w:r>
        <w:rPr>
          <w:rFonts w:ascii="Consolas" w:cs="Consolas" w:eastAsia="Consolas" w:hAnsi="Consolas"/>
          <w:sz w:val="20"/>
          <w:szCs w:val="20"/>
        </w:rPr>
        <w:t xml:space="preserve">s · [u, v, 1]ᵀ  =  K · [ R | t ] · [X, Y, Z, 1]ᵀ</w:t>
      </w:r>
    </w:p>
    <w:p>
      <w:pPr>
        <w:spacing w:after="120" w:line="276"/>
      </w:pPr>
      <w:r>
        <w:rPr>
          <w:sz w:val="21"/>
          <w:szCs w:val="21"/>
        </w:rPr>
        <w:t xml:space="preserve">where K is the intrinsic matrix containing focal lengths and principal point, R and t are the rotation and translation from world to camera, and s is a scale factor. Given four or more correspondences, solvePnP recovers R and t by minimising reprojection error.</w:t>
      </w:r>
    </w:p>
    <w:p>
      <w:pPr>
        <w:spacing w:after="120" w:line="276"/>
      </w:pPr>
      <w:r>
        <w:rPr>
          <w:sz w:val="21"/>
          <w:szCs w:val="21"/>
        </w:rPr>
        <w:t xml:space="preserve">The quantity of interest is the camera position expressed in world coordinates, which is not t itself but:</w:t>
      </w:r>
    </w:p>
    <w:p>
      <w:pPr>
        <w:spacing w:after="140" w:before="120"/>
        <w:jc w:val="center"/>
      </w:pPr>
      <w:r>
        <w:rPr>
          <w:rFonts w:ascii="Consolas" w:cs="Consolas" w:eastAsia="Consolas" w:hAnsi="Consolas"/>
          <w:sz w:val="20"/>
          <w:szCs w:val="20"/>
        </w:rPr>
        <w:t xml:space="preserve">C  =  − Rᵀ · t</w:t>
      </w:r>
    </w:p>
    <w:p>
      <w:pPr>
        <w:spacing w:after="120" w:line="276"/>
      </w:pPr>
      <w:r>
        <w:rPr>
          <w:sz w:val="21"/>
          <w:szCs w:val="21"/>
        </w:rPr>
        <w:t xml:space="preserve">This inversion is the step most often implemented incorrectly. The solver returns the transform that maps world points into the camera frame; the camera’s own position is the inverse of that transform applied to the origin. Reporting t directly produces a position that is mirrored and offset, and the error is subtle enough to survive casual inspection.</w:t>
      </w:r>
    </w:p>
    <w:p>
      <w:pPr>
        <w:spacing w:after="120" w:line="276"/>
      </w:pPr>
      <w:r>
        <w:rPr>
          <w:sz w:val="21"/>
          <w:szCs w:val="21"/>
        </w:rPr>
        <w:t xml:space="preserve">Yaw is extracted from Rᵀ by projecting the camera’s forward axis onto the world XY plane.</w:t>
      </w:r>
    </w:p>
    <w:p>
      <w:pPr>
        <w:pStyle w:val="Heading2"/>
        <w:spacing w:after="120" w:before="240"/>
      </w:pPr>
      <w:r>
        <w:t xml:space="preserve">3.1 Fusing multiple markers</w:t>
      </w:r>
    </w:p>
    <w:p>
      <w:pPr>
        <w:spacing w:after="120" w:line="276"/>
      </w:pPr>
      <w:r>
        <w:rPr>
          <w:sz w:val="21"/>
          <w:szCs w:val="21"/>
        </w:rPr>
        <w:t xml:space="preserve">When several markers are visible, two approaches are possible. The first computes an independent pose from each marker and averages the results. The second pools all corner correspondences from all markers into a single solvePnP call. The second is strictly better and is what this system uses.</w:t>
      </w:r>
    </w:p>
    <w:p>
      <w:pPr>
        <w:spacing w:after="120" w:line="276"/>
      </w:pPr>
      <w:r>
        <w:rPr>
          <w:sz w:val="21"/>
          <w:szCs w:val="21"/>
        </w:rPr>
        <w:t xml:space="preserve">The reason is geometric rather than statistical. Averaging independent poses treats each marker as an isolated estimate and discards the fact that the markers are rigidly related to one another by known distances. The pooled solve uses those distances as constraints, which is precisely what tightens the orientation estimate — the dominant error term identified in Section 8. Averaging four single-marker poses does not deliver the twelvefold improvement that pooling four markers does.</w:t>
      </w:r>
    </w:p>
    <w:p>
      <w:pPr>
        <w:pStyle w:val="Heading1"/>
        <w:spacing w:after="160" w:before="320"/>
      </w:pPr>
      <w:r>
        <w:t xml:space="preserve">4. Optical model</w:t>
      </w:r>
    </w:p>
    <w:p>
      <w:pPr>
        <w:spacing w:after="120" w:line="276"/>
      </w:pPr>
      <w:r>
        <w:rPr>
          <w:sz w:val="21"/>
          <w:szCs w:val="21"/>
        </w:rPr>
        <w:t xml:space="preserve">Two quantities govern everything downstream: how much ground each pixel covers at the ceiling, and how much ceiling the sensor sees at once.</w:t>
      </w:r>
    </w:p>
    <w:p>
      <w:pPr>
        <w:pStyle w:val="Heading2"/>
        <w:spacing w:after="120" w:before="240"/>
      </w:pPr>
      <w:r>
        <w:t xml:space="preserve">4.1 Focal length in pixels</w:t>
      </w:r>
    </w:p>
    <w:p>
      <w:pPr>
        <w:spacing w:after="120" w:line="276"/>
      </w:pPr>
      <w:r>
        <w:rPr>
          <w:sz w:val="21"/>
          <w:szCs w:val="21"/>
        </w:rPr>
        <w:t xml:space="preserve">For a sensor of width W pixels spanning a horizontal field of view HFOV:</w:t>
      </w:r>
    </w:p>
    <w:p>
      <w:pPr>
        <w:spacing w:after="140" w:before="120"/>
        <w:jc w:val="center"/>
      </w:pPr>
      <w:r>
        <w:rPr>
          <w:rFonts w:ascii="Consolas" w:cs="Consolas" w:eastAsia="Consolas" w:hAnsi="Consolas"/>
          <w:sz w:val="20"/>
          <w:szCs w:val="20"/>
        </w:rPr>
        <w:t xml:space="preserve">f_px  =  (W / 2) / tan(HFOV / 2)</w:t>
      </w:r>
    </w:p>
    <w:p>
      <w:pPr>
        <w:spacing w:after="120" w:line="276"/>
      </w:pPr>
      <w:r>
        <w:rPr>
          <w:sz w:val="21"/>
          <w:szCs w:val="21"/>
        </w:rPr>
        <w:t xml:space="preserve">Equivalently, for a lens of focal length f_mm on a sensor of physical width s_mm:</w:t>
      </w:r>
    </w:p>
    <w:p>
      <w:pPr>
        <w:spacing w:after="140" w:before="120"/>
        <w:jc w:val="center"/>
      </w:pPr>
      <w:r>
        <w:rPr>
          <w:rFonts w:ascii="Consolas" w:cs="Consolas" w:eastAsia="Consolas" w:hAnsi="Consolas"/>
          <w:sz w:val="20"/>
          <w:szCs w:val="20"/>
        </w:rPr>
        <w:t xml:space="preserve">f_px  =  f_mm · (W / s_mm)</w:t>
      </w:r>
    </w:p>
    <w:p>
      <w:pPr>
        <w:pStyle w:val="Heading2"/>
        <w:spacing w:after="120" w:before="240"/>
      </w:pPr>
      <w:r>
        <w:t xml:space="preserve">4.2 Ground sampling distance</w:t>
      </w:r>
    </w:p>
    <w:p>
      <w:pPr>
        <w:spacing w:after="120" w:line="276"/>
      </w:pPr>
      <w:r>
        <w:rPr>
          <w:sz w:val="21"/>
          <w:szCs w:val="21"/>
        </w:rPr>
        <w:t xml:space="preserve">GSD is the physical distance at the ceiling corresponding to one pixel. For a camera at distance h below the ceiling:</w:t>
      </w:r>
    </w:p>
    <w:p>
      <w:pPr>
        <w:spacing w:after="140" w:before="120"/>
        <w:jc w:val="center"/>
      </w:pPr>
      <w:r>
        <w:rPr>
          <w:rFonts w:ascii="Consolas" w:cs="Consolas" w:eastAsia="Consolas" w:hAnsi="Consolas"/>
          <w:sz w:val="20"/>
          <w:szCs w:val="20"/>
        </w:rPr>
        <w:t xml:space="preserve">GSD  =  h / f_px</w:t>
      </w:r>
    </w:p>
    <w:p>
      <w:pPr>
        <w:spacing w:after="120" w:line="276"/>
      </w:pPr>
      <w:r>
        <w:rPr>
          <w:sz w:val="21"/>
          <w:szCs w:val="21"/>
        </w:rPr>
        <w:t xml:space="preserve">This is the resolution floor of the whole system. No amount of subsequent processing recovers detail finer than one GSD, and any claimed accuracy substantially below it should be treated with suspicion.</w:t>
      </w:r>
    </w:p>
    <w:p>
      <w:pPr>
        <w:pStyle w:val="Heading2"/>
        <w:spacing w:after="120" w:before="240"/>
      </w:pPr>
      <w:r>
        <w:t xml:space="preserve">4.3 Field of view footprint</w:t>
      </w:r>
    </w:p>
    <w:p>
      <w:pPr>
        <w:spacing w:after="120" w:line="276"/>
      </w:pPr>
      <w:r>
        <w:rPr>
          <w:sz w:val="21"/>
          <w:szCs w:val="21"/>
        </w:rPr>
        <w:t xml:space="preserve">The rectangle of ceiling visible to the camera has dimensions:</w:t>
      </w:r>
    </w:p>
    <w:p>
      <w:pPr>
        <w:spacing w:after="140" w:before="120"/>
        <w:jc w:val="center"/>
      </w:pPr>
      <w:r>
        <w:rPr>
          <w:rFonts w:ascii="Consolas" w:cs="Consolas" w:eastAsia="Consolas" w:hAnsi="Consolas"/>
          <w:sz w:val="20"/>
          <w:szCs w:val="20"/>
        </w:rPr>
        <w:t xml:space="preserve">Footprint_width  =  2 · h · tan(HFOV / 2)        Footprint_height  =  2 · h · tan(VFOV / 2)</w:t>
      </w:r>
    </w:p>
    <w:p>
      <w:pPr>
        <w:spacing w:after="120" w:line="276"/>
      </w:pPr>
      <w:r>
        <w:rPr>
          <w:sz w:val="21"/>
          <w:szCs w:val="21"/>
        </w:rPr>
        <w:t xml:space="preserve">The shorter of the two dimensions governs marker spacing, since a marker grid must be dense enough to remain visible in the worst orientation.</w:t>
      </w:r>
    </w:p>
    <w:p>
      <w:pPr>
        <w:pStyle w:val="Heading1"/>
        <w:spacing w:after="160" w:before="320"/>
      </w:pPr>
      <w:r>
        <w:t xml:space="preserve">5. Camera and lens comparison</w:t>
      </w:r>
    </w:p>
    <w:p>
      <w:pPr>
        <w:spacing w:after="120" w:line="276"/>
      </w:pPr>
      <w:r>
        <w:rPr>
          <w:sz w:val="21"/>
          <w:szCs w:val="21"/>
        </w:rPr>
        <w:t xml:space="preserve">The table below evaluates realistic Raspberry Pi camera options using the formulas of Section 4. Footprint is given as width × height in metres.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2"/>
        <w:gridCol w:w="1248"/>
        <w:gridCol w:w="864"/>
        <w:gridCol w:w="864"/>
        <w:gridCol w:w="1152"/>
        <w:gridCol w:w="1728"/>
        <w:gridCol w:w="1056"/>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Camera / lens</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Resolution</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f (px)</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HFOV</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GSD @12 m</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Footprint @12 m</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Shutter</w:t>
            </w:r>
          </w:p>
        </w:tc>
      </w:tr>
      <w:tr>
        <w:tc>
          <w:tcPr>
            <w:tcW w:type="dxa" w:w="0"/>
            <w:tcMar>
              <w:top w:type="dxa" w:w="60"/>
              <w:left w:type="dxa" w:w="90"/>
              <w:bottom w:type="dxa" w:w="60"/>
              <w:right w:type="dxa" w:w="90"/>
            </w:tcMar>
          </w:tcPr>
          <w:p>
            <w:pPr>
              <w:spacing w:after="0"/>
              <w:jc w:val="left"/>
            </w:pPr>
            <w:r>
              <w:rPr>
                <w:b/>
                <w:bCs/>
                <w:sz w:val="19"/>
                <w:szCs w:val="19"/>
              </w:rPr>
              <w:t xml:space="preserve">Camera Module 3</w:t>
            </w:r>
          </w:p>
        </w:tc>
        <w:tc>
          <w:tcPr>
            <w:tcW w:type="dxa" w:w="0"/>
            <w:tcMar>
              <w:top w:type="dxa" w:w="60"/>
              <w:left w:type="dxa" w:w="90"/>
              <w:bottom w:type="dxa" w:w="60"/>
              <w:right w:type="dxa" w:w="90"/>
            </w:tcMar>
          </w:tcPr>
          <w:p>
            <w:pPr>
              <w:spacing w:after="0"/>
              <w:jc w:val="right"/>
            </w:pPr>
            <w:r>
              <w:rPr>
                <w:b w:val="false"/>
                <w:bCs w:val="false"/>
                <w:sz w:val="19"/>
                <w:szCs w:val="19"/>
              </w:rPr>
              <w:t xml:space="preserve">4608×2592</w:t>
            </w:r>
          </w:p>
        </w:tc>
        <w:tc>
          <w:tcPr>
            <w:tcW w:type="dxa" w:w="0"/>
            <w:tcMar>
              <w:top w:type="dxa" w:w="60"/>
              <w:left w:type="dxa" w:w="90"/>
              <w:bottom w:type="dxa" w:w="60"/>
              <w:right w:type="dxa" w:w="90"/>
            </w:tcMar>
          </w:tcPr>
          <w:p>
            <w:pPr>
              <w:spacing w:after="0"/>
              <w:jc w:val="right"/>
            </w:pPr>
            <w:r>
              <w:rPr>
                <w:b w:val="false"/>
                <w:bCs w:val="false"/>
                <w:sz w:val="19"/>
                <w:szCs w:val="19"/>
              </w:rPr>
              <w:t xml:space="preserve">3548</w:t>
            </w:r>
          </w:p>
        </w:tc>
        <w:tc>
          <w:tcPr>
            <w:tcW w:type="dxa" w:w="0"/>
            <w:tcMar>
              <w:top w:type="dxa" w:w="60"/>
              <w:left w:type="dxa" w:w="90"/>
              <w:bottom w:type="dxa" w:w="60"/>
              <w:right w:type="dxa" w:w="90"/>
            </w:tcMar>
          </w:tcPr>
          <w:p>
            <w:pPr>
              <w:spacing w:after="0"/>
              <w:jc w:val="right"/>
            </w:pPr>
            <w:r>
              <w:rPr>
                <w:b w:val="false"/>
                <w:bCs w:val="false"/>
                <w:sz w:val="19"/>
                <w:szCs w:val="19"/>
              </w:rPr>
              <w:t xml:space="preserve">66.0°</w:t>
            </w:r>
          </w:p>
        </w:tc>
        <w:tc>
          <w:tcPr>
            <w:tcW w:type="dxa" w:w="0"/>
            <w:tcMar>
              <w:top w:type="dxa" w:w="60"/>
              <w:left w:type="dxa" w:w="90"/>
              <w:bottom w:type="dxa" w:w="60"/>
              <w:right w:type="dxa" w:w="90"/>
            </w:tcMar>
          </w:tcPr>
          <w:p>
            <w:pPr>
              <w:spacing w:after="0"/>
              <w:jc w:val="right"/>
            </w:pPr>
            <w:r>
              <w:rPr>
                <w:b w:val="false"/>
                <w:bCs w:val="false"/>
                <w:sz w:val="19"/>
                <w:szCs w:val="19"/>
              </w:rPr>
              <w:t xml:space="preserve">3.38 mm</w:t>
            </w:r>
          </w:p>
        </w:tc>
        <w:tc>
          <w:tcPr>
            <w:tcW w:type="dxa" w:w="0"/>
            <w:tcMar>
              <w:top w:type="dxa" w:w="60"/>
              <w:left w:type="dxa" w:w="90"/>
              <w:bottom w:type="dxa" w:w="60"/>
              <w:right w:type="dxa" w:w="90"/>
            </w:tcMar>
          </w:tcPr>
          <w:p>
            <w:pPr>
              <w:spacing w:after="0"/>
              <w:jc w:val="right"/>
            </w:pPr>
            <w:r>
              <w:rPr>
                <w:b w:val="false"/>
                <w:bCs w:val="false"/>
                <w:sz w:val="19"/>
                <w:szCs w:val="19"/>
              </w:rPr>
              <w:t xml:space="preserve">15.6 × 8.8 m</w:t>
            </w:r>
          </w:p>
        </w:tc>
        <w:tc>
          <w:tcPr>
            <w:tcW w:type="dxa" w:w="0"/>
            <w:tcMar>
              <w:top w:type="dxa" w:w="60"/>
              <w:left w:type="dxa" w:w="90"/>
              <w:bottom w:type="dxa" w:w="60"/>
              <w:right w:type="dxa" w:w="90"/>
            </w:tcMar>
          </w:tcPr>
          <w:p>
            <w:pPr>
              <w:spacing w:after="0"/>
              <w:jc w:val="right"/>
            </w:pPr>
            <w:r>
              <w:rPr>
                <w:b w:val="false"/>
                <w:bCs w:val="false"/>
                <w:sz w:val="19"/>
                <w:szCs w:val="19"/>
              </w:rPr>
              <w:t xml:space="preserve">rolling</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Camera Module 3 Wide</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4608×2592</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1866</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102.0°</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6.43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29.6 × 16.7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rolling</w:t>
            </w:r>
          </w:p>
        </w:tc>
      </w:tr>
      <w:tr>
        <w:tc>
          <w:tcPr>
            <w:tcW w:type="dxa" w:w="0"/>
            <w:tcMar>
              <w:top w:type="dxa" w:w="60"/>
              <w:left w:type="dxa" w:w="90"/>
              <w:bottom w:type="dxa" w:w="60"/>
              <w:right w:type="dxa" w:w="90"/>
            </w:tcMar>
          </w:tcPr>
          <w:p>
            <w:pPr>
              <w:spacing w:after="0"/>
              <w:jc w:val="left"/>
            </w:pPr>
            <w:r>
              <w:rPr>
                <w:b/>
                <w:bCs/>
                <w:sz w:val="19"/>
                <w:szCs w:val="19"/>
              </w:rPr>
              <w:t xml:space="preserve">HQ Camera + 6 mm</w:t>
            </w:r>
          </w:p>
        </w:tc>
        <w:tc>
          <w:tcPr>
            <w:tcW w:type="dxa" w:w="0"/>
            <w:tcMar>
              <w:top w:type="dxa" w:w="60"/>
              <w:left w:type="dxa" w:w="90"/>
              <w:bottom w:type="dxa" w:w="60"/>
              <w:right w:type="dxa" w:w="90"/>
            </w:tcMar>
          </w:tcPr>
          <w:p>
            <w:pPr>
              <w:spacing w:after="0"/>
              <w:jc w:val="right"/>
            </w:pPr>
            <w:r>
              <w:rPr>
                <w:b w:val="false"/>
                <w:bCs w:val="false"/>
                <w:sz w:val="19"/>
                <w:szCs w:val="19"/>
              </w:rPr>
              <w:t xml:space="preserve">4056×3040</w:t>
            </w:r>
          </w:p>
        </w:tc>
        <w:tc>
          <w:tcPr>
            <w:tcW w:type="dxa" w:w="0"/>
            <w:tcMar>
              <w:top w:type="dxa" w:w="60"/>
              <w:left w:type="dxa" w:w="90"/>
              <w:bottom w:type="dxa" w:w="60"/>
              <w:right w:type="dxa" w:w="90"/>
            </w:tcMar>
          </w:tcPr>
          <w:p>
            <w:pPr>
              <w:spacing w:after="0"/>
              <w:jc w:val="right"/>
            </w:pPr>
            <w:r>
              <w:rPr>
                <w:b w:val="false"/>
                <w:bCs w:val="false"/>
                <w:sz w:val="19"/>
                <w:szCs w:val="19"/>
              </w:rPr>
              <w:t xml:space="preserve">3871</w:t>
            </w:r>
          </w:p>
        </w:tc>
        <w:tc>
          <w:tcPr>
            <w:tcW w:type="dxa" w:w="0"/>
            <w:tcMar>
              <w:top w:type="dxa" w:w="60"/>
              <w:left w:type="dxa" w:w="90"/>
              <w:bottom w:type="dxa" w:w="60"/>
              <w:right w:type="dxa" w:w="90"/>
            </w:tcMar>
          </w:tcPr>
          <w:p>
            <w:pPr>
              <w:spacing w:after="0"/>
              <w:jc w:val="right"/>
            </w:pPr>
            <w:r>
              <w:rPr>
                <w:b w:val="false"/>
                <w:bCs w:val="false"/>
                <w:sz w:val="19"/>
                <w:szCs w:val="19"/>
              </w:rPr>
              <w:t xml:space="preserve">55.3°</w:t>
            </w:r>
          </w:p>
        </w:tc>
        <w:tc>
          <w:tcPr>
            <w:tcW w:type="dxa" w:w="0"/>
            <w:tcMar>
              <w:top w:type="dxa" w:w="60"/>
              <w:left w:type="dxa" w:w="90"/>
              <w:bottom w:type="dxa" w:w="60"/>
              <w:right w:type="dxa" w:w="90"/>
            </w:tcMar>
          </w:tcPr>
          <w:p>
            <w:pPr>
              <w:spacing w:after="0"/>
              <w:jc w:val="right"/>
            </w:pPr>
            <w:r>
              <w:rPr>
                <w:b w:val="false"/>
                <w:bCs w:val="false"/>
                <w:sz w:val="19"/>
                <w:szCs w:val="19"/>
              </w:rPr>
              <w:t xml:space="preserve">3.10 mm</w:t>
            </w:r>
          </w:p>
        </w:tc>
        <w:tc>
          <w:tcPr>
            <w:tcW w:type="dxa" w:w="0"/>
            <w:tcMar>
              <w:top w:type="dxa" w:w="60"/>
              <w:left w:type="dxa" w:w="90"/>
              <w:bottom w:type="dxa" w:w="60"/>
              <w:right w:type="dxa" w:w="90"/>
            </w:tcMar>
          </w:tcPr>
          <w:p>
            <w:pPr>
              <w:spacing w:after="0"/>
              <w:jc w:val="right"/>
            </w:pPr>
            <w:r>
              <w:rPr>
                <w:b w:val="false"/>
                <w:bCs w:val="false"/>
                <w:sz w:val="19"/>
                <w:szCs w:val="19"/>
              </w:rPr>
              <w:t xml:space="preserve">12.6 × 9.4 m</w:t>
            </w:r>
          </w:p>
        </w:tc>
        <w:tc>
          <w:tcPr>
            <w:tcW w:type="dxa" w:w="0"/>
            <w:tcMar>
              <w:top w:type="dxa" w:w="60"/>
              <w:left w:type="dxa" w:w="90"/>
              <w:bottom w:type="dxa" w:w="60"/>
              <w:right w:type="dxa" w:w="90"/>
            </w:tcMar>
          </w:tcPr>
          <w:p>
            <w:pPr>
              <w:spacing w:after="0"/>
              <w:jc w:val="right"/>
            </w:pPr>
            <w:r>
              <w:rPr>
                <w:b w:val="false"/>
                <w:bCs w:val="false"/>
                <w:sz w:val="19"/>
                <w:szCs w:val="19"/>
              </w:rPr>
              <w:t xml:space="preserve">rolling</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HQ Camera + 8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4056×3040</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5161</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42.9°</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2.33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9.4 × 7.1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rolling</w:t>
            </w:r>
          </w:p>
        </w:tc>
      </w:tr>
      <w:tr>
        <w:tc>
          <w:tcPr>
            <w:tcW w:type="dxa" w:w="0"/>
            <w:tcMar>
              <w:top w:type="dxa" w:w="60"/>
              <w:left w:type="dxa" w:w="90"/>
              <w:bottom w:type="dxa" w:w="60"/>
              <w:right w:type="dxa" w:w="90"/>
            </w:tcMar>
          </w:tcPr>
          <w:p>
            <w:pPr>
              <w:spacing w:after="0"/>
              <w:jc w:val="left"/>
            </w:pPr>
            <w:r>
              <w:rPr>
                <w:b/>
                <w:bCs/>
                <w:sz w:val="19"/>
                <w:szCs w:val="19"/>
              </w:rPr>
              <w:t xml:space="preserve">Global Shutter + 6 mm</w:t>
            </w:r>
          </w:p>
        </w:tc>
        <w:tc>
          <w:tcPr>
            <w:tcW w:type="dxa" w:w="0"/>
            <w:tcMar>
              <w:top w:type="dxa" w:w="60"/>
              <w:left w:type="dxa" w:w="90"/>
              <w:bottom w:type="dxa" w:w="60"/>
              <w:right w:type="dxa" w:w="90"/>
            </w:tcMar>
          </w:tcPr>
          <w:p>
            <w:pPr>
              <w:spacing w:after="0"/>
              <w:jc w:val="right"/>
            </w:pPr>
            <w:r>
              <w:rPr>
                <w:b w:val="false"/>
                <w:bCs w:val="false"/>
                <w:sz w:val="19"/>
                <w:szCs w:val="19"/>
              </w:rPr>
              <w:t xml:space="preserve">1456×1088</w:t>
            </w:r>
          </w:p>
        </w:tc>
        <w:tc>
          <w:tcPr>
            <w:tcW w:type="dxa" w:w="0"/>
            <w:tcMar>
              <w:top w:type="dxa" w:w="60"/>
              <w:left w:type="dxa" w:w="90"/>
              <w:bottom w:type="dxa" w:w="60"/>
              <w:right w:type="dxa" w:w="90"/>
            </w:tcMar>
          </w:tcPr>
          <w:p>
            <w:pPr>
              <w:spacing w:after="0"/>
              <w:jc w:val="right"/>
            </w:pPr>
            <w:r>
              <w:rPr>
                <w:b w:val="false"/>
                <w:bCs w:val="false"/>
                <w:sz w:val="19"/>
                <w:szCs w:val="19"/>
              </w:rPr>
              <w:t xml:space="preserve">1761</w:t>
            </w:r>
          </w:p>
        </w:tc>
        <w:tc>
          <w:tcPr>
            <w:tcW w:type="dxa" w:w="0"/>
            <w:tcMar>
              <w:top w:type="dxa" w:w="60"/>
              <w:left w:type="dxa" w:w="90"/>
              <w:bottom w:type="dxa" w:w="60"/>
              <w:right w:type="dxa" w:w="90"/>
            </w:tcMar>
          </w:tcPr>
          <w:p>
            <w:pPr>
              <w:spacing w:after="0"/>
              <w:jc w:val="right"/>
            </w:pPr>
            <w:r>
              <w:rPr>
                <w:b w:val="false"/>
                <w:bCs w:val="false"/>
                <w:sz w:val="19"/>
                <w:szCs w:val="19"/>
              </w:rPr>
              <w:t xml:space="preserve">44.9°</w:t>
            </w:r>
          </w:p>
        </w:tc>
        <w:tc>
          <w:tcPr>
            <w:tcW w:type="dxa" w:w="0"/>
            <w:tcMar>
              <w:top w:type="dxa" w:w="60"/>
              <w:left w:type="dxa" w:w="90"/>
              <w:bottom w:type="dxa" w:w="60"/>
              <w:right w:type="dxa" w:w="90"/>
            </w:tcMar>
          </w:tcPr>
          <w:p>
            <w:pPr>
              <w:spacing w:after="0"/>
              <w:jc w:val="right"/>
            </w:pPr>
            <w:r>
              <w:rPr>
                <w:b w:val="false"/>
                <w:bCs w:val="false"/>
                <w:sz w:val="19"/>
                <w:szCs w:val="19"/>
              </w:rPr>
              <w:t xml:space="preserve">6.81 mm</w:t>
            </w:r>
          </w:p>
        </w:tc>
        <w:tc>
          <w:tcPr>
            <w:tcW w:type="dxa" w:w="0"/>
            <w:tcMar>
              <w:top w:type="dxa" w:w="60"/>
              <w:left w:type="dxa" w:w="90"/>
              <w:bottom w:type="dxa" w:w="60"/>
              <w:right w:type="dxa" w:w="90"/>
            </w:tcMar>
          </w:tcPr>
          <w:p>
            <w:pPr>
              <w:spacing w:after="0"/>
              <w:jc w:val="right"/>
            </w:pPr>
            <w:r>
              <w:rPr>
                <w:b w:val="false"/>
                <w:bCs w:val="false"/>
                <w:sz w:val="19"/>
                <w:szCs w:val="19"/>
              </w:rPr>
              <w:t xml:space="preserve">9.9 × 7.4 m</w:t>
            </w:r>
          </w:p>
        </w:tc>
        <w:tc>
          <w:tcPr>
            <w:tcW w:type="dxa" w:w="0"/>
            <w:tcMar>
              <w:top w:type="dxa" w:w="60"/>
              <w:left w:type="dxa" w:w="90"/>
              <w:bottom w:type="dxa" w:w="60"/>
              <w:right w:type="dxa" w:w="90"/>
            </w:tcMar>
          </w:tcPr>
          <w:p>
            <w:pPr>
              <w:spacing w:after="0"/>
              <w:jc w:val="right"/>
            </w:pPr>
            <w:r>
              <w:rPr>
                <w:b w:val="false"/>
                <w:bCs w:val="false"/>
                <w:sz w:val="19"/>
                <w:szCs w:val="19"/>
              </w:rPr>
              <w:t xml:space="preserve">global</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Global Shutter + 4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1456×1088</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1174</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63.6°</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10.22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14.9 × 11.1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global</w:t>
            </w:r>
          </w:p>
        </w:tc>
      </w:tr>
    </w:tbl>
    <w:p>
      <w:pPr>
        <w:spacing w:after="200" w:before="60"/>
      </w:pPr>
      <w:r>
        <w:rPr>
          <w:i/>
          <w:iCs/>
          <w:color w:val="555555"/>
          <w:sz w:val="18"/>
          <w:szCs w:val="18"/>
        </w:rPr>
        <w:t xml:space="preserve">Table 1 — Candidate camera configurations. GSD and footprint computed at 12 m ceiling height.</w:t>
      </w:r>
    </w:p>
    <w:p>
      <w:pPr>
        <w:spacing w:after="120" w:line="276"/>
      </w:pPr>
      <w:r>
        <w:rPr>
          <w:sz w:val="21"/>
          <w:szCs w:val="21"/>
        </w:rPr>
        <w:t xml:space="preserve">The wide-angle options illustrate a tension that runs through the whole design. A 102° lens sees nearly four times the ceiling area of a 66° lens, which is attractive for guaranteeing marker visibility. But it spreads the same pixel count over that larger area, nearly doubling the GSD and therefore doubling the marker size needed for reliable detection. Wide-angle also concentrates lens distortion at the frame edges, exactly where markers appear when they first enter view.</w:t>
      </w:r>
    </w:p>
    <w:p>
      <w:pPr>
        <w:spacing w:after="120" w:line="276"/>
      </w:pPr>
      <w:r>
        <w:rPr>
          <w:sz w:val="21"/>
          <w:szCs w:val="21"/>
        </w:rPr>
        <w:t xml:space="preserve">The recommendation is a moderate field of view of roughly 45–65° combined with denser marker placement, rather than a wide lens with sparse markers. Marker printing is inexpensive; pixels are not.</w:t>
      </w:r>
    </w:p>
    <w:p>
      <w:pPr>
        <w:pBdr>
          <w:left w:val="single" w:color="999999" w:sz="12" w:space="10"/>
        </w:pBdr>
        <w:spacing w:after="140"/>
        <w:ind w:left="340"/>
      </w:pPr>
      <w:r>
        <w:rPr>
          <w:i/>
          <w:iCs/>
          <w:color w:val="444444"/>
          <w:sz w:val="20"/>
          <w:szCs w:val="20"/>
        </w:rPr>
        <w:t xml:space="preserve">The global-shutter sensor has roughly one eighth the pixel count of Camera Module 3 and therefore twice the GSD, requiring roughly twice the marker size. Section 9 explains why it is nonetheless the correct production choice.</w:t>
      </w:r>
    </w:p>
    <w:p>
      <w:pPr>
        <w:pStyle w:val="Heading1"/>
        <w:spacing w:after="160" w:before="320"/>
      </w:pPr>
      <w:r>
        <w:t xml:space="preserve">6. Marker technology</w:t>
      </w:r>
    </w:p>
    <w:p>
      <w:pPr>
        <w:spacing w:after="120" w:line="276"/>
      </w:pPr>
      <w:r>
        <w:rPr>
          <w:sz w:val="21"/>
          <w:szCs w:val="21"/>
        </w:rPr>
        <w:t xml:space="preserve">The brief lists QR codes, AprilTags, ArUco markers, and custom geometric patterns. The decisive criterion at long range is module size — the physical size of the smallest black-or-white square in the pattern — because that is what must survive projection down to a few pixels.</w:t>
      </w:r>
    </w:p>
    <w:p>
      <w:pPr>
        <w:spacing w:after="120" w:line="276"/>
      </w:pPr>
      <w:r>
        <w:rPr>
          <w:sz w:val="21"/>
          <w:szCs w:val="21"/>
        </w:rPr>
        <w:t xml:space="preserve">For a marker of physical size S subdividing into N modules across, the module size is S / N, and the module footprint in pixels is:</w:t>
      </w:r>
    </w:p>
    <w:p>
      <w:pPr>
        <w:spacing w:after="140" w:before="120"/>
        <w:jc w:val="center"/>
      </w:pPr>
      <w:r>
        <w:rPr>
          <w:rFonts w:ascii="Consolas" w:cs="Consolas" w:eastAsia="Consolas" w:hAnsi="Consolas"/>
          <w:sz w:val="20"/>
          <w:szCs w:val="20"/>
        </w:rPr>
        <w:t xml:space="preserve">module_px  =  (S / N) / GSD</w:t>
      </w:r>
    </w:p>
    <w:p>
      <w:pPr>
        <w:spacing w:after="120" w:line="276"/>
      </w:pPr>
      <w:r>
        <w:rPr>
          <w:sz w:val="21"/>
          <w:szCs w:val="21"/>
        </w:rPr>
        <w:t xml:space="preserve">Reliable binarisation and decoding requires roughly 3 pixels per module, with 5 preferred for tolerance to blur and uneven lighting.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444"/>
        <w:gridCol w:w="1444"/>
        <w:gridCol w:w="2166"/>
        <w:gridCol w:w="2437"/>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Marker type</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Modules across</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Module size @30 cm</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Modules @12 m, GSD 6.81 mm</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Verdict</w:t>
            </w:r>
          </w:p>
        </w:tc>
      </w:tr>
      <w:tr>
        <w:tc>
          <w:tcPr>
            <w:tcW w:type="dxa" w:w="0"/>
            <w:tcMar>
              <w:top w:type="dxa" w:w="60"/>
              <w:left w:type="dxa" w:w="90"/>
              <w:bottom w:type="dxa" w:w="60"/>
              <w:right w:type="dxa" w:w="90"/>
            </w:tcMar>
          </w:tcPr>
          <w:p>
            <w:pPr>
              <w:spacing w:after="0"/>
              <w:jc w:val="left"/>
            </w:pPr>
            <w:r>
              <w:rPr>
                <w:b/>
                <w:bCs/>
                <w:sz w:val="19"/>
                <w:szCs w:val="19"/>
              </w:rPr>
              <w:t xml:space="preserve">QR Code (v1)</w:t>
            </w:r>
          </w:p>
        </w:tc>
        <w:tc>
          <w:tcPr>
            <w:tcW w:type="dxa" w:w="0"/>
            <w:tcMar>
              <w:top w:type="dxa" w:w="60"/>
              <w:left w:type="dxa" w:w="90"/>
              <w:bottom w:type="dxa" w:w="60"/>
              <w:right w:type="dxa" w:w="90"/>
            </w:tcMar>
          </w:tcPr>
          <w:p>
            <w:pPr>
              <w:spacing w:after="0"/>
              <w:jc w:val="right"/>
            </w:pPr>
            <w:r>
              <w:rPr>
                <w:b w:val="false"/>
                <w:bCs w:val="false"/>
                <w:sz w:val="19"/>
                <w:szCs w:val="19"/>
              </w:rPr>
              <w:t xml:space="preserve">21 + quiet zone</w:t>
            </w:r>
          </w:p>
        </w:tc>
        <w:tc>
          <w:tcPr>
            <w:tcW w:type="dxa" w:w="0"/>
            <w:tcMar>
              <w:top w:type="dxa" w:w="60"/>
              <w:left w:type="dxa" w:w="90"/>
              <w:bottom w:type="dxa" w:w="60"/>
              <w:right w:type="dxa" w:w="90"/>
            </w:tcMar>
          </w:tcPr>
          <w:p>
            <w:pPr>
              <w:spacing w:after="0"/>
              <w:jc w:val="right"/>
            </w:pPr>
            <w:r>
              <w:rPr>
                <w:b w:val="false"/>
                <w:bCs w:val="false"/>
                <w:sz w:val="19"/>
                <w:szCs w:val="19"/>
              </w:rPr>
              <w:t xml:space="preserve">14.3 mm</w:t>
            </w:r>
          </w:p>
        </w:tc>
        <w:tc>
          <w:tcPr>
            <w:tcW w:type="dxa" w:w="0"/>
            <w:tcMar>
              <w:top w:type="dxa" w:w="60"/>
              <w:left w:type="dxa" w:w="90"/>
              <w:bottom w:type="dxa" w:w="60"/>
              <w:right w:type="dxa" w:w="90"/>
            </w:tcMar>
          </w:tcPr>
          <w:p>
            <w:pPr>
              <w:spacing w:after="0"/>
              <w:jc w:val="right"/>
            </w:pPr>
            <w:r>
              <w:rPr>
                <w:b w:val="false"/>
                <w:bCs w:val="false"/>
                <w:sz w:val="19"/>
                <w:szCs w:val="19"/>
              </w:rPr>
              <w:t xml:space="preserve">2.1 px</w:t>
            </w:r>
          </w:p>
        </w:tc>
        <w:tc>
          <w:tcPr>
            <w:tcW w:type="dxa" w:w="0"/>
            <w:tcMar>
              <w:top w:type="dxa" w:w="60"/>
              <w:left w:type="dxa" w:w="90"/>
              <w:bottom w:type="dxa" w:w="60"/>
              <w:right w:type="dxa" w:w="90"/>
            </w:tcMar>
          </w:tcPr>
          <w:p>
            <w:pPr>
              <w:spacing w:after="0"/>
              <w:jc w:val="right"/>
            </w:pPr>
            <w:r>
              <w:rPr>
                <w:b w:val="false"/>
                <w:bCs w:val="false"/>
                <w:sz w:val="19"/>
                <w:szCs w:val="19"/>
              </w:rPr>
              <w:t xml:space="preserve">Not viable</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AprilTag 36h11</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8 (6 data + border)</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37.5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5.5 px</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Viable, robust</w:t>
            </w:r>
          </w:p>
        </w:tc>
      </w:tr>
      <w:tr>
        <w:tc>
          <w:tcPr>
            <w:tcW w:type="dxa" w:w="0"/>
            <w:shd w:fill="FFF2CC" w:color="auto" w:val="clear"/>
            <w:tcMar>
              <w:top w:type="dxa" w:w="60"/>
              <w:left w:type="dxa" w:w="90"/>
              <w:bottom w:type="dxa" w:w="60"/>
              <w:right w:type="dxa" w:w="90"/>
            </w:tcMar>
          </w:tcPr>
          <w:p>
            <w:pPr>
              <w:spacing w:after="0"/>
              <w:jc w:val="left"/>
            </w:pPr>
            <w:r>
              <w:rPr>
                <w:b/>
                <w:bCs/>
                <w:sz w:val="19"/>
                <w:szCs w:val="19"/>
              </w:rPr>
              <w:t xml:space="preserve">ArUco 4×4</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6 (4 data + border)</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50.0 mm</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7.3 px</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Recommended</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ArUco 6×6</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8 (6 data + border)</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37.5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5.5 px</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Viable</w:t>
            </w:r>
          </w:p>
        </w:tc>
      </w:tr>
      <w:tr>
        <w:tc>
          <w:tcPr>
            <w:tcW w:type="dxa" w:w="0"/>
            <w:tcMar>
              <w:top w:type="dxa" w:w="60"/>
              <w:left w:type="dxa" w:w="90"/>
              <w:bottom w:type="dxa" w:w="60"/>
              <w:right w:type="dxa" w:w="90"/>
            </w:tcMar>
          </w:tcPr>
          <w:p>
            <w:pPr>
              <w:spacing w:after="0"/>
              <w:jc w:val="left"/>
            </w:pPr>
            <w:r>
              <w:rPr>
                <w:b/>
                <w:bCs/>
                <w:sz w:val="19"/>
                <w:szCs w:val="19"/>
              </w:rPr>
              <w:t xml:space="preserve">Plain geometric</w:t>
            </w:r>
          </w:p>
        </w:tc>
        <w:tc>
          <w:tcPr>
            <w:tcW w:type="dxa" w:w="0"/>
            <w:tcMar>
              <w:top w:type="dxa" w:w="60"/>
              <w:left w:type="dxa" w:w="90"/>
              <w:bottom w:type="dxa" w:w="60"/>
              <w:right w:type="dxa" w:w="90"/>
            </w:tcMar>
          </w:tcPr>
          <w:p>
            <w:pPr>
              <w:spacing w:after="0"/>
              <w:jc w:val="right"/>
            </w:pPr>
            <w:r>
              <w:rPr>
                <w:b w:val="false"/>
                <w:bCs w:val="false"/>
                <w:sz w:val="19"/>
                <w:szCs w:val="19"/>
              </w:rPr>
              <w:t xml:space="preserve">~2–3</w:t>
            </w:r>
          </w:p>
        </w:tc>
        <w:tc>
          <w:tcPr>
            <w:tcW w:type="dxa" w:w="0"/>
            <w:tcMar>
              <w:top w:type="dxa" w:w="60"/>
              <w:left w:type="dxa" w:w="90"/>
              <w:bottom w:type="dxa" w:w="60"/>
              <w:right w:type="dxa" w:w="90"/>
            </w:tcMar>
          </w:tcPr>
          <w:p>
            <w:pPr>
              <w:spacing w:after="0"/>
              <w:jc w:val="right"/>
            </w:pPr>
            <w:r>
              <w:rPr>
                <w:b w:val="false"/>
                <w:bCs w:val="false"/>
                <w:sz w:val="19"/>
                <w:szCs w:val="19"/>
              </w:rPr>
              <w:t xml:space="preserve">≥100 mm</w:t>
            </w:r>
          </w:p>
        </w:tc>
        <w:tc>
          <w:tcPr>
            <w:tcW w:type="dxa" w:w="0"/>
            <w:tcMar>
              <w:top w:type="dxa" w:w="60"/>
              <w:left w:type="dxa" w:w="90"/>
              <w:bottom w:type="dxa" w:w="60"/>
              <w:right w:type="dxa" w:w="90"/>
            </w:tcMar>
          </w:tcPr>
          <w:p>
            <w:pPr>
              <w:spacing w:after="0"/>
              <w:jc w:val="right"/>
            </w:pPr>
            <w:r>
              <w:rPr>
                <w:b w:val="false"/>
                <w:bCs w:val="false"/>
                <w:sz w:val="19"/>
                <w:szCs w:val="19"/>
              </w:rPr>
              <w:t xml:space="preserve">≥14 px</w:t>
            </w:r>
          </w:p>
        </w:tc>
        <w:tc>
          <w:tcPr>
            <w:tcW w:type="dxa" w:w="0"/>
            <w:tcMar>
              <w:top w:type="dxa" w:w="60"/>
              <w:left w:type="dxa" w:w="90"/>
              <w:bottom w:type="dxa" w:w="60"/>
              <w:right w:type="dxa" w:w="90"/>
            </w:tcMar>
          </w:tcPr>
          <w:p>
            <w:pPr>
              <w:spacing w:after="0"/>
              <w:jc w:val="right"/>
            </w:pPr>
            <w:r>
              <w:rPr>
                <w:b w:val="false"/>
                <w:bCs w:val="false"/>
                <w:sz w:val="19"/>
                <w:szCs w:val="19"/>
              </w:rPr>
              <w:t xml:space="preserve">Detects, cannot identify</w:t>
            </w:r>
          </w:p>
        </w:tc>
      </w:tr>
    </w:tbl>
    <w:p>
      <w:pPr>
        <w:spacing w:after="200" w:before="60"/>
      </w:pPr>
      <w:r>
        <w:rPr>
          <w:i/>
          <w:iCs/>
          <w:color w:val="555555"/>
          <w:sz w:val="18"/>
          <w:szCs w:val="18"/>
        </w:rPr>
        <w:t xml:space="preserve">Table 2 — Module size analysis at 30 cm marker size and 12 m range, global-shutter configuration.</w:t>
      </w:r>
    </w:p>
    <w:p>
      <w:pPr>
        <w:pStyle w:val="Heading2"/>
        <w:spacing w:after="120" w:before="240"/>
      </w:pPr>
      <w:r>
        <w:t xml:space="preserve">6.1 Why not QR codes</w:t>
      </w:r>
    </w:p>
    <w:p>
      <w:pPr>
        <w:spacing w:after="120" w:line="276"/>
      </w:pPr>
      <w:r>
        <w:rPr>
          <w:sz w:val="21"/>
          <w:szCs w:val="21"/>
        </w:rPr>
        <w:t xml:space="preserve">A version-1 QR code packs 21 modules across its width, plus a mandatory quiet zone. At 30 cm printed size viewed from 12 m, each module spans roughly 2 pixels — below the threshold for reliable decoding, and far below it once motion blur is included. Reaching 3 pixels per module would require a marker roughly 45 cm across, and 5 pixels per module would require 75 cm.</w:t>
      </w:r>
    </w:p>
    <w:p>
      <w:pPr>
        <w:spacing w:after="120" w:line="276"/>
      </w:pPr>
      <w:r>
        <w:rPr>
          <w:sz w:val="21"/>
          <w:szCs w:val="21"/>
        </w:rPr>
        <w:t xml:space="preserve">Beyond size, QR codes are the wrong tool categorically. They are designed to carry arbitrary payloads at close range, so their error correction and decoding pipeline optimises for data integrity rather than geometric precision. They provide three finder patterns rather than four well-defined corners, which weakens pose estimation. And decoding is markedly slower than fiducial detection. The payload capacity that justifies QR’s density is irrelevant here: the system needs an integer identifier, which four bits of ArUco data comfortably provide for a 50-marker map.</w:t>
      </w:r>
    </w:p>
    <w:p>
      <w:pPr>
        <w:pStyle w:val="Heading2"/>
        <w:spacing w:after="120" w:before="240"/>
      </w:pPr>
      <w:r>
        <w:t xml:space="preserve">6.2 ArUco versus AprilTag</w:t>
      </w:r>
    </w:p>
    <w:p>
      <w:pPr>
        <w:spacing w:after="120" w:line="276"/>
      </w:pPr>
      <w:r>
        <w:rPr>
          <w:sz w:val="21"/>
          <w:szCs w:val="21"/>
        </w:rPr>
        <w:t xml:space="preserve">Both are purpose-built fiducial systems with four-corner geometry suited to pose estimation. AprilTag 36h11 offers a larger minimum Hamming distance and consequently a lower false-positive rate, at the cost of 8 modules across instead of 6 — a 33% reduction in module size for the same printed area.</w:t>
      </w:r>
    </w:p>
    <w:p>
      <w:pPr>
        <w:spacing w:after="120" w:line="276"/>
      </w:pPr>
      <w:r>
        <w:rPr>
          <w:sz w:val="21"/>
          <w:szCs w:val="21"/>
        </w:rPr>
        <w:t xml:space="preserve">ArUco 4×4 is recommended for this application because range is the binding constraint and false positives are cheaply suppressed by other means. A detection can be rejected if its decoded ID is absent from the marker map, and further rejected if its implied pose is geometrically inconsistent with the other markers visible in the same frame. Both checks are essentially free and eliminate the class of error that AprilTag’s larger Hamming distance defends against.</w:t>
      </w:r>
    </w:p>
    <w:p>
      <w:pPr>
        <w:pBdr>
          <w:left w:val="single" w:color="999999" w:sz="12" w:space="10"/>
        </w:pBdr>
        <w:spacing w:after="140"/>
        <w:ind w:left="340"/>
      </w:pPr>
      <w:r>
        <w:rPr>
          <w:i/>
          <w:iCs/>
          <w:color w:val="444444"/>
          <w:sz w:val="20"/>
          <w:szCs w:val="20"/>
        </w:rPr>
        <w:t xml:space="preserve">If field testing reveals persistent false detections — from ceiling fixtures, signage, or reflective ducting — AprilTag 36h11 is the drop-in upgrade, accepted at the cost of roughly 33% larger markers.</w:t>
      </w:r>
    </w:p>
    <w:p>
      <w:pPr>
        <w:pStyle w:val="Heading2"/>
        <w:spacing w:after="120" w:before="240"/>
      </w:pPr>
      <w:r>
        <w:t xml:space="preserve">6.3 Plain geometric markers</w:t>
      </w:r>
    </w:p>
    <w:p>
      <w:pPr>
        <w:spacing w:after="120" w:line="276"/>
      </w:pPr>
      <w:r>
        <w:rPr>
          <w:sz w:val="21"/>
          <w:szCs w:val="21"/>
        </w:rPr>
        <w:t xml:space="preserve">White squares or circles on a dark ceiling detect at greater range than any coded marker, since they have no internal structure to resolve. They cannot be identified individually, which forces the system to infer correspondence from the pattern of markers in view. That inference is fragile near symmetry and unrecoverable after occlusion. The approach is rejected, but its underlying advantage — detection range — reappears in the retroreflective proposal of Section 13.2.</w:t>
      </w:r>
    </w:p>
    <w:p>
      <w:pPr>
        <w:pStyle w:val="Heading1"/>
        <w:spacing w:after="160" w:before="320"/>
      </w:pPr>
      <w:r>
        <w:t xml:space="preserve">7. Marker size and spacing</w:t>
      </w:r>
    </w:p>
    <w:p>
      <w:pPr>
        <w:pStyle w:val="Heading2"/>
        <w:spacing w:after="120" w:before="240"/>
      </w:pPr>
      <w:r>
        <w:t xml:space="preserve">7.1 Required marker size</w:t>
      </w:r>
    </w:p>
    <w:p>
      <w:pPr>
        <w:spacing w:after="120" w:line="276"/>
      </w:pPr>
      <w:r>
        <w:rPr>
          <w:sz w:val="21"/>
          <w:szCs w:val="21"/>
        </w:rPr>
        <w:t xml:space="preserve">Reliable ArUco detection requires the marker to span roughly 40 pixels in the image. This threshold accommodates the 6 modules of a 4×4 marker at 5–7 pixels each, with margin for blur and adaptive thresholding. The corresponding physical size is:</w:t>
      </w:r>
    </w:p>
    <w:p>
      <w:pPr>
        <w:spacing w:after="140" w:before="120"/>
        <w:jc w:val="center"/>
      </w:pPr>
      <w:r>
        <w:rPr>
          <w:rFonts w:ascii="Consolas" w:cs="Consolas" w:eastAsia="Consolas" w:hAnsi="Consolas"/>
          <w:sz w:val="20"/>
          <w:szCs w:val="20"/>
        </w:rPr>
        <w:t xml:space="preserve">S_min  =  40 · GSD  =  40 · h / f_px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95"/>
        <w:gridCol w:w="1895"/>
        <w:gridCol w:w="1895"/>
        <w:gridCol w:w="1895"/>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Ceiling height</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GSD (Cam Module 3)</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Marker size</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GSD (Global Shutter + 6 mm)</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Marker size</w:t>
            </w:r>
          </w:p>
        </w:tc>
      </w:tr>
      <w:tr>
        <w:tc>
          <w:tcPr>
            <w:tcW w:type="dxa" w:w="0"/>
            <w:tcMar>
              <w:top w:type="dxa" w:w="60"/>
              <w:left w:type="dxa" w:w="90"/>
              <w:bottom w:type="dxa" w:w="60"/>
              <w:right w:type="dxa" w:w="90"/>
            </w:tcMar>
          </w:tcPr>
          <w:p>
            <w:pPr>
              <w:spacing w:after="0"/>
              <w:jc w:val="left"/>
            </w:pPr>
            <w:r>
              <w:rPr>
                <w:b/>
                <w:bCs/>
                <w:sz w:val="19"/>
                <w:szCs w:val="19"/>
              </w:rPr>
              <w:t xml:space="preserve">5 m</w:t>
            </w:r>
          </w:p>
        </w:tc>
        <w:tc>
          <w:tcPr>
            <w:tcW w:type="dxa" w:w="0"/>
            <w:tcMar>
              <w:top w:type="dxa" w:w="60"/>
              <w:left w:type="dxa" w:w="90"/>
              <w:bottom w:type="dxa" w:w="60"/>
              <w:right w:type="dxa" w:w="90"/>
            </w:tcMar>
          </w:tcPr>
          <w:p>
            <w:pPr>
              <w:spacing w:after="0"/>
              <w:jc w:val="right"/>
            </w:pPr>
            <w:r>
              <w:rPr>
                <w:b w:val="false"/>
                <w:bCs w:val="false"/>
                <w:sz w:val="19"/>
                <w:szCs w:val="19"/>
              </w:rPr>
              <w:t xml:space="preserve">1.41 mm</w:t>
            </w:r>
          </w:p>
        </w:tc>
        <w:tc>
          <w:tcPr>
            <w:tcW w:type="dxa" w:w="0"/>
            <w:tcMar>
              <w:top w:type="dxa" w:w="60"/>
              <w:left w:type="dxa" w:w="90"/>
              <w:bottom w:type="dxa" w:w="60"/>
              <w:right w:type="dxa" w:w="90"/>
            </w:tcMar>
          </w:tcPr>
          <w:p>
            <w:pPr>
              <w:spacing w:after="0"/>
              <w:jc w:val="right"/>
            </w:pPr>
            <w:r>
              <w:rPr>
                <w:b w:val="false"/>
                <w:bCs w:val="false"/>
                <w:sz w:val="19"/>
                <w:szCs w:val="19"/>
              </w:rPr>
              <w:t xml:space="preserve">5.6 cm → use 15 cm</w:t>
            </w:r>
          </w:p>
        </w:tc>
        <w:tc>
          <w:tcPr>
            <w:tcW w:type="dxa" w:w="0"/>
            <w:tcMar>
              <w:top w:type="dxa" w:w="60"/>
              <w:left w:type="dxa" w:w="90"/>
              <w:bottom w:type="dxa" w:w="60"/>
              <w:right w:type="dxa" w:w="90"/>
            </w:tcMar>
          </w:tcPr>
          <w:p>
            <w:pPr>
              <w:spacing w:after="0"/>
              <w:jc w:val="right"/>
            </w:pPr>
            <w:r>
              <w:rPr>
                <w:b w:val="false"/>
                <w:bCs w:val="false"/>
                <w:sz w:val="19"/>
                <w:szCs w:val="19"/>
              </w:rPr>
              <w:t xml:space="preserve">2.84 mm</w:t>
            </w:r>
          </w:p>
        </w:tc>
        <w:tc>
          <w:tcPr>
            <w:tcW w:type="dxa" w:w="0"/>
            <w:tcMar>
              <w:top w:type="dxa" w:w="60"/>
              <w:left w:type="dxa" w:w="90"/>
              <w:bottom w:type="dxa" w:w="60"/>
              <w:right w:type="dxa" w:w="90"/>
            </w:tcMar>
          </w:tcPr>
          <w:p>
            <w:pPr>
              <w:spacing w:after="0"/>
              <w:jc w:val="right"/>
            </w:pPr>
            <w:r>
              <w:rPr>
                <w:b w:val="false"/>
                <w:bCs w:val="false"/>
                <w:sz w:val="19"/>
                <w:szCs w:val="19"/>
              </w:rPr>
              <w:t xml:space="preserve">11.4 cm → use 15 cm</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8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2.25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9.0 cm → use 20 cm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4.54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18.2 cm → use 20 cm</w:t>
            </w:r>
          </w:p>
        </w:tc>
      </w:tr>
      <w:tr>
        <w:tc>
          <w:tcPr>
            <w:tcW w:type="dxa" w:w="0"/>
            <w:tcMar>
              <w:top w:type="dxa" w:w="60"/>
              <w:left w:type="dxa" w:w="90"/>
              <w:bottom w:type="dxa" w:w="60"/>
              <w:right w:type="dxa" w:w="90"/>
            </w:tcMar>
          </w:tcPr>
          <w:p>
            <w:pPr>
              <w:spacing w:after="0"/>
              <w:jc w:val="left"/>
            </w:pPr>
            <w:r>
              <w:rPr>
                <w:b/>
                <w:bCs/>
                <w:sz w:val="19"/>
                <w:szCs w:val="19"/>
              </w:rPr>
              <w:t xml:space="preserve">12 m</w:t>
            </w:r>
          </w:p>
        </w:tc>
        <w:tc>
          <w:tcPr>
            <w:tcW w:type="dxa" w:w="0"/>
            <w:tcMar>
              <w:top w:type="dxa" w:w="60"/>
              <w:left w:type="dxa" w:w="90"/>
              <w:bottom w:type="dxa" w:w="60"/>
              <w:right w:type="dxa" w:w="90"/>
            </w:tcMar>
          </w:tcPr>
          <w:p>
            <w:pPr>
              <w:spacing w:after="0"/>
              <w:jc w:val="right"/>
            </w:pPr>
            <w:r>
              <w:rPr>
                <w:b w:val="false"/>
                <w:bCs w:val="false"/>
                <w:sz w:val="19"/>
                <w:szCs w:val="19"/>
              </w:rPr>
              <w:t xml:space="preserve">3.38 mm</w:t>
            </w:r>
          </w:p>
        </w:tc>
        <w:tc>
          <w:tcPr>
            <w:tcW w:type="dxa" w:w="0"/>
            <w:tcMar>
              <w:top w:type="dxa" w:w="60"/>
              <w:left w:type="dxa" w:w="90"/>
              <w:bottom w:type="dxa" w:w="60"/>
              <w:right w:type="dxa" w:w="90"/>
            </w:tcMar>
          </w:tcPr>
          <w:p>
            <w:pPr>
              <w:spacing w:after="0"/>
              <w:jc w:val="right"/>
            </w:pPr>
            <w:r>
              <w:rPr>
                <w:b w:val="false"/>
                <w:bCs w:val="false"/>
                <w:sz w:val="19"/>
                <w:szCs w:val="19"/>
              </w:rPr>
              <w:t xml:space="preserve">13.5 cm → use 30 cm</w:t>
            </w:r>
          </w:p>
        </w:tc>
        <w:tc>
          <w:tcPr>
            <w:tcW w:type="dxa" w:w="0"/>
            <w:tcMar>
              <w:top w:type="dxa" w:w="60"/>
              <w:left w:type="dxa" w:w="90"/>
              <w:bottom w:type="dxa" w:w="60"/>
              <w:right w:type="dxa" w:w="90"/>
            </w:tcMar>
          </w:tcPr>
          <w:p>
            <w:pPr>
              <w:spacing w:after="0"/>
              <w:jc w:val="right"/>
            </w:pPr>
            <w:r>
              <w:rPr>
                <w:b w:val="false"/>
                <w:bCs w:val="false"/>
                <w:sz w:val="19"/>
                <w:szCs w:val="19"/>
              </w:rPr>
              <w:t xml:space="preserve">6.81 mm</w:t>
            </w:r>
          </w:p>
        </w:tc>
        <w:tc>
          <w:tcPr>
            <w:tcW w:type="dxa" w:w="0"/>
            <w:tcMar>
              <w:top w:type="dxa" w:w="60"/>
              <w:left w:type="dxa" w:w="90"/>
              <w:bottom w:type="dxa" w:w="60"/>
              <w:right w:type="dxa" w:w="90"/>
            </w:tcMar>
          </w:tcPr>
          <w:p>
            <w:pPr>
              <w:spacing w:after="0"/>
              <w:jc w:val="right"/>
            </w:pPr>
            <w:r>
              <w:rPr>
                <w:b w:val="false"/>
                <w:bCs w:val="false"/>
                <w:sz w:val="19"/>
                <w:szCs w:val="19"/>
              </w:rPr>
              <w:t xml:space="preserve">27.2 cm → use 30 cm</w:t>
            </w:r>
          </w:p>
        </w:tc>
      </w:tr>
    </w:tbl>
    <w:p>
      <w:pPr>
        <w:spacing w:after="200" w:before="60"/>
      </w:pPr>
      <w:r>
        <w:rPr>
          <w:i/>
          <w:iCs/>
          <w:color w:val="555555"/>
          <w:sz w:val="18"/>
          <w:szCs w:val="18"/>
        </w:rPr>
        <w:t xml:space="preserve">Table 3 — Minimum and recommended marker sizes. Recommended sizes include roughly 2× margin over the detection threshold.</w:t>
      </w:r>
    </w:p>
    <w:p>
      <w:pPr>
        <w:spacing w:after="120" w:line="276"/>
      </w:pPr>
      <w:r>
        <w:rPr>
          <w:sz w:val="21"/>
          <w:szCs w:val="21"/>
        </w:rPr>
        <w:t xml:space="preserve">The recommended sizes deliberately exceed the computed minimum by a factor of roughly two. That margin buys tolerance to motion blur, degraded lighting, dust accumulation on the marker surface, and oblique viewing angles at the edge of the field of view — none of which are captured by the idealised threshold. A 30 cm marker prints on a single A3 sheet, so the margin costs essentially nothing.</w:t>
      </w:r>
    </w:p>
    <w:p>
      <w:pPr>
        <w:pStyle w:val="Heading2"/>
        <w:spacing w:after="120" w:before="240"/>
      </w:pPr>
      <w:r>
        <w:t xml:space="preserve">7.2 Marker spacing</w:t>
      </w:r>
    </w:p>
    <w:p>
      <w:pPr>
        <w:spacing w:after="120" w:line="276"/>
      </w:pPr>
      <w:r>
        <w:rPr>
          <w:sz w:val="21"/>
          <w:szCs w:val="21"/>
        </w:rPr>
        <w:t xml:space="preserve">A regular grid of spacing d, viewed through a window of width W, guarantees at least ⌊W / d⌋ markers in view. Guaranteeing two or more markers at all times therefore requires:</w:t>
      </w:r>
    </w:p>
    <w:p>
      <w:pPr>
        <w:spacing w:after="140" w:before="120"/>
        <w:jc w:val="center"/>
      </w:pPr>
      <w:r>
        <w:rPr>
          <w:rFonts w:ascii="Consolas" w:cs="Consolas" w:eastAsia="Consolas" w:hAnsi="Consolas"/>
          <w:sz w:val="20"/>
          <w:szCs w:val="20"/>
        </w:rPr>
        <w:t xml:space="preserve">d  ≤  Footprint_short /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1715"/>
        <w:gridCol w:w="1625"/>
        <w:gridCol w:w="1895"/>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Ceiling height</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Footprint (GS + 6 mm)</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Short dimension</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Max spacing</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Recommended</w:t>
            </w:r>
          </w:p>
        </w:tc>
      </w:tr>
      <w:tr>
        <w:tc>
          <w:tcPr>
            <w:tcW w:type="dxa" w:w="0"/>
            <w:tcMar>
              <w:top w:type="dxa" w:w="60"/>
              <w:left w:type="dxa" w:w="90"/>
              <w:bottom w:type="dxa" w:w="60"/>
              <w:right w:type="dxa" w:w="90"/>
            </w:tcMar>
          </w:tcPr>
          <w:p>
            <w:pPr>
              <w:spacing w:after="0"/>
              <w:jc w:val="left"/>
            </w:pPr>
            <w:r>
              <w:rPr>
                <w:b/>
                <w:bCs/>
                <w:sz w:val="19"/>
                <w:szCs w:val="19"/>
              </w:rPr>
              <w:t xml:space="preserve">5 m</w:t>
            </w:r>
          </w:p>
        </w:tc>
        <w:tc>
          <w:tcPr>
            <w:tcW w:type="dxa" w:w="0"/>
            <w:tcMar>
              <w:top w:type="dxa" w:w="60"/>
              <w:left w:type="dxa" w:w="90"/>
              <w:bottom w:type="dxa" w:w="60"/>
              <w:right w:type="dxa" w:w="90"/>
            </w:tcMar>
          </w:tcPr>
          <w:p>
            <w:pPr>
              <w:spacing w:after="0"/>
              <w:jc w:val="right"/>
            </w:pPr>
            <w:r>
              <w:rPr>
                <w:b w:val="false"/>
                <w:bCs w:val="false"/>
                <w:sz w:val="19"/>
                <w:szCs w:val="19"/>
              </w:rPr>
              <w:t xml:space="preserve">4.1 × 3.1 m</w:t>
            </w:r>
          </w:p>
        </w:tc>
        <w:tc>
          <w:tcPr>
            <w:tcW w:type="dxa" w:w="0"/>
            <w:tcMar>
              <w:top w:type="dxa" w:w="60"/>
              <w:left w:type="dxa" w:w="90"/>
              <w:bottom w:type="dxa" w:w="60"/>
              <w:right w:type="dxa" w:w="90"/>
            </w:tcMar>
          </w:tcPr>
          <w:p>
            <w:pPr>
              <w:spacing w:after="0"/>
              <w:jc w:val="right"/>
            </w:pPr>
            <w:r>
              <w:rPr>
                <w:b w:val="false"/>
                <w:bCs w:val="false"/>
                <w:sz w:val="19"/>
                <w:szCs w:val="19"/>
              </w:rPr>
              <w:t xml:space="preserve">3.1 m</w:t>
            </w:r>
          </w:p>
        </w:tc>
        <w:tc>
          <w:tcPr>
            <w:tcW w:type="dxa" w:w="0"/>
            <w:tcMar>
              <w:top w:type="dxa" w:w="60"/>
              <w:left w:type="dxa" w:w="90"/>
              <w:bottom w:type="dxa" w:w="60"/>
              <w:right w:type="dxa" w:w="90"/>
            </w:tcMar>
          </w:tcPr>
          <w:p>
            <w:pPr>
              <w:spacing w:after="0"/>
              <w:jc w:val="right"/>
            </w:pPr>
            <w:r>
              <w:rPr>
                <w:b w:val="false"/>
                <w:bCs w:val="false"/>
                <w:sz w:val="19"/>
                <w:szCs w:val="19"/>
              </w:rPr>
              <w:t xml:space="preserve">1.55 m</w:t>
            </w:r>
          </w:p>
        </w:tc>
        <w:tc>
          <w:tcPr>
            <w:tcW w:type="dxa" w:w="0"/>
            <w:tcMar>
              <w:top w:type="dxa" w:w="60"/>
              <w:left w:type="dxa" w:w="90"/>
              <w:bottom w:type="dxa" w:w="60"/>
              <w:right w:type="dxa" w:w="90"/>
            </w:tcMar>
          </w:tcPr>
          <w:p>
            <w:pPr>
              <w:spacing w:after="0"/>
              <w:jc w:val="right"/>
            </w:pPr>
            <w:r>
              <w:rPr>
                <w:b w:val="false"/>
                <w:bCs w:val="false"/>
                <w:sz w:val="19"/>
                <w:szCs w:val="19"/>
              </w:rPr>
              <w:t xml:space="preserve">1.5 m</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8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6.6 × 4.9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4.9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2.48 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2.5 m</w:t>
            </w:r>
          </w:p>
        </w:tc>
      </w:tr>
      <w:tr>
        <w:tc>
          <w:tcPr>
            <w:tcW w:type="dxa" w:w="0"/>
            <w:tcMar>
              <w:top w:type="dxa" w:w="60"/>
              <w:left w:type="dxa" w:w="90"/>
              <w:bottom w:type="dxa" w:w="60"/>
              <w:right w:type="dxa" w:w="90"/>
            </w:tcMar>
          </w:tcPr>
          <w:p>
            <w:pPr>
              <w:spacing w:after="0"/>
              <w:jc w:val="left"/>
            </w:pPr>
            <w:r>
              <w:rPr>
                <w:b/>
                <w:bCs/>
                <w:sz w:val="19"/>
                <w:szCs w:val="19"/>
              </w:rPr>
              <w:t xml:space="preserve">12 m</w:t>
            </w:r>
          </w:p>
        </w:tc>
        <w:tc>
          <w:tcPr>
            <w:tcW w:type="dxa" w:w="0"/>
            <w:tcMar>
              <w:top w:type="dxa" w:w="60"/>
              <w:left w:type="dxa" w:w="90"/>
              <w:bottom w:type="dxa" w:w="60"/>
              <w:right w:type="dxa" w:w="90"/>
            </w:tcMar>
          </w:tcPr>
          <w:p>
            <w:pPr>
              <w:spacing w:after="0"/>
              <w:jc w:val="right"/>
            </w:pPr>
            <w:r>
              <w:rPr>
                <w:b w:val="false"/>
                <w:bCs w:val="false"/>
                <w:sz w:val="19"/>
                <w:szCs w:val="19"/>
              </w:rPr>
              <w:t xml:space="preserve">9.9 × 7.4 m</w:t>
            </w:r>
          </w:p>
        </w:tc>
        <w:tc>
          <w:tcPr>
            <w:tcW w:type="dxa" w:w="0"/>
            <w:tcMar>
              <w:top w:type="dxa" w:w="60"/>
              <w:left w:type="dxa" w:w="90"/>
              <w:bottom w:type="dxa" w:w="60"/>
              <w:right w:type="dxa" w:w="90"/>
            </w:tcMar>
          </w:tcPr>
          <w:p>
            <w:pPr>
              <w:spacing w:after="0"/>
              <w:jc w:val="right"/>
            </w:pPr>
            <w:r>
              <w:rPr>
                <w:b w:val="false"/>
                <w:bCs w:val="false"/>
                <w:sz w:val="19"/>
                <w:szCs w:val="19"/>
              </w:rPr>
              <w:t xml:space="preserve">7.4 m</w:t>
            </w:r>
          </w:p>
        </w:tc>
        <w:tc>
          <w:tcPr>
            <w:tcW w:type="dxa" w:w="0"/>
            <w:tcMar>
              <w:top w:type="dxa" w:w="60"/>
              <w:left w:type="dxa" w:w="90"/>
              <w:bottom w:type="dxa" w:w="60"/>
              <w:right w:type="dxa" w:w="90"/>
            </w:tcMar>
          </w:tcPr>
          <w:p>
            <w:pPr>
              <w:spacing w:after="0"/>
              <w:jc w:val="right"/>
            </w:pPr>
            <w:r>
              <w:rPr>
                <w:b w:val="false"/>
                <w:bCs w:val="false"/>
                <w:sz w:val="19"/>
                <w:szCs w:val="19"/>
              </w:rPr>
              <w:t xml:space="preserve">3.72 m</w:t>
            </w:r>
          </w:p>
        </w:tc>
        <w:tc>
          <w:tcPr>
            <w:tcW w:type="dxa" w:w="0"/>
            <w:tcMar>
              <w:top w:type="dxa" w:w="60"/>
              <w:left w:type="dxa" w:w="90"/>
              <w:bottom w:type="dxa" w:w="60"/>
              <w:right w:type="dxa" w:w="90"/>
            </w:tcMar>
          </w:tcPr>
          <w:p>
            <w:pPr>
              <w:spacing w:after="0"/>
              <w:jc w:val="right"/>
            </w:pPr>
            <w:r>
              <w:rPr>
                <w:b w:val="false"/>
                <w:bCs w:val="false"/>
                <w:sz w:val="19"/>
                <w:szCs w:val="19"/>
              </w:rPr>
              <w:t xml:space="preserve">3.5 m</w:t>
            </w:r>
          </w:p>
        </w:tc>
      </w:tr>
    </w:tbl>
    <w:p>
      <w:pPr>
        <w:spacing w:after="200" w:before="60"/>
      </w:pPr>
      <w:r>
        <w:rPr>
          <w:i/>
          <w:iCs/>
          <w:color w:val="555555"/>
          <w:sz w:val="18"/>
          <w:szCs w:val="18"/>
        </w:rPr>
        <w:t xml:space="preserve">Table 4 — Marker spacing derived from field-of-view footprint, global-shutter configuration.</w:t>
      </w:r>
    </w:p>
    <w:p>
      <w:pPr>
        <w:pStyle w:val="Heading2"/>
        <w:spacing w:after="120" w:before="240"/>
      </w:pPr>
      <w:r>
        <w:t xml:space="preserve">7.3 Marker count and cost</w:t>
      </w:r>
    </w:p>
    <w:p>
      <w:pPr>
        <w:spacing w:after="120" w:line="276"/>
      </w:pPr>
      <w:r>
        <w:rPr>
          <w:sz w:val="21"/>
          <w:szCs w:val="21"/>
        </w:rPr>
        <w:t xml:space="preserve">For a 50 m × 30 m hall (1500 m²) with a 12 m ceiling and 3.5 m spacing, the grid is approximately 15 × 9, giving 135 markers. At 5 m ceiling height with 1.5 m spacing the same hall requires roughly 34 × 20, or 680 markers.</w:t>
      </w:r>
    </w:p>
    <w:p>
      <w:pPr>
        <w:spacing w:after="120" w:line="276"/>
      </w:pPr>
      <w:r>
        <w:rPr>
          <w:sz w:val="21"/>
          <w:szCs w:val="21"/>
        </w:rPr>
        <w:t xml:space="preserve">Printed on A3 stock and laminated, per-marker material cost is on the order of €1–2, placing total material cost between roughly €150 and €1400 depending on ceiling height. Installation labour and survey time dominate this figure. The infrastructure remains inexpensive by the standards of industrial localization, and it is entirely passive — no power, no network, no maintenance beyond occasional cleaning.</w:t>
      </w:r>
    </w:p>
    <w:p>
      <w:pPr>
        <w:pBdr>
          <w:left w:val="single" w:color="999999" w:sz="12" w:space="10"/>
        </w:pBdr>
        <w:spacing w:after="140"/>
        <w:ind w:left="340"/>
      </w:pPr>
      <w:r>
        <w:rPr>
          <w:i/>
          <w:iCs/>
          <w:color w:val="444444"/>
          <w:sz w:val="20"/>
          <w:szCs w:val="20"/>
        </w:rPr>
        <w:t xml:space="preserve">Lower ceilings need far more markers, which is counter-intuitive but follows directly from the smaller field-of-view footprint. Installation cost scales inversely with ceiling height.</w:t>
      </w:r>
    </w:p>
    <w:p>
      <w:pPr>
        <w:pStyle w:val="Heading1"/>
        <w:spacing w:after="160" w:before="320"/>
      </w:pPr>
      <w:r>
        <w:t xml:space="preserve">8. Orientation conditioning: the dominant error term</w:t>
      </w:r>
    </w:p>
    <w:p>
      <w:pPr>
        <w:spacing w:after="120" w:line="276"/>
      </w:pPr>
      <w:r>
        <w:rPr>
          <w:sz w:val="21"/>
          <w:szCs w:val="21"/>
        </w:rPr>
        <w:t xml:space="preserve">This section contains the analysis that most affects the design, and it corrects a natural but mistaken intuition about camera tilt.</w:t>
      </w:r>
    </w:p>
    <w:p>
      <w:pPr>
        <w:pStyle w:val="Heading2"/>
        <w:spacing w:after="120" w:before="240"/>
      </w:pPr>
      <w:r>
        <w:t xml:space="preserve">8.1 Why tilt is not a bias</w:t>
      </w:r>
    </w:p>
    <w:p>
      <w:pPr>
        <w:spacing w:after="120" w:line="276"/>
      </w:pPr>
      <w:r>
        <w:rPr>
          <w:sz w:val="21"/>
          <w:szCs w:val="21"/>
        </w:rPr>
        <w:t xml:space="preserve">It is tempting to reason that if the camera tilts by an angle θ while looking at a ceiling h above, the apparent position shifts by h·tanθ — at 12 m, a 1° tilt would produce a 21 cm error. That reasoning applies only to a system that assumes the camera points straight up and computes position by simple scaling.</w:t>
      </w:r>
    </w:p>
    <w:p>
      <w:pPr>
        <w:spacing w:after="120" w:line="276"/>
      </w:pPr>
      <w:r>
        <w:rPr>
          <w:sz w:val="21"/>
          <w:szCs w:val="21"/>
        </w:rPr>
        <w:t xml:space="preserve">A full perspective-n-point solve does not assume this. It estimates the camera’s complete orientation as part of the solution. A tilted camera is not a source of bias; it is simply a pose that the solver recovers. What matters is not the tilt itself but how precisely the solver can determine it.</w:t>
      </w:r>
    </w:p>
    <w:p>
      <w:pPr>
        <w:pStyle w:val="Heading2"/>
        <w:spacing w:after="120" w:before="240"/>
      </w:pPr>
      <w:r>
        <w:t xml:space="preserve">8.2 The lever-arm argument</w:t>
      </w:r>
    </w:p>
    <w:p>
      <w:pPr>
        <w:spacing w:after="120" w:line="276"/>
      </w:pPr>
      <w:r>
        <w:rPr>
          <w:sz w:val="21"/>
          <w:szCs w:val="21"/>
        </w:rPr>
        <w:t xml:space="preserve">Orientation is inferred from the relative positions of observed features. The precision of that inference depends on the baseline over which those features are spread. For corner localization noise σ pixels, the angular uncertainty over a baseline B is approximately:</w:t>
      </w:r>
    </w:p>
    <w:p>
      <w:pPr>
        <w:spacing w:after="140" w:before="120"/>
        <w:jc w:val="center"/>
      </w:pPr>
      <w:r>
        <w:rPr>
          <w:rFonts w:ascii="Consolas" w:cs="Consolas" w:eastAsia="Consolas" w:hAnsi="Consolas"/>
          <w:sz w:val="20"/>
          <w:szCs w:val="20"/>
        </w:rPr>
        <w:t xml:space="preserve">δθ  ≈  σ · GSD / B</w:t>
      </w:r>
    </w:p>
    <w:p>
      <w:pPr>
        <w:spacing w:after="120" w:line="276"/>
      </w:pPr>
      <w:r>
        <w:rPr>
          <w:sz w:val="21"/>
          <w:szCs w:val="21"/>
        </w:rPr>
        <w:t xml:space="preserve">and because the ceiling is h above the camera, that angular uncertainty propagates into lateral position uncertainty amplified by the full height:</w:t>
      </w:r>
    </w:p>
    <w:p>
      <w:pPr>
        <w:spacing w:after="140" w:before="120"/>
        <w:jc w:val="center"/>
      </w:pPr>
      <w:r>
        <w:rPr>
          <w:rFonts w:ascii="Consolas" w:cs="Consolas" w:eastAsia="Consolas" w:hAnsi="Consolas"/>
          <w:sz w:val="20"/>
          <w:szCs w:val="20"/>
        </w:rPr>
        <w:t xml:space="preserve">δx  ≈  h · δθ  =  h · σ · GSD / B</w:t>
      </w:r>
    </w:p>
    <w:p>
      <w:pPr>
        <w:spacing w:after="120" w:line="276"/>
      </w:pPr>
      <w:r>
        <w:rPr>
          <w:sz w:val="21"/>
          <w:szCs w:val="21"/>
        </w:rPr>
        <w:t xml:space="preserve">When only one marker is visible, B is the marker’s own width — 30 cm. When several markers are visible, B becomes the separation between the outermost markers — metres. The difference is dramatic: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625"/>
        <w:gridCol w:w="2347"/>
        <w:gridCol w:w="2347"/>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Configuration</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Baseline B</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Angular uncertainty δθ</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Lateral error at 12 m</w:t>
            </w:r>
          </w:p>
        </w:tc>
      </w:tr>
      <w:tr>
        <w:tc>
          <w:tcPr>
            <w:tcW w:type="dxa" w:w="0"/>
            <w:tcMar>
              <w:top w:type="dxa" w:w="60"/>
              <w:left w:type="dxa" w:w="90"/>
              <w:bottom w:type="dxa" w:w="60"/>
              <w:right w:type="dxa" w:w="90"/>
            </w:tcMar>
          </w:tcPr>
          <w:p>
            <w:pPr>
              <w:spacing w:after="0"/>
              <w:jc w:val="left"/>
            </w:pPr>
            <w:r>
              <w:rPr>
                <w:b/>
                <w:bCs/>
                <w:sz w:val="19"/>
                <w:szCs w:val="19"/>
              </w:rPr>
              <w:t xml:space="preserve">Single marker, 30 cm</w:t>
            </w:r>
          </w:p>
        </w:tc>
        <w:tc>
          <w:tcPr>
            <w:tcW w:type="dxa" w:w="0"/>
            <w:tcMar>
              <w:top w:type="dxa" w:w="60"/>
              <w:left w:type="dxa" w:w="90"/>
              <w:bottom w:type="dxa" w:w="60"/>
              <w:right w:type="dxa" w:w="90"/>
            </w:tcMar>
          </w:tcPr>
          <w:p>
            <w:pPr>
              <w:spacing w:after="0"/>
              <w:jc w:val="right"/>
            </w:pPr>
            <w:r>
              <w:rPr>
                <w:b w:val="false"/>
                <w:bCs w:val="false"/>
                <w:sz w:val="19"/>
                <w:szCs w:val="19"/>
              </w:rPr>
              <w:t xml:space="preserve">0.30 m</w:t>
            </w:r>
          </w:p>
        </w:tc>
        <w:tc>
          <w:tcPr>
            <w:tcW w:type="dxa" w:w="0"/>
            <w:tcMar>
              <w:top w:type="dxa" w:w="60"/>
              <w:left w:type="dxa" w:w="90"/>
              <w:bottom w:type="dxa" w:w="60"/>
              <w:right w:type="dxa" w:w="90"/>
            </w:tcMar>
          </w:tcPr>
          <w:p>
            <w:pPr>
              <w:spacing w:after="0"/>
              <w:jc w:val="right"/>
            </w:pPr>
            <w:r>
              <w:rPr>
                <w:b w:val="false"/>
                <w:bCs w:val="false"/>
                <w:sz w:val="19"/>
                <w:szCs w:val="19"/>
              </w:rPr>
              <w:t xml:space="preserve">0.390°</w:t>
            </w:r>
          </w:p>
        </w:tc>
        <w:tc>
          <w:tcPr>
            <w:tcW w:type="dxa" w:w="0"/>
            <w:tcMar>
              <w:top w:type="dxa" w:w="60"/>
              <w:left w:type="dxa" w:w="90"/>
              <w:bottom w:type="dxa" w:w="60"/>
              <w:right w:type="dxa" w:w="90"/>
            </w:tcMar>
          </w:tcPr>
          <w:p>
            <w:pPr>
              <w:spacing w:after="0"/>
              <w:jc w:val="right"/>
            </w:pPr>
            <w:r>
              <w:rPr>
                <w:b w:val="false"/>
                <w:bCs w:val="false"/>
                <w:sz w:val="19"/>
                <w:szCs w:val="19"/>
              </w:rPr>
              <w:t xml:space="preserve">81.7 mm</w:t>
            </w:r>
          </w:p>
        </w:tc>
      </w:tr>
      <w:tr>
        <w:tc>
          <w:tcPr>
            <w:tcW w:type="dxa" w:w="0"/>
            <w:shd w:fill="FFF2CC" w:color="auto" w:val="clear"/>
            <w:tcMar>
              <w:top w:type="dxa" w:w="60"/>
              <w:left w:type="dxa" w:w="90"/>
              <w:bottom w:type="dxa" w:w="60"/>
              <w:right w:type="dxa" w:w="90"/>
            </w:tcMar>
          </w:tcPr>
          <w:p>
            <w:pPr>
              <w:spacing w:after="0"/>
              <w:jc w:val="left"/>
            </w:pPr>
            <w:r>
              <w:rPr>
                <w:b/>
                <w:bCs/>
                <w:sz w:val="19"/>
                <w:szCs w:val="19"/>
              </w:rPr>
              <w:t xml:space="preserve">Two markers, 3.5 m apart</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3.50 m</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0.033°</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7.0 mm</w:t>
            </w:r>
          </w:p>
        </w:tc>
      </w:tr>
    </w:tbl>
    <w:p>
      <w:pPr>
        <w:spacing w:after="200" w:before="60"/>
      </w:pPr>
      <w:r>
        <w:rPr>
          <w:i/>
          <w:iCs/>
          <w:color w:val="555555"/>
          <w:sz w:val="18"/>
          <w:szCs w:val="18"/>
        </w:rPr>
        <w:t xml:space="preserve">Table 5 — Orientation conditioning. Assumes σ = 0.3 px corner localization noise and GSD = 6.81 mm at 12 m.</w:t>
      </w:r>
    </w:p>
    <w:p>
      <w:pPr>
        <w:spacing w:after="120" w:line="276"/>
      </w:pPr>
      <w:r>
        <w:rPr>
          <w:sz w:val="21"/>
          <w:szCs w:val="21"/>
        </w:rPr>
        <w:t xml:space="preserve">A single marker at 12 m cannot meet the ±5 cm target. Two markers separated by 3.5 m meet it with a factor of seven in hand. No change of camera, lens, or resolution produces a comparable improvement — halving the GSD by doubling resolution halves both figures, leaving the single-marker case still outside budget.</w:t>
      </w:r>
    </w:p>
    <w:p>
      <w:pPr>
        <w:pBdr>
          <w:left w:val="single" w:color="999999" w:sz="12" w:space="10"/>
        </w:pBdr>
        <w:spacing w:after="140"/>
        <w:ind w:left="340"/>
      </w:pPr>
      <w:r>
        <w:rPr>
          <w:i/>
          <w:iCs/>
          <w:color w:val="444444"/>
          <w:sz w:val="20"/>
          <w:szCs w:val="20"/>
        </w:rPr>
        <w:t xml:space="preserve">This is why Section 7.2 sizes marker spacing for two markers rather than one, and why the software pools corner correspondences rather than averaging poses. Both decisions follow from this table.</w:t>
      </w:r>
    </w:p>
    <w:p>
      <w:pPr>
        <w:pStyle w:val="Heading2"/>
        <w:spacing w:after="120" w:before="240"/>
      </w:pPr>
      <w:r>
        <w:t xml:space="preserve">8.3 Practical implication for mounting</w:t>
      </w:r>
    </w:p>
    <w:p>
      <w:pPr>
        <w:spacing w:after="120" w:line="276"/>
      </w:pPr>
      <w:r>
        <w:rPr>
          <w:sz w:val="21"/>
          <w:szCs w:val="21"/>
        </w:rPr>
        <w:t xml:space="preserve">The camera does not need to be precisely levelled. It needs to be rigidly mounted, so that its orientation relative to the robot chassis is stable, and it needs to see two or more markers so that the solver can determine that orientation accurately. A mount that is rigid but 3° off vertical is preferable to one that is nominally level but flexes under acceleration.</w:t>
      </w:r>
    </w:p>
    <w:p>
      <w:pPr>
        <w:pStyle w:val="Heading1"/>
        <w:spacing w:after="160" w:before="320"/>
      </w:pPr>
      <w:r>
        <w:t xml:space="preserve">9. Motion blur, shutter, and frame rate</w:t>
      </w:r>
    </w:p>
    <w:p>
      <w:pPr>
        <w:pStyle w:val="Heading2"/>
        <w:spacing w:after="120" w:before="240"/>
      </w:pPr>
      <w:r>
        <w:t xml:space="preserve">9.1 Motion blur</w:t>
      </w:r>
    </w:p>
    <w:p>
      <w:pPr>
        <w:spacing w:after="120" w:line="276"/>
      </w:pPr>
      <w:r>
        <w:rPr>
          <w:sz w:val="21"/>
          <w:szCs w:val="21"/>
        </w:rPr>
        <w:t xml:space="preserve">During an exposure of duration t at speed v, the image smears by:</w:t>
      </w:r>
    </w:p>
    <w:p>
      <w:pPr>
        <w:spacing w:after="140" w:before="120"/>
        <w:jc w:val="center"/>
      </w:pPr>
      <w:r>
        <w:rPr>
          <w:rFonts w:ascii="Consolas" w:cs="Consolas" w:eastAsia="Consolas" w:hAnsi="Consolas"/>
          <w:sz w:val="20"/>
          <w:szCs w:val="20"/>
        </w:rPr>
        <w:t xml:space="preserve">blur_px  =  v · t / GSD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444"/>
        <w:gridCol w:w="2347"/>
        <w:gridCol w:w="1986"/>
        <w:gridCol w:w="1986"/>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Speed</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Exposure</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Travel during exposure</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Blur @12 m (GS)</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Acceptable</w:t>
            </w:r>
          </w:p>
        </w:tc>
      </w:tr>
      <w:tr>
        <w:tc>
          <w:tcPr>
            <w:tcW w:type="dxa" w:w="0"/>
            <w:tcMar>
              <w:top w:type="dxa" w:w="60"/>
              <w:left w:type="dxa" w:w="90"/>
              <w:bottom w:type="dxa" w:w="60"/>
              <w:right w:type="dxa" w:w="90"/>
            </w:tcMar>
          </w:tcPr>
          <w:p>
            <w:pPr>
              <w:spacing w:after="0"/>
              <w:jc w:val="left"/>
            </w:pPr>
            <w:r>
              <w:rPr>
                <w:b/>
                <w:bCs/>
                <w:sz w:val="19"/>
                <w:szCs w:val="19"/>
              </w:rPr>
              <w:t xml:space="preserve">1.5 m/s</w:t>
            </w:r>
          </w:p>
        </w:tc>
        <w:tc>
          <w:tcPr>
            <w:tcW w:type="dxa" w:w="0"/>
            <w:tcMar>
              <w:top w:type="dxa" w:w="60"/>
              <w:left w:type="dxa" w:w="90"/>
              <w:bottom w:type="dxa" w:w="60"/>
              <w:right w:type="dxa" w:w="90"/>
            </w:tcMar>
          </w:tcPr>
          <w:p>
            <w:pPr>
              <w:spacing w:after="0"/>
              <w:jc w:val="right"/>
            </w:pPr>
            <w:r>
              <w:rPr>
                <w:b w:val="false"/>
                <w:bCs w:val="false"/>
                <w:sz w:val="19"/>
                <w:szCs w:val="19"/>
              </w:rPr>
              <w:t xml:space="preserve">2 ms</w:t>
            </w:r>
          </w:p>
        </w:tc>
        <w:tc>
          <w:tcPr>
            <w:tcW w:type="dxa" w:w="0"/>
            <w:tcMar>
              <w:top w:type="dxa" w:w="60"/>
              <w:left w:type="dxa" w:w="90"/>
              <w:bottom w:type="dxa" w:w="60"/>
              <w:right w:type="dxa" w:w="90"/>
            </w:tcMar>
          </w:tcPr>
          <w:p>
            <w:pPr>
              <w:spacing w:after="0"/>
              <w:jc w:val="right"/>
            </w:pPr>
            <w:r>
              <w:rPr>
                <w:b w:val="false"/>
                <w:bCs w:val="false"/>
                <w:sz w:val="19"/>
                <w:szCs w:val="19"/>
              </w:rPr>
              <w:t xml:space="preserve">3.0 mm</w:t>
            </w:r>
          </w:p>
        </w:tc>
        <w:tc>
          <w:tcPr>
            <w:tcW w:type="dxa" w:w="0"/>
            <w:tcMar>
              <w:top w:type="dxa" w:w="60"/>
              <w:left w:type="dxa" w:w="90"/>
              <w:bottom w:type="dxa" w:w="60"/>
              <w:right w:type="dxa" w:w="90"/>
            </w:tcMar>
          </w:tcPr>
          <w:p>
            <w:pPr>
              <w:spacing w:after="0"/>
              <w:jc w:val="right"/>
            </w:pPr>
            <w:r>
              <w:rPr>
                <w:b w:val="false"/>
                <w:bCs w:val="false"/>
                <w:sz w:val="19"/>
                <w:szCs w:val="19"/>
              </w:rPr>
              <w:t xml:space="preserve">0.44 px</w:t>
            </w:r>
          </w:p>
        </w:tc>
        <w:tc>
          <w:tcPr>
            <w:tcW w:type="dxa" w:w="0"/>
            <w:tcMar>
              <w:top w:type="dxa" w:w="60"/>
              <w:left w:type="dxa" w:w="90"/>
              <w:bottom w:type="dxa" w:w="60"/>
              <w:right w:type="dxa" w:w="90"/>
            </w:tcMar>
          </w:tcPr>
          <w:p>
            <w:pPr>
              <w:spacing w:after="0"/>
              <w:jc w:val="right"/>
            </w:pPr>
            <w:r>
              <w:rPr>
                <w:b w:val="false"/>
                <w:bCs w:val="false"/>
                <w:sz w:val="19"/>
                <w:szCs w:val="19"/>
              </w:rPr>
              <w:t xml:space="preserve">Yes</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1.5 m/s</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5 ms</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7.5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1.10 px</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Yes</w:t>
            </w:r>
          </w:p>
        </w:tc>
      </w:tr>
      <w:tr>
        <w:tc>
          <w:tcPr>
            <w:tcW w:type="dxa" w:w="0"/>
            <w:tcMar>
              <w:top w:type="dxa" w:w="60"/>
              <w:left w:type="dxa" w:w="90"/>
              <w:bottom w:type="dxa" w:w="60"/>
              <w:right w:type="dxa" w:w="90"/>
            </w:tcMar>
          </w:tcPr>
          <w:p>
            <w:pPr>
              <w:spacing w:after="0"/>
              <w:jc w:val="left"/>
            </w:pPr>
            <w:r>
              <w:rPr>
                <w:b/>
                <w:bCs/>
                <w:sz w:val="19"/>
                <w:szCs w:val="19"/>
              </w:rPr>
              <w:t xml:space="preserve">1.5 m/s</w:t>
            </w:r>
          </w:p>
        </w:tc>
        <w:tc>
          <w:tcPr>
            <w:tcW w:type="dxa" w:w="0"/>
            <w:tcMar>
              <w:top w:type="dxa" w:w="60"/>
              <w:left w:type="dxa" w:w="90"/>
              <w:bottom w:type="dxa" w:w="60"/>
              <w:right w:type="dxa" w:w="90"/>
            </w:tcMar>
          </w:tcPr>
          <w:p>
            <w:pPr>
              <w:spacing w:after="0"/>
              <w:jc w:val="right"/>
            </w:pPr>
            <w:r>
              <w:rPr>
                <w:b w:val="false"/>
                <w:bCs w:val="false"/>
                <w:sz w:val="19"/>
                <w:szCs w:val="19"/>
              </w:rPr>
              <w:t xml:space="preserve">20 ms</w:t>
            </w:r>
          </w:p>
        </w:tc>
        <w:tc>
          <w:tcPr>
            <w:tcW w:type="dxa" w:w="0"/>
            <w:tcMar>
              <w:top w:type="dxa" w:w="60"/>
              <w:left w:type="dxa" w:w="90"/>
              <w:bottom w:type="dxa" w:w="60"/>
              <w:right w:type="dxa" w:w="90"/>
            </w:tcMar>
          </w:tcPr>
          <w:p>
            <w:pPr>
              <w:spacing w:after="0"/>
              <w:jc w:val="right"/>
            </w:pPr>
            <w:r>
              <w:rPr>
                <w:b w:val="false"/>
                <w:bCs w:val="false"/>
                <w:sz w:val="19"/>
                <w:szCs w:val="19"/>
              </w:rPr>
              <w:t xml:space="preserve">30.0 mm</w:t>
            </w:r>
          </w:p>
        </w:tc>
        <w:tc>
          <w:tcPr>
            <w:tcW w:type="dxa" w:w="0"/>
            <w:tcMar>
              <w:top w:type="dxa" w:w="60"/>
              <w:left w:type="dxa" w:w="90"/>
              <w:bottom w:type="dxa" w:w="60"/>
              <w:right w:type="dxa" w:w="90"/>
            </w:tcMar>
          </w:tcPr>
          <w:p>
            <w:pPr>
              <w:spacing w:after="0"/>
              <w:jc w:val="right"/>
            </w:pPr>
            <w:r>
              <w:rPr>
                <w:b w:val="false"/>
                <w:bCs w:val="false"/>
                <w:sz w:val="19"/>
                <w:szCs w:val="19"/>
              </w:rPr>
              <w:t xml:space="preserve">4.41 px</w:t>
            </w:r>
          </w:p>
        </w:tc>
        <w:tc>
          <w:tcPr>
            <w:tcW w:type="dxa" w:w="0"/>
            <w:tcMar>
              <w:top w:type="dxa" w:w="60"/>
              <w:left w:type="dxa" w:w="90"/>
              <w:bottom w:type="dxa" w:w="60"/>
              <w:right w:type="dxa" w:w="90"/>
            </w:tcMar>
          </w:tcPr>
          <w:p>
            <w:pPr>
              <w:spacing w:after="0"/>
              <w:jc w:val="right"/>
            </w:pPr>
            <w:r>
              <w:rPr>
                <w:b w:val="false"/>
                <w:bCs w:val="false"/>
                <w:sz w:val="19"/>
                <w:szCs w:val="19"/>
              </w:rPr>
              <w:t xml:space="preserve">No</w:t>
            </w:r>
          </w:p>
        </w:tc>
      </w:tr>
    </w:tbl>
    <w:p>
      <w:pPr>
        <w:spacing w:after="200" w:before="60"/>
      </w:pPr>
      <w:r>
        <w:rPr>
          <w:i/>
          <w:iCs/>
          <w:color w:val="555555"/>
          <w:sz w:val="18"/>
          <w:szCs w:val="18"/>
        </w:rPr>
        <w:t xml:space="preserve">Table 6 — Motion blur at 12 m for the global-shutter configuration.</w:t>
      </w:r>
    </w:p>
    <w:p>
      <w:pPr>
        <w:spacing w:after="120" w:line="276"/>
      </w:pPr>
      <w:r>
        <w:rPr>
          <w:sz w:val="21"/>
          <w:szCs w:val="21"/>
        </w:rPr>
        <w:t xml:space="preserve">Blur below roughly 1 pixel is negligible; beyond 2–3 pixels, corner localization degrades and the effective σ in Section 8 grows. Exposure must therefore be held at or below about 5 ms, which requires either adequate ambient illumination or increased sensor gain. Gain raises noise, which also degrades corner precision, so illumination is the preferable lever where it can be controlled.</w:t>
      </w:r>
    </w:p>
    <w:p>
      <w:pPr>
        <w:pStyle w:val="Heading2"/>
        <w:spacing w:after="120" w:before="240"/>
      </w:pPr>
      <w:r>
        <w:t xml:space="preserve">9.2 Rolling versus global shutter</w:t>
      </w:r>
    </w:p>
    <w:p>
      <w:pPr>
        <w:spacing w:after="120" w:line="276"/>
      </w:pPr>
      <w:r>
        <w:rPr>
          <w:sz w:val="21"/>
          <w:szCs w:val="21"/>
        </w:rPr>
        <w:t xml:space="preserve">A rolling-shutter sensor exposes rows sequentially over a readout interval. During that interval the robot continues to move, so the top and bottom of the frame correspond to different camera positions. The frame is not a single coherent projection, which violates the assumption underlying solvePnP.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708"/>
        <w:gridCol w:w="3971"/>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Speed</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Readout time</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Displacement across frame</w:t>
            </w:r>
          </w:p>
        </w:tc>
      </w:tr>
      <w:tr>
        <w:tc>
          <w:tcPr>
            <w:tcW w:type="dxa" w:w="0"/>
            <w:tcMar>
              <w:top w:type="dxa" w:w="60"/>
              <w:left w:type="dxa" w:w="90"/>
              <w:bottom w:type="dxa" w:w="60"/>
              <w:right w:type="dxa" w:w="90"/>
            </w:tcMar>
          </w:tcPr>
          <w:p>
            <w:pPr>
              <w:spacing w:after="0"/>
              <w:jc w:val="left"/>
            </w:pPr>
            <w:r>
              <w:rPr>
                <w:b/>
                <w:bCs/>
                <w:sz w:val="19"/>
                <w:szCs w:val="19"/>
              </w:rPr>
              <w:t xml:space="preserve">0.5 m/s</w:t>
            </w:r>
          </w:p>
        </w:tc>
        <w:tc>
          <w:tcPr>
            <w:tcW w:type="dxa" w:w="0"/>
            <w:tcMar>
              <w:top w:type="dxa" w:w="60"/>
              <w:left w:type="dxa" w:w="90"/>
              <w:bottom w:type="dxa" w:w="60"/>
              <w:right w:type="dxa" w:w="90"/>
            </w:tcMar>
          </w:tcPr>
          <w:p>
            <w:pPr>
              <w:spacing w:after="0"/>
              <w:jc w:val="right"/>
            </w:pPr>
            <w:r>
              <w:rPr>
                <w:b w:val="false"/>
                <w:bCs w:val="false"/>
                <w:sz w:val="19"/>
                <w:szCs w:val="19"/>
              </w:rPr>
              <w:t xml:space="preserve">20 ms</w:t>
            </w:r>
          </w:p>
        </w:tc>
        <w:tc>
          <w:tcPr>
            <w:tcW w:type="dxa" w:w="0"/>
            <w:tcMar>
              <w:top w:type="dxa" w:w="60"/>
              <w:left w:type="dxa" w:w="90"/>
              <w:bottom w:type="dxa" w:w="60"/>
              <w:right w:type="dxa" w:w="90"/>
            </w:tcMar>
          </w:tcPr>
          <w:p>
            <w:pPr>
              <w:spacing w:after="0"/>
              <w:jc w:val="right"/>
            </w:pPr>
            <w:r>
              <w:rPr>
                <w:b w:val="false"/>
                <w:bCs w:val="false"/>
                <w:sz w:val="19"/>
                <w:szCs w:val="19"/>
              </w:rPr>
              <w:t xml:space="preserve">10 mm</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1.5 m/s</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20 ms</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30 mm</w:t>
            </w:r>
          </w:p>
        </w:tc>
      </w:tr>
      <w:tr>
        <w:tc>
          <w:tcPr>
            <w:tcW w:type="dxa" w:w="0"/>
            <w:tcMar>
              <w:top w:type="dxa" w:w="60"/>
              <w:left w:type="dxa" w:w="90"/>
              <w:bottom w:type="dxa" w:w="60"/>
              <w:right w:type="dxa" w:w="90"/>
            </w:tcMar>
          </w:tcPr>
          <w:p>
            <w:pPr>
              <w:spacing w:after="0"/>
              <w:jc w:val="left"/>
            </w:pPr>
            <w:r>
              <w:rPr>
                <w:b/>
                <w:bCs/>
                <w:sz w:val="19"/>
                <w:szCs w:val="19"/>
              </w:rPr>
              <w:t xml:space="preserve">1.5 m/s</w:t>
            </w:r>
          </w:p>
        </w:tc>
        <w:tc>
          <w:tcPr>
            <w:tcW w:type="dxa" w:w="0"/>
            <w:tcMar>
              <w:top w:type="dxa" w:w="60"/>
              <w:left w:type="dxa" w:w="90"/>
              <w:bottom w:type="dxa" w:w="60"/>
              <w:right w:type="dxa" w:w="90"/>
            </w:tcMar>
          </w:tcPr>
          <w:p>
            <w:pPr>
              <w:spacing w:after="0"/>
              <w:jc w:val="right"/>
            </w:pPr>
            <w:r>
              <w:rPr>
                <w:b w:val="false"/>
                <w:bCs w:val="false"/>
                <w:sz w:val="19"/>
                <w:szCs w:val="19"/>
              </w:rPr>
              <w:t xml:space="preserve">30 ms</w:t>
            </w:r>
          </w:p>
        </w:tc>
        <w:tc>
          <w:tcPr>
            <w:tcW w:type="dxa" w:w="0"/>
            <w:tcMar>
              <w:top w:type="dxa" w:w="60"/>
              <w:left w:type="dxa" w:w="90"/>
              <w:bottom w:type="dxa" w:w="60"/>
              <w:right w:type="dxa" w:w="90"/>
            </w:tcMar>
          </w:tcPr>
          <w:p>
            <w:pPr>
              <w:spacing w:after="0"/>
              <w:jc w:val="right"/>
            </w:pPr>
            <w:r>
              <w:rPr>
                <w:b w:val="false"/>
                <w:bCs w:val="false"/>
                <w:sz w:val="19"/>
                <w:szCs w:val="19"/>
              </w:rPr>
              <w:t xml:space="preserve">45 mm</w:t>
            </w:r>
          </w:p>
        </w:tc>
      </w:tr>
    </w:tbl>
    <w:p>
      <w:pPr>
        <w:spacing w:after="200" w:before="60"/>
      </w:pPr>
      <w:r>
        <w:rPr>
          <w:i/>
          <w:iCs/>
          <w:color w:val="555555"/>
          <w:sz w:val="18"/>
          <w:szCs w:val="18"/>
        </w:rPr>
        <w:t xml:space="preserve">Table 7 — Rolling-shutter skew. Displacement is the position difference between first and last row exposure.</w:t>
      </w:r>
    </w:p>
    <w:p>
      <w:pPr>
        <w:spacing w:after="120" w:line="276"/>
      </w:pPr>
      <w:r>
        <w:rPr>
          <w:sz w:val="21"/>
          <w:szCs w:val="21"/>
        </w:rPr>
        <w:t xml:space="preserve">At 1.5 m/s, a 30 mm skew across the frame introduces a systematic pose error on the order of 15 mm — comparable to the entire remaining error budget. This is the decisive argument for a global-shutter sensor in production, and it outweighs that sensor’s lower resolution.</w:t>
      </w:r>
    </w:p>
    <w:p>
      <w:pPr>
        <w:spacing w:after="120" w:line="276"/>
      </w:pPr>
      <w:r>
        <w:rPr>
          <w:sz w:val="21"/>
          <w:szCs w:val="21"/>
        </w:rPr>
        <w:t xml:space="preserve">For the prototype, and for applications below roughly 0.5 m/s, a rolling-shutter module is acceptable. Its skew can also be partially compensated if velocity is known from odometry, though that reintroduces a dependency the system is meant to eliminate.</w:t>
      </w:r>
    </w:p>
    <w:p>
      <w:pPr>
        <w:pStyle w:val="Heading2"/>
        <w:spacing w:after="120" w:before="240"/>
      </w:pPr>
      <w:r>
        <w:t xml:space="preserve">9.3 Achievable frame rate</w:t>
      </w:r>
    </w:p>
    <w:p>
      <w:pPr>
        <w:spacing w:after="120" w:line="276"/>
      </w:pPr>
      <w:r>
        <w:rPr>
          <w:sz w:val="21"/>
          <w:szCs w:val="21"/>
        </w:rPr>
        <w:t xml:space="preserve">ArUco detection cost is dominated by adaptive thresholding and contour extraction, both roughly linear in pixel count. On a Raspberry Pi 5, detection on a 1456×1088 global-shutter frame runs comfortably above 30 FPS; full-resolution 4608×2592 frames from Camera Module 3 fall to single-digit frame rates unless downscaled.</w:t>
      </w:r>
    </w:p>
    <w:p>
      <w:pPr>
        <w:spacing w:after="120" w:line="276"/>
      </w:pPr>
      <w:r>
        <w:rPr>
          <w:sz w:val="21"/>
          <w:szCs w:val="21"/>
        </w:rPr>
        <w:t xml:space="preserve">This is a further argument for the global-shutter sensor: its lower resolution, a liability for marker size, is an asset for throughput. At 30 FPS and 1.5 m/s, position updates arrive every 5 cm of travel, which is well matched to the accuracy target.</w:t>
      </w:r>
    </w:p>
    <w:p>
      <w:pPr>
        <w:spacing w:after="120" w:line="276"/>
      </w:pPr>
      <w:r>
        <w:rPr>
          <w:sz w:val="21"/>
          <w:szCs w:val="21"/>
        </w:rPr>
        <w:t xml:space="preserve">OpenCV alone is sufficient. No neural network, GPU acceleration, or specialised library is required. The pose solve itself is negligible against detection cost.</w:t>
      </w:r>
    </w:p>
    <w:p>
      <w:pPr>
        <w:pStyle w:val="Heading1"/>
        <w:spacing w:after="160" w:before="320"/>
      </w:pPr>
      <w:r>
        <w:t xml:space="preserve">10. Camera calibration</w:t>
      </w:r>
    </w:p>
    <w:p>
      <w:pPr>
        <w:spacing w:after="120" w:line="276"/>
      </w:pPr>
      <w:r>
        <w:rPr>
          <w:sz w:val="21"/>
          <w:szCs w:val="21"/>
        </w:rPr>
        <w:t xml:space="preserve">Calibration determines the intrinsic matrix K and the lens distortion coefficients. Both are required: distortion displaces detected corners by several pixels toward the frame edges, which at 12 m translates directly into centimetres of position error through the GSD. Calibration is not optional for this application.</w:t>
      </w:r>
    </w:p>
    <w:p>
      <w:pPr>
        <w:pStyle w:val="Heading2"/>
        <w:spacing w:after="120" w:before="240"/>
      </w:pPr>
      <w:r>
        <w:t xml:space="preserve">10.1 Laboratory calibration</w:t>
      </w:r>
    </w:p>
    <w:p>
      <w:pPr>
        <w:spacing w:after="120" w:line="276"/>
      </w:pPr>
      <w:r>
        <w:rPr>
          <w:sz w:val="21"/>
          <w:szCs w:val="21"/>
        </w:rPr>
        <w:t xml:space="preserve">The standard procedure captures 15–25 views of a planar chessboard or ChArUco board at varied angles, distances and image positions, then solves for K and the distortion coefficients by minimising reprojection error. Angular variety matters more than the number of views: focal length is poorly observable from fronto-parallel views alone, so the board must be tilted substantially.</w:t>
      </w:r>
    </w:p>
    <w:p>
      <w:pPr>
        <w:spacing w:after="120" w:line="276"/>
      </w:pPr>
      <w:r>
        <w:rPr>
          <w:sz w:val="21"/>
          <w:szCs w:val="21"/>
        </w:rPr>
        <w:t xml:space="preserve">Acceptance criterion is an RMS reprojection error below roughly 0.5 pixels. Above 1.0 pixel, the calibration should be recaptured rather than used.</w:t>
      </w:r>
    </w:p>
    <w:p>
      <w:pPr>
        <w:pStyle w:val="Heading2"/>
        <w:spacing w:after="120" w:before="240"/>
      </w:pPr>
      <w:r>
        <w:t xml:space="preserve">10.2 Calibration in an installed industrial setting</w:t>
      </w:r>
    </w:p>
    <w:p>
      <w:pPr>
        <w:spacing w:after="120" w:line="276"/>
      </w:pPr>
      <w:r>
        <w:rPr>
          <w:sz w:val="21"/>
          <w:szCs w:val="21"/>
        </w:rPr>
        <w:t xml:space="preserve">The practical objection to chessboard calibration is that a 12 m ceiling offers no convenient place to hold a calibration target, and shutting down a working hall to calibrate a robot is unattractive. Three approaches address this, in increasing order of elegance.</w:t>
      </w:r>
    </w:p>
    <w:p>
      <w:pPr>
        <w:spacing w:after="120" w:line="276"/>
      </w:pPr>
      <w:r>
        <w:rPr>
          <w:sz w:val="21"/>
          <w:szCs w:val="21"/>
        </w:rPr>
        <w:t xml:space="preserve">First, and most practical: calibrate before deployment. Intrinsics are a property of the camera and lens assembly, not of the installation. A fixed-focus lens with a locked focus ring, calibrated on the bench and mechanically secured, retains valid intrinsics indefinitely. This is the recommended production approach and it removes the problem entirely. It also argues against autofocus modules for production use, despite the brief listing autofocus as desirable — a focus mechanism that moves changes the intrinsics, and a fixed lens focused at the hyperfocal distance is sharp across the whole working range in any case.</w:t>
      </w:r>
    </w:p>
    <w:p>
      <w:pPr>
        <w:spacing w:after="120" w:line="276"/>
      </w:pPr>
      <w:r>
        <w:rPr>
          <w:sz w:val="21"/>
          <w:szCs w:val="21"/>
        </w:rPr>
        <w:t xml:space="preserve">Second, for calibration checks or recalibration in situ: mount a ChArUco board on a mast on the robot itself, at a height where the camera can see it, and drive a short commissioning routine. The board moves with the robot but its angle relative to the camera can be varied mechanically. This is a service procedure rather than a routine one.</w:t>
      </w:r>
    </w:p>
    <w:p>
      <w:pPr>
        <w:spacing w:after="120" w:line="276"/>
      </w:pPr>
      <w:r>
        <w:rPr>
          <w:sz w:val="21"/>
          <w:szCs w:val="21"/>
        </w:rPr>
        <w:t xml:space="preserve">Third, and most elegant: the installed ceiling is itself a calibration target. A surveyed grid of ArUco markers at known world positions is geometrically equivalent to a very large ChArUco board. Driving the robot through the hall while logging detections produces exactly the correspondences that calibration requires, and the varied viewing angles that a fixed board struggles to provide arise naturally from the robot’s motion across a wide field. The intrinsics can then be refined by bundle adjustment over the logged data.</w:t>
      </w:r>
    </w:p>
    <w:p>
      <w:pPr>
        <w:pBdr>
          <w:left w:val="single" w:color="999999" w:sz="12" w:space="10"/>
        </w:pBdr>
        <w:spacing w:after="140"/>
        <w:ind w:left="340"/>
      </w:pPr>
      <w:r>
        <w:rPr>
          <w:i/>
          <w:iCs/>
          <w:color w:val="444444"/>
          <w:sz w:val="20"/>
          <w:szCs w:val="20"/>
        </w:rPr>
        <w:t xml:space="preserve">The in-situ approach has one caveat worth stating: markers at 12 m are small in the image and nearly fronto-parallel, which weakens focal-length observability — the same limitation that makes untilted chessboard views inadequate. In practice this argues for using it to refine and validate a bench calibration rather than to derive one from scratch.</w:t>
      </w:r>
    </w:p>
    <w:p>
      <w:pPr>
        <w:spacing w:after="120" w:line="276"/>
      </w:pPr>
      <w:r>
        <w:rPr>
          <w:sz w:val="21"/>
          <w:szCs w:val="21"/>
        </w:rPr>
        <w:t xml:space="preserve">A fourth use of the same data is continuous validation rather than calibration. Mean reprojection error is computed every frame in normal operation. A gradual rise indicates drifting intrinsics, a knocked mount, or displaced markers, and can be surfaced as a maintenance alert long before position accuracy degrades noticeably. This is close to free and is recommended regardless of which calibration approach is adopted.</w:t>
      </w:r>
    </w:p>
    <w:p>
      <w:pPr>
        <w:pStyle w:val="Heading1"/>
        <w:spacing w:after="160" w:before="320"/>
      </w:pPr>
      <w:r>
        <w:t xml:space="preserve">11. Error budget</w:t>
      </w:r>
    </w:p>
    <w:p>
      <w:pPr>
        <w:spacing w:after="120" w:line="276"/>
      </w:pPr>
      <w:r>
        <w:rPr>
          <w:sz w:val="21"/>
          <w:szCs w:val="21"/>
        </w:rPr>
        <w:t xml:space="preserve">The table below aggregates all identified error sources for the recommended configuration: global-shutter camera with 6 mm lens, 30 cm ArUco 4×4 markers at 3.5 m spacing, 12 m ceiling, 1.5 m/s, four markers typically visible. Independent terms are combined in quadrature.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805"/>
        <w:gridCol w:w="4152"/>
      </w:tblGrid>
      <w:tr>
        <w:trPr>
          <w:tblHeader/>
        </w:trPr>
        <w:tc>
          <w:tcPr>
            <w:tcW w:type="dxa" w:w="0"/>
            <w:shd w:fill="E8E8E8" w:color="auto" w:val="clear"/>
            <w:tcMar>
              <w:top w:type="dxa" w:w="60"/>
              <w:left w:type="dxa" w:w="90"/>
              <w:bottom w:type="dxa" w:w="60"/>
              <w:right w:type="dxa" w:w="90"/>
            </w:tcMar>
          </w:tcPr>
          <w:p>
            <w:pPr>
              <w:spacing w:after="0"/>
              <w:jc w:val="left"/>
            </w:pPr>
            <w:r>
              <w:rPr>
                <w:b/>
                <w:bCs/>
                <w:sz w:val="19"/>
                <w:szCs w:val="19"/>
              </w:rPr>
              <w:t xml:space="preserve">Error source</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Magnitude</w:t>
            </w:r>
          </w:p>
        </w:tc>
        <w:tc>
          <w:tcPr>
            <w:tcW w:type="dxa" w:w="0"/>
            <w:shd w:fill="E8E8E8" w:color="auto" w:val="clear"/>
            <w:tcMar>
              <w:top w:type="dxa" w:w="60"/>
              <w:left w:type="dxa" w:w="90"/>
              <w:bottom w:type="dxa" w:w="60"/>
              <w:right w:type="dxa" w:w="90"/>
            </w:tcMar>
          </w:tcPr>
          <w:p>
            <w:pPr>
              <w:spacing w:after="0"/>
              <w:jc w:val="left"/>
            </w:pPr>
            <w:r>
              <w:rPr>
                <w:b/>
                <w:bCs/>
                <w:sz w:val="19"/>
                <w:szCs w:val="19"/>
              </w:rPr>
              <w:t xml:space="preserve">Basis</w:t>
            </w:r>
          </w:p>
        </w:tc>
      </w:tr>
      <w:tr>
        <w:tc>
          <w:tcPr>
            <w:tcW w:type="dxa" w:w="0"/>
            <w:tcMar>
              <w:top w:type="dxa" w:w="60"/>
              <w:left w:type="dxa" w:w="90"/>
              <w:bottom w:type="dxa" w:w="60"/>
              <w:right w:type="dxa" w:w="90"/>
            </w:tcMar>
          </w:tcPr>
          <w:p>
            <w:pPr>
              <w:spacing w:after="0"/>
              <w:jc w:val="left"/>
            </w:pPr>
            <w:r>
              <w:rPr>
                <w:b/>
                <w:bCs/>
                <w:sz w:val="19"/>
                <w:szCs w:val="19"/>
              </w:rPr>
              <w:t xml:space="preserve">Corner localization noise</w:t>
            </w:r>
          </w:p>
        </w:tc>
        <w:tc>
          <w:tcPr>
            <w:tcW w:type="dxa" w:w="0"/>
            <w:tcMar>
              <w:top w:type="dxa" w:w="60"/>
              <w:left w:type="dxa" w:w="90"/>
              <w:bottom w:type="dxa" w:w="60"/>
              <w:right w:type="dxa" w:w="90"/>
            </w:tcMar>
          </w:tcPr>
          <w:p>
            <w:pPr>
              <w:spacing w:after="0"/>
              <w:jc w:val="right"/>
            </w:pPr>
            <w:r>
              <w:rPr>
                <w:b w:val="false"/>
                <w:bCs w:val="false"/>
                <w:sz w:val="19"/>
                <w:szCs w:val="19"/>
              </w:rPr>
              <w:t xml:space="preserve">0.5 mm</w:t>
            </w:r>
          </w:p>
        </w:tc>
        <w:tc>
          <w:tcPr>
            <w:tcW w:type="dxa" w:w="0"/>
            <w:tcMar>
              <w:top w:type="dxa" w:w="60"/>
              <w:left w:type="dxa" w:w="90"/>
              <w:bottom w:type="dxa" w:w="60"/>
              <w:right w:type="dxa" w:w="90"/>
            </w:tcMar>
          </w:tcPr>
          <w:p>
            <w:pPr>
              <w:spacing w:after="0"/>
              <w:jc w:val="right"/>
            </w:pPr>
            <w:r>
              <w:rPr>
                <w:b w:val="false"/>
                <w:bCs w:val="false"/>
                <w:sz w:val="19"/>
                <w:szCs w:val="19"/>
              </w:rPr>
              <w:t xml:space="preserve">σ = 0.3 px over 16 corners, × GSD</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Orientation conditioning</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7.0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Section 8, baseline 3.5 m</w:t>
            </w:r>
          </w:p>
        </w:tc>
      </w:tr>
      <w:tr>
        <w:tc>
          <w:tcPr>
            <w:tcW w:type="dxa" w:w="0"/>
            <w:tcMar>
              <w:top w:type="dxa" w:w="60"/>
              <w:left w:type="dxa" w:w="90"/>
              <w:bottom w:type="dxa" w:w="60"/>
              <w:right w:type="dxa" w:w="90"/>
            </w:tcMar>
          </w:tcPr>
          <w:p>
            <w:pPr>
              <w:spacing w:after="0"/>
              <w:jc w:val="left"/>
            </w:pPr>
            <w:r>
              <w:rPr>
                <w:b/>
                <w:bCs/>
                <w:sz w:val="19"/>
                <w:szCs w:val="19"/>
              </w:rPr>
              <w:t xml:space="preserve">Calibration residual</w:t>
            </w:r>
          </w:p>
        </w:tc>
        <w:tc>
          <w:tcPr>
            <w:tcW w:type="dxa" w:w="0"/>
            <w:tcMar>
              <w:top w:type="dxa" w:w="60"/>
              <w:left w:type="dxa" w:w="90"/>
              <w:bottom w:type="dxa" w:w="60"/>
              <w:right w:type="dxa" w:w="90"/>
            </w:tcMar>
          </w:tcPr>
          <w:p>
            <w:pPr>
              <w:spacing w:after="0"/>
              <w:jc w:val="right"/>
            </w:pPr>
            <w:r>
              <w:rPr>
                <w:b w:val="false"/>
                <w:bCs w:val="false"/>
                <w:sz w:val="19"/>
                <w:szCs w:val="19"/>
              </w:rPr>
              <w:t xml:space="preserve">3.4 mm</w:t>
            </w:r>
          </w:p>
        </w:tc>
        <w:tc>
          <w:tcPr>
            <w:tcW w:type="dxa" w:w="0"/>
            <w:tcMar>
              <w:top w:type="dxa" w:w="60"/>
              <w:left w:type="dxa" w:w="90"/>
              <w:bottom w:type="dxa" w:w="60"/>
              <w:right w:type="dxa" w:w="90"/>
            </w:tcMar>
          </w:tcPr>
          <w:p>
            <w:pPr>
              <w:spacing w:after="0"/>
              <w:jc w:val="right"/>
            </w:pPr>
            <w:r>
              <w:rPr>
                <w:b w:val="false"/>
                <w:bCs w:val="false"/>
                <w:sz w:val="19"/>
                <w:szCs w:val="19"/>
              </w:rPr>
              <w:t xml:space="preserve">0.5 px RMS × GSD</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Marker survey error</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5.0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Laser distance meter, installed</w:t>
            </w:r>
          </w:p>
        </w:tc>
      </w:tr>
      <w:tr>
        <w:tc>
          <w:tcPr>
            <w:tcW w:type="dxa" w:w="0"/>
            <w:tcMar>
              <w:top w:type="dxa" w:w="60"/>
              <w:left w:type="dxa" w:w="90"/>
              <w:bottom w:type="dxa" w:w="60"/>
              <w:right w:type="dxa" w:w="90"/>
            </w:tcMar>
          </w:tcPr>
          <w:p>
            <w:pPr>
              <w:spacing w:after="0"/>
              <w:jc w:val="left"/>
            </w:pPr>
            <w:r>
              <w:rPr>
                <w:b/>
                <w:bCs/>
                <w:sz w:val="19"/>
                <w:szCs w:val="19"/>
              </w:rPr>
              <w:t xml:space="preserve">Ceiling mount flatness</w:t>
            </w:r>
          </w:p>
        </w:tc>
        <w:tc>
          <w:tcPr>
            <w:tcW w:type="dxa" w:w="0"/>
            <w:tcMar>
              <w:top w:type="dxa" w:w="60"/>
              <w:left w:type="dxa" w:w="90"/>
              <w:bottom w:type="dxa" w:w="60"/>
              <w:right w:type="dxa" w:w="90"/>
            </w:tcMar>
          </w:tcPr>
          <w:p>
            <w:pPr>
              <w:spacing w:after="0"/>
              <w:jc w:val="right"/>
            </w:pPr>
            <w:r>
              <w:rPr>
                <w:b w:val="false"/>
                <w:bCs w:val="false"/>
                <w:sz w:val="19"/>
                <w:szCs w:val="19"/>
              </w:rPr>
              <w:t xml:space="preserve">5.0 mm</w:t>
            </w:r>
          </w:p>
        </w:tc>
        <w:tc>
          <w:tcPr>
            <w:tcW w:type="dxa" w:w="0"/>
            <w:tcMar>
              <w:top w:type="dxa" w:w="60"/>
              <w:left w:type="dxa" w:w="90"/>
              <w:bottom w:type="dxa" w:w="60"/>
              <w:right w:type="dxa" w:w="90"/>
            </w:tcMar>
          </w:tcPr>
          <w:p>
            <w:pPr>
              <w:spacing w:after="0"/>
              <w:jc w:val="right"/>
            </w:pPr>
            <w:r>
              <w:rPr>
                <w:b w:val="false"/>
                <w:bCs w:val="false"/>
                <w:sz w:val="19"/>
                <w:szCs w:val="19"/>
              </w:rPr>
              <w:t xml:space="preserve">Marker not perfectly coplanar</w:t>
            </w:r>
          </w:p>
        </w:tc>
      </w:tr>
      <w:tr>
        <w:tc>
          <w:tcPr>
            <w:tcW w:type="dxa" w:w="0"/>
            <w:shd w:fill="F6F6F6" w:color="auto" w:val="clear"/>
            <w:tcMar>
              <w:top w:type="dxa" w:w="60"/>
              <w:left w:type="dxa" w:w="90"/>
              <w:bottom w:type="dxa" w:w="60"/>
              <w:right w:type="dxa" w:w="90"/>
            </w:tcMar>
          </w:tcPr>
          <w:p>
            <w:pPr>
              <w:spacing w:after="0"/>
              <w:jc w:val="left"/>
            </w:pPr>
            <w:r>
              <w:rPr>
                <w:b/>
                <w:bCs/>
                <w:sz w:val="19"/>
                <w:szCs w:val="19"/>
              </w:rPr>
              <w:t xml:space="preserve">Motion blur</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3.0 mm</w:t>
            </w:r>
          </w:p>
        </w:tc>
        <w:tc>
          <w:tcPr>
            <w:tcW w:type="dxa" w:w="0"/>
            <w:shd w:fill="F6F6F6" w:color="auto" w:val="clear"/>
            <w:tcMar>
              <w:top w:type="dxa" w:w="60"/>
              <w:left w:type="dxa" w:w="90"/>
              <w:bottom w:type="dxa" w:w="60"/>
              <w:right w:type="dxa" w:w="90"/>
            </w:tcMar>
          </w:tcPr>
          <w:p>
            <w:pPr>
              <w:spacing w:after="0"/>
              <w:jc w:val="right"/>
            </w:pPr>
            <w:r>
              <w:rPr>
                <w:b w:val="false"/>
                <w:bCs w:val="false"/>
                <w:sz w:val="19"/>
                <w:szCs w:val="19"/>
              </w:rPr>
              <w:t xml:space="preserve">2 ms exposure at 1.5 m/s</w:t>
            </w:r>
          </w:p>
        </w:tc>
      </w:tr>
      <w:tr>
        <w:tc>
          <w:tcPr>
            <w:tcW w:type="dxa" w:w="0"/>
            <w:tcMar>
              <w:top w:type="dxa" w:w="60"/>
              <w:left w:type="dxa" w:w="90"/>
              <w:bottom w:type="dxa" w:w="60"/>
              <w:right w:type="dxa" w:w="90"/>
            </w:tcMar>
          </w:tcPr>
          <w:p>
            <w:pPr>
              <w:spacing w:after="0"/>
              <w:jc w:val="left"/>
            </w:pPr>
            <w:r>
              <w:rPr>
                <w:b/>
                <w:bCs/>
                <w:sz w:val="19"/>
                <w:szCs w:val="19"/>
              </w:rPr>
              <w:t xml:space="preserve">Rolling-shutter skew</w:t>
            </w:r>
          </w:p>
        </w:tc>
        <w:tc>
          <w:tcPr>
            <w:tcW w:type="dxa" w:w="0"/>
            <w:tcMar>
              <w:top w:type="dxa" w:w="60"/>
              <w:left w:type="dxa" w:w="90"/>
              <w:bottom w:type="dxa" w:w="60"/>
              <w:right w:type="dxa" w:w="90"/>
            </w:tcMar>
          </w:tcPr>
          <w:p>
            <w:pPr>
              <w:spacing w:after="0"/>
              <w:jc w:val="right"/>
            </w:pPr>
            <w:r>
              <w:rPr>
                <w:b w:val="false"/>
                <w:bCs w:val="false"/>
                <w:sz w:val="19"/>
                <w:szCs w:val="19"/>
              </w:rPr>
              <w:t xml:space="preserve">0 mm</w:t>
            </w:r>
          </w:p>
        </w:tc>
        <w:tc>
          <w:tcPr>
            <w:tcW w:type="dxa" w:w="0"/>
            <w:tcMar>
              <w:top w:type="dxa" w:w="60"/>
              <w:left w:type="dxa" w:w="90"/>
              <w:bottom w:type="dxa" w:w="60"/>
              <w:right w:type="dxa" w:w="90"/>
            </w:tcMar>
          </w:tcPr>
          <w:p>
            <w:pPr>
              <w:spacing w:after="0"/>
              <w:jc w:val="right"/>
            </w:pPr>
            <w:r>
              <w:rPr>
                <w:b w:val="false"/>
                <w:bCs w:val="false"/>
                <w:sz w:val="19"/>
                <w:szCs w:val="19"/>
              </w:rPr>
              <w:t xml:space="preserve">Eliminated by global shutter</w:t>
            </w:r>
          </w:p>
        </w:tc>
      </w:tr>
      <w:tr>
        <w:tc>
          <w:tcPr>
            <w:tcW w:type="dxa" w:w="0"/>
            <w:shd w:fill="FFF2CC" w:color="auto" w:val="clear"/>
            <w:tcMar>
              <w:top w:type="dxa" w:w="60"/>
              <w:left w:type="dxa" w:w="90"/>
              <w:bottom w:type="dxa" w:w="60"/>
              <w:right w:type="dxa" w:w="90"/>
            </w:tcMar>
          </w:tcPr>
          <w:p>
            <w:pPr>
              <w:spacing w:after="0"/>
              <w:jc w:val="left"/>
            </w:pPr>
            <w:r>
              <w:rPr>
                <w:b/>
                <w:bCs/>
                <w:sz w:val="19"/>
                <w:szCs w:val="19"/>
              </w:rPr>
              <w:t xml:space="preserve">Total (RSS)</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10.9 mm</w:t>
            </w:r>
          </w:p>
        </w:tc>
        <w:tc>
          <w:tcPr>
            <w:tcW w:type="dxa" w:w="0"/>
            <w:shd w:fill="FFF2CC" w:color="auto" w:val="clear"/>
            <w:tcMar>
              <w:top w:type="dxa" w:w="60"/>
              <w:left w:type="dxa" w:w="90"/>
              <w:bottom w:type="dxa" w:w="60"/>
              <w:right w:type="dxa" w:w="90"/>
            </w:tcMar>
          </w:tcPr>
          <w:p>
            <w:pPr>
              <w:spacing w:after="0"/>
              <w:jc w:val="right"/>
            </w:pPr>
            <w:r>
              <w:rPr>
                <w:b w:val="false"/>
                <w:bCs w:val="false"/>
                <w:sz w:val="19"/>
                <w:szCs w:val="19"/>
              </w:rPr>
              <w:t xml:space="preserve">Quadrature sum</w:t>
            </w:r>
          </w:p>
        </w:tc>
      </w:tr>
    </w:tbl>
    <w:p>
      <w:pPr>
        <w:spacing w:after="200" w:before="60"/>
      </w:pPr>
      <w:r>
        <w:rPr>
          <w:i/>
          <w:iCs/>
          <w:color w:val="555555"/>
          <w:sz w:val="18"/>
          <w:szCs w:val="18"/>
        </w:rPr>
        <w:t xml:space="preserve">Table 8 — Error budget, recommended configuration at 12 m. Total is 1σ.</w:t>
      </w:r>
    </w:p>
    <w:p>
      <w:pPr>
        <w:spacing w:after="120" w:line="276"/>
      </w:pPr>
      <w:r>
        <w:rPr>
          <w:sz w:val="21"/>
          <w:szCs w:val="21"/>
        </w:rPr>
        <w:t xml:space="preserve">The predicted 1σ error of approximately 11 mm corresponds to roughly ±22 mm at 95% confidence, comfortably inside the ±5 cm target. Substituting a rolling-shutter sensor at 1.5 m/s adds a 15 mm term and raises the total to approximately 18.6 mm, still within target but with substantially less margin.</w:t>
      </w:r>
    </w:p>
    <w:p>
      <w:pPr>
        <w:spacing w:after="120" w:line="276"/>
      </w:pPr>
      <w:r>
        <w:rPr>
          <w:sz w:val="21"/>
          <w:szCs w:val="21"/>
        </w:rPr>
        <w:t xml:space="preserve">Two observations follow. First, orientation conditioning dominates even in the favourable multi-marker case, confirming that marker spacing is the most consequential installation parameter. Second, marker survey error and ceiling flatness together contribute more than the entire optical chain, which means installation quality deserves as much attention as hardware selection.</w:t>
      </w:r>
    </w:p>
    <w:p>
      <w:pPr>
        <w:pStyle w:val="Heading1"/>
        <w:spacing w:after="160" w:before="320"/>
      </w:pPr>
      <w:r>
        <w:t xml:space="preserve">12. Image processing pipeline</w:t>
      </w:r>
    </w:p>
    <w:p>
      <w:pPr>
        <w:spacing w:after="120" w:line="276"/>
      </w:pPr>
      <w:r>
        <w:rPr>
          <w:sz w:val="21"/>
          <w:szCs w:val="21"/>
        </w:rPr>
        <w:t xml:space="preserve">The processing chain is deliberately conventional. Each stage is standard OpenCV, and the design contributes no novel computer vision.</w:t>
      </w:r>
    </w:p>
    <w:p>
      <w:pPr>
        <w:pStyle w:val="ListParagraph"/>
        <w:numPr>
          <w:ilvl w:val="0"/>
          <w:numId w:val="2"/>
        </w:numPr>
        <w:spacing w:after="80"/>
      </w:pPr>
      <w:r>
        <w:rPr>
          <w:sz w:val="21"/>
          <w:szCs w:val="21"/>
        </w:rPr>
        <w:t xml:space="preserve">Capture. Fixed exposure and gain, focus locked. Auto-exposure is disabled because exposure hunting under varying ceiling illumination changes blur characteristics unpredictably between frames.</w:t>
      </w:r>
    </w:p>
    <w:p>
      <w:pPr>
        <w:pStyle w:val="ListParagraph"/>
        <w:numPr>
          <w:ilvl w:val="0"/>
          <w:numId w:val="2"/>
        </w:numPr>
        <w:spacing w:after="80"/>
      </w:pPr>
      <w:r>
        <w:rPr>
          <w:sz w:val="21"/>
          <w:szCs w:val="21"/>
        </w:rPr>
        <w:t xml:space="preserve">Greyscale conversion. Colour carries no information for monochrome fiducials and triples processing cost.</w:t>
      </w:r>
    </w:p>
    <w:p>
      <w:pPr>
        <w:pStyle w:val="ListParagraph"/>
        <w:numPr>
          <w:ilvl w:val="0"/>
          <w:numId w:val="2"/>
        </w:numPr>
        <w:spacing w:after="80"/>
      </w:pPr>
      <w:r>
        <w:rPr>
          <w:sz w:val="21"/>
          <w:szCs w:val="21"/>
        </w:rPr>
        <w:t xml:space="preserve">Adaptive thresholding. Local rather than global, because industrial ceiling lighting produces strong illumination gradients across a single frame — a skylight at one edge and shadow at the other is normal.</w:t>
      </w:r>
    </w:p>
    <w:p>
      <w:pPr>
        <w:pStyle w:val="ListParagraph"/>
        <w:numPr>
          <w:ilvl w:val="0"/>
          <w:numId w:val="2"/>
        </w:numPr>
        <w:spacing w:after="80"/>
      </w:pPr>
      <w:r>
        <w:rPr>
          <w:sz w:val="21"/>
          <w:szCs w:val="21"/>
        </w:rPr>
        <w:t xml:space="preserve">Contour extraction and quadrilateral filtering. Candidate marker outlines are identified by their four-sided convex geometry.</w:t>
      </w:r>
    </w:p>
    <w:p>
      <w:pPr>
        <w:pStyle w:val="ListParagraph"/>
        <w:numPr>
          <w:ilvl w:val="0"/>
          <w:numId w:val="2"/>
        </w:numPr>
        <w:spacing w:after="80"/>
      </w:pPr>
      <w:r>
        <w:rPr>
          <w:sz w:val="21"/>
          <w:szCs w:val="21"/>
        </w:rPr>
        <w:t xml:space="preserve">Perspective rectification and bit decoding. Each candidate is warped to a canonical square and its module pattern read out and matched against the dictionary.</w:t>
      </w:r>
    </w:p>
    <w:p>
      <w:pPr>
        <w:pStyle w:val="ListParagraph"/>
        <w:numPr>
          <w:ilvl w:val="0"/>
          <w:numId w:val="2"/>
        </w:numPr>
        <w:spacing w:after="80"/>
      </w:pPr>
      <w:r>
        <w:rPr>
          <w:sz w:val="21"/>
          <w:szCs w:val="21"/>
        </w:rPr>
        <w:t xml:space="preserve">Map filtering. Detections whose IDs are absent from the marker map are discarded immediately — the cheapest false-positive rejection available.</w:t>
      </w:r>
    </w:p>
    <w:p>
      <w:pPr>
        <w:pStyle w:val="ListParagraph"/>
        <w:numPr>
          <w:ilvl w:val="0"/>
          <w:numId w:val="2"/>
        </w:numPr>
        <w:spacing w:after="80"/>
      </w:pPr>
      <w:r>
        <w:rPr>
          <w:sz w:val="21"/>
          <w:szCs w:val="21"/>
        </w:rPr>
        <w:t xml:space="preserve">Sub-pixel corner refinement. Corner positions are refined to roughly 0.1–0.3 px, which directly sets the σ term throughout Section 8.</w:t>
      </w:r>
    </w:p>
    <w:p>
      <w:pPr>
        <w:pStyle w:val="ListParagraph"/>
        <w:numPr>
          <w:ilvl w:val="0"/>
          <w:numId w:val="2"/>
        </w:numPr>
        <w:spacing w:after="80"/>
      </w:pPr>
      <w:r>
        <w:rPr>
          <w:sz w:val="21"/>
          <w:szCs w:val="21"/>
        </w:rPr>
        <w:t xml:space="preserve">Undistortion. Corner coordinates are corrected using the calibrated distortion coefficients before the pose solve.</w:t>
      </w:r>
    </w:p>
    <w:p>
      <w:pPr>
        <w:pStyle w:val="ListParagraph"/>
        <w:numPr>
          <w:ilvl w:val="0"/>
          <w:numId w:val="2"/>
        </w:numPr>
        <w:spacing w:after="80"/>
      </w:pPr>
      <w:r>
        <w:rPr>
          <w:sz w:val="21"/>
          <w:szCs w:val="21"/>
        </w:rPr>
        <w:t xml:space="preserve">Pooled pose solve. All corners from all valid markers enter a single solvePnP, with SOLVEPNP_IPPE_SQUARE as a single-marker fallback flagged as low quality.</w:t>
      </w:r>
    </w:p>
    <w:p>
      <w:pPr>
        <w:pStyle w:val="ListParagraph"/>
        <w:numPr>
          <w:ilvl w:val="0"/>
          <w:numId w:val="2"/>
        </w:numPr>
        <w:spacing w:after="80"/>
      </w:pPr>
      <w:r>
        <w:rPr>
          <w:sz w:val="21"/>
          <w:szCs w:val="21"/>
        </w:rPr>
        <w:t xml:space="preserve">Geometric consistency check. Mean reprojection error is evaluated; frames exceeding threshold are rejected and reported rather than published.</w:t>
      </w:r>
    </w:p>
    <w:p>
      <w:pPr>
        <w:pStyle w:val="ListParagraph"/>
        <w:numPr>
          <w:ilvl w:val="0"/>
          <w:numId w:val="2"/>
        </w:numPr>
        <w:spacing w:after="80"/>
      </w:pPr>
      <w:r>
        <w:rPr>
          <w:sz w:val="21"/>
          <w:szCs w:val="21"/>
        </w:rPr>
        <w:t xml:space="preserve">Output. Position, yaw, marker count, reprojection error and an accuracy estimate are published each frame.</w:t>
      </w:r>
    </w:p>
    <w:p>
      <w:pPr>
        <w:spacing w:after="120" w:line="276"/>
      </w:pPr>
      <w:r>
        <w:rPr>
          <w:sz w:val="21"/>
          <w:szCs w:val="21"/>
        </w:rPr>
        <w:t xml:space="preserve">Sub-pixel refinement deserves emphasis. It is a single function call, it is easy to omit, and it is worth roughly a factor of three in σ — which propagates directly through the orientation conditioning term that dominates the budget. Omitting it would move the multi-marker figure in Table 5 from 7 mm to over 20 mm.</w:t>
      </w:r>
    </w:p>
    <w:p>
      <w:pPr>
        <w:pStyle w:val="Heading1"/>
        <w:spacing w:after="160" w:before="320"/>
      </w:pPr>
      <w:r>
        <w:t xml:space="preserve">13. Limitations and next steps</w:t>
      </w:r>
    </w:p>
    <w:p>
      <w:pPr>
        <w:pStyle w:val="Heading2"/>
        <w:spacing w:after="120" w:before="240"/>
      </w:pPr>
      <w:r>
        <w:t xml:space="preserve">13.1 Known limitations</w:t>
      </w:r>
    </w:p>
    <w:p>
      <w:pPr>
        <w:pStyle w:val="ListParagraph"/>
        <w:numPr>
          <w:ilvl w:val="0"/>
          <w:numId w:val="2"/>
        </w:numPr>
        <w:spacing w:after="80"/>
      </w:pPr>
      <w:r>
        <w:rPr>
          <w:sz w:val="21"/>
          <w:szCs w:val="21"/>
        </w:rPr>
        <w:t xml:space="preserve">Non-coplanar ceilings. Ducting, beams and mezzanines break the single-plane assumption. The pose solver handles per-marker heights correctly provided they are surveyed, so this is a survey burden rather than an algorithmic limit. Commercial ceiling-landmark systems are reported to struggle here; a full 6-DoF solve degrades more gracefully.</w:t>
      </w:r>
    </w:p>
    <w:p>
      <w:pPr>
        <w:pStyle w:val="ListParagraph"/>
        <w:numPr>
          <w:ilvl w:val="0"/>
          <w:numId w:val="2"/>
        </w:numPr>
        <w:spacing w:after="80"/>
      </w:pPr>
      <w:r>
        <w:rPr>
          <w:sz w:val="21"/>
          <w:szCs w:val="21"/>
        </w:rPr>
        <w:t xml:space="preserve">Occlusion. Overhead cranes, high racking and suspended fixtures can hide markers. Denser placement is the mitigation, at linear cost.</w:t>
      </w:r>
    </w:p>
    <w:p>
      <w:pPr>
        <w:pStyle w:val="ListParagraph"/>
        <w:numPr>
          <w:ilvl w:val="0"/>
          <w:numId w:val="2"/>
        </w:numPr>
        <w:spacing w:after="80"/>
      </w:pPr>
      <w:r>
        <w:rPr>
          <w:sz w:val="21"/>
          <w:szCs w:val="21"/>
        </w:rPr>
        <w:t xml:space="preserve">Marker soiling. Dust and condensation reduce contrast over time. Laminated markers and a cleaning interval address this; the continuous reprojection-error monitor of Section 10.2 detects it.</w:t>
      </w:r>
    </w:p>
    <w:p>
      <w:pPr>
        <w:pStyle w:val="ListParagraph"/>
        <w:numPr>
          <w:ilvl w:val="0"/>
          <w:numId w:val="2"/>
        </w:numPr>
        <w:spacing w:after="80"/>
      </w:pPr>
      <w:r>
        <w:rPr>
          <w:sz w:val="21"/>
          <w:szCs w:val="21"/>
        </w:rPr>
        <w:t xml:space="preserve">Lighting extremes. Direct skylight glare can saturate a marker; adaptive thresholding handles gradients but not saturation.</w:t>
      </w:r>
    </w:p>
    <w:p>
      <w:pPr>
        <w:pStyle w:val="ListParagraph"/>
        <w:numPr>
          <w:ilvl w:val="0"/>
          <w:numId w:val="2"/>
        </w:numPr>
        <w:spacing w:after="80"/>
      </w:pPr>
      <w:r>
        <w:rPr>
          <w:sz w:val="21"/>
          <w:szCs w:val="21"/>
        </w:rPr>
        <w:t xml:space="preserve">No motion model. The prototype publishes raw per-frame estimates. Frames with no visible markers produce no output.</w:t>
      </w:r>
    </w:p>
    <w:p>
      <w:pPr>
        <w:pStyle w:val="Heading2"/>
        <w:spacing w:after="120" w:before="240"/>
      </w:pPr>
      <w:r>
        <w:t xml:space="preserve">13.2 Next steps</w:t>
      </w:r>
    </w:p>
    <w:p>
      <w:pPr>
        <w:pStyle w:val="ListParagraph"/>
        <w:numPr>
          <w:ilvl w:val="0"/>
          <w:numId w:val="2"/>
        </w:numPr>
        <w:spacing w:after="80"/>
      </w:pPr>
      <w:r>
        <w:rPr>
          <w:sz w:val="21"/>
          <w:szCs w:val="21"/>
        </w:rPr>
        <w:t xml:space="preserve">Fuse with odometry through a Kalman or complementary filter, so that momentary marker loss degrades to dead reckoning rather than to no estimate at all. This is the natural form of the system’s intended role as a correction layer for SLAM or odometry.</w:t>
      </w:r>
    </w:p>
    <w:p>
      <w:pPr>
        <w:pStyle w:val="ListParagraph"/>
        <w:numPr>
          <w:ilvl w:val="0"/>
          <w:numId w:val="2"/>
        </w:numPr>
        <w:spacing w:after="80"/>
      </w:pPr>
      <w:r>
        <w:rPr>
          <w:sz w:val="21"/>
          <w:szCs w:val="21"/>
        </w:rPr>
        <w:t xml:space="preserve">Evaluate infrared retroreflective markers with an on-camera IR illuminator. This decouples detection from ambient lighting entirely and is the approach taken by established commercial ceiling-landmark systems. It recovers the range advantage of plain geometric markers while retaining coded identity, at the cost of active illumination.</w:t>
      </w:r>
    </w:p>
    <w:p>
      <w:pPr>
        <w:pStyle w:val="ListParagraph"/>
        <w:numPr>
          <w:ilvl w:val="0"/>
          <w:numId w:val="2"/>
        </w:numPr>
        <w:spacing w:after="80"/>
      </w:pPr>
      <w:r>
        <w:rPr>
          <w:sz w:val="21"/>
          <w:szCs w:val="21"/>
        </w:rPr>
        <w:t xml:space="preserve">Automate marker survey. Bundle adjustment over a commissioning drive can refine surveyed positions from an approximate initial map, reducing installation labour — the dominant cost identified in Section 7.3.</w:t>
      </w:r>
    </w:p>
    <w:p>
      <w:pPr>
        <w:pStyle w:val="ListParagraph"/>
        <w:numPr>
          <w:ilvl w:val="0"/>
          <w:numId w:val="2"/>
        </w:numPr>
        <w:spacing w:after="80"/>
      </w:pPr>
      <w:r>
        <w:rPr>
          <w:sz w:val="21"/>
          <w:szCs w:val="21"/>
        </w:rPr>
        <w:t xml:space="preserve">Publish over ROS 2 as a PoseWithCovarianceStamped, populating covariance from the per-frame accuracy estimate so downstream filters can weight the measurement correctly.</w:t>
      </w:r>
    </w:p>
    <w:p>
      <w:pPr>
        <w:pStyle w:val="ListParagraph"/>
        <w:numPr>
          <w:ilvl w:val="0"/>
          <w:numId w:val="2"/>
        </w:numPr>
        <w:spacing w:after="80"/>
      </w:pPr>
      <w:r>
        <w:rPr>
          <w:sz w:val="21"/>
          <w:szCs w:val="21"/>
        </w:rPr>
        <w:t xml:space="preserve">Characterise performance under realistic industrial lighting, including sodium and LED high-bay fixtures, whose flicker can interact with short exposures.</w:t>
      </w:r>
    </w:p>
    <w:p>
      <w:pPr>
        <w:pStyle w:val="Heading1"/>
        <w:spacing w:after="160" w:before="320"/>
      </w:pPr>
      <w:r>
        <w:t xml:space="preserve">14. Conclusion</w:t>
      </w:r>
    </w:p>
    <w:p>
      <w:pPr>
        <w:spacing w:after="120" w:line="276"/>
      </w:pPr>
      <w:r>
        <w:rPr>
          <w:sz w:val="21"/>
          <w:szCs w:val="21"/>
        </w:rPr>
        <w:t xml:space="preserve">The concept is sound and the accuracy target is achievable. The analysis identifies marker spacing, not camera specification, as the parameter that determines whether ±5 cm is reachable at 12 m: a single visible marker leaves roughly ±8 cm of unavoidable uncertainty, while two markers separated by several metres reduce that term by more than an order of magnitude.</w:t>
      </w:r>
    </w:p>
    <w:p>
      <w:pPr>
        <w:spacing w:after="120" w:line="276"/>
      </w:pPr>
      <w:r>
        <w:rPr>
          <w:sz w:val="21"/>
          <w:szCs w:val="21"/>
        </w:rPr>
        <w:t xml:space="preserve">The recommended configuration — ArUco 4×4 markers at 30 cm, spaced 3.5 m, viewed by a global-shutter camera with a moderate field of view and a bench-calibrated fixed lens — predicts approximately ±1.1 cm at 1σ, with the largest remaining contributions coming from installation quality rather than from hardware.</w:t>
      </w:r>
    </w:p>
    <w:p>
      <w:pPr>
        <w:spacing w:after="120" w:line="276"/>
      </w:pPr>
      <w:r>
        <w:rPr>
          <w:sz w:val="21"/>
          <w:szCs w:val="21"/>
        </w:rPr>
        <w:t xml:space="preserve">The system scales to an arbitrary hall by extending the marker grid, requires no power or network at the ceiling, and depends on no processing beyond standard OpenCV on a Raspberry Pi.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Star Navigation — Technical Evaluation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A1A1A"/>
      <w:sz w:val="30"/>
      <w:szCs w:val="30"/>
    </w:rPr>
  </w:style>
  <w:style w:type="paragraph" w:styleId="Heading2">
    <w:name w:val="Heading 2"/>
    <w:basedOn w:val="Normal"/>
    <w:next w:val="Normal"/>
    <w:qFormat/>
    <w:pPr>
      <w:spacing w:after="120" w:before="24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2026-08-25T20:09:14.249Z</dcterms:created>
  <dcterms:modified xsi:type="dcterms:W3CDTF">2026-08-25T20:09:14.249Z</dcterms:modified>
</cp:coreProperties>
</file>

<file path=docProps/custom.xml><?xml version="1.0" encoding="utf-8"?>
<Properties xmlns="http://schemas.openxmlformats.org/officeDocument/2006/custom-properties" xmlns:vt="http://schemas.openxmlformats.org/officeDocument/2006/docPropsVTypes"/>
</file>