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Corbrix Global Mobility - Page Development Brief</w:t>
      </w:r>
    </w:p>
    <w:p>
      <w:pPr>
        <w:pStyle w:val="Heading1"/>
      </w:pPr>
      <w:r>
        <w:t>Page Objective</w:t>
      </w:r>
    </w:p>
    <w:p>
      <w:r>
        <w:t>To present global Residence and Citizenship by Investment programs as a premium "Plan B" for high-net-worth clients, integrating seamlessly with Corbrix's real estate brokerage and corporate consulting services.</w:t>
      </w:r>
    </w:p>
    <w:p>
      <w:pPr>
        <w:pStyle w:val="Heading1"/>
      </w:pPr>
      <w:r>
        <w:t>Design Ethos</w:t>
      </w:r>
    </w:p>
    <w:p>
      <w:r>
        <w:t>Minimalist, data-rich but visually sparse, high-end corporate.</w:t>
      </w:r>
    </w:p>
    <w:p>
      <w:pPr>
        <w:pStyle w:val="Heading2"/>
      </w:pPr>
      <w:r>
        <w:t>1. Hero Section (Above the Fold)</w:t>
      </w:r>
    </w:p>
    <w:p>
      <w:r>
        <w:t>Headline: "Your Global Plan B: Seamless Visa &amp; Citizenship Solutions"</w:t>
        <w:br/>
        <w:t>Sub-headline: "Secure your family’s future and unlock global mobility with elite investment programs across 40+ countries."</w:t>
        <w:br/>
        <w:t>Visual: High-quality, slow-pan background video or striking imagery of global hubs.</w:t>
        <w:br/>
        <w:t>Primary CTA Button: "Explore Programs" (smooth-scrolls down to the interactive tool).</w:t>
      </w:r>
    </w:p>
    <w:p>
      <w:pPr>
        <w:pStyle w:val="Heading2"/>
      </w:pPr>
      <w:r>
        <w:t>2. The Core Feature: Interactive Program Explorer</w:t>
      </w:r>
    </w:p>
    <w:p>
      <w:r>
        <w:t>Instead of static tables, the development team should build an interactive data explorer. This allows clients to find exactly what they want (e.g., "European Citizenship under $500k") in seconds.</w:t>
      </w:r>
    </w:p>
    <w:p>
      <w:r>
        <w:t>Interactive Widget Specification (For Developer):</w:t>
      </w:r>
    </w:p>
    <w:p>
      <w:r>
        <w:rPr>
          <w:rFonts w:ascii="Courier New" w:hAnsi="Courier New"/>
        </w:rPr>
        <w:t>{</w:t>
        <w:br/>
        <w:t xml:space="preserve">  "widgetSpec": {</w:t>
        <w:br/>
        <w:t xml:space="preserve">    "id": "corbrix-citizenship-explorer",</w:t>
        <w:br/>
        <w:t xml:space="preserve">    "height": "800px",</w:t>
        <w:br/>
        <w:t xml:space="preserve">    "prompt": "Objective: Create an interactive data explorer dashboard allowing users to filter and sort global citizenship and residence programs.\nData State: Load a JSON dataset of countries including fields: Region, Type (Citizenship, Residence), Minimum Capital, and Key Benefit. Initialize with sample data including: UAE (Residence, AED 1M), USA (Residence, USD 800k), Antigua (Citizenship, USD 230k), Portugal (Residence, EUR 250k), Malta (Citizenship, Exceptional Contribution).\nStrategy: Standard Layout. \nLibraries: D3.js or native DOM for interactive grid.\nInputs:\n- Region Filter (Dropdown)\n- Program Type (Toggle: Citizenship vs Residence)\n- Investment Range (Dropdown)\nBehavior: Render a clean, modern grid of cards. As the user adjusts the filters, the grid dynamically updates to show only matching countries. Clicking a card flips or expands it to reveal the 'Minimum Capital' and 'Key Benefit' text clearly."</w:t>
        <w:br/>
        <w:t xml:space="preserve">  }</w:t>
        <w:br/>
        <w:t>}</w:t>
      </w:r>
    </w:p>
    <w:p>
      <w:pPr>
        <w:pStyle w:val="Heading2"/>
      </w:pPr>
      <w:r>
        <w:t>3. The Value Proposition</w:t>
      </w:r>
    </w:p>
    <w:p>
      <w:r>
        <w:t>• Global Mobility: Visa-free access to up to 150+ destinations, including Europe's Schengen Area, the UK, and Hong Kong.</w:t>
        <w:br/>
        <w:t>• Real Estate Integration: Direct alignment with property acquisition requirements.</w:t>
        <w:br/>
        <w:t>• Wealth Preservation: Access to favorable tax jurisdictions and elite banking infrastructures.</w:t>
        <w:br/>
        <w:t>• Corporate Expansion: Options for company formation and commercial scaling.</w:t>
      </w:r>
    </w:p>
    <w:p>
      <w:pPr>
        <w:pStyle w:val="Heading2"/>
      </w:pPr>
      <w:r>
        <w:t>4. The Fulfillment Process</w:t>
      </w:r>
    </w:p>
    <w:p>
      <w:r>
        <w:t>Step 1: Strategic Consultation - Analyzing the client's capital, family structure, and mobility goals to select the optimal jurisdiction.</w:t>
        <w:br/>
        <w:t>Step 2: Investment Execution - Facilitating the underlying requirement—whether purchasing approved luxury real estate, establishing a local company, or transferring capital funds.</w:t>
        <w:br/>
        <w:t>Step 3: Legal &amp; Immigration Fulfillment - Managing the localized paperwork, background checks, and application submissions.</w:t>
      </w:r>
    </w:p>
    <w:p>
      <w:pPr>
        <w:pStyle w:val="Heading2"/>
      </w:pPr>
      <w:r>
        <w:t>5. Call to Action (Footer lead capture)</w:t>
      </w:r>
    </w:p>
    <w:p>
      <w:r>
        <w:t>Headline: "Ready to Expand Your Borders?"</w:t>
        <w:br/>
        <w:t>Form Structure: Keep it strictly to Name, Email, Phone, and a dropdown for "Region of Interest."</w:t>
        <w:br/>
        <w:t>Routing: Form submissions should integrate directly into the Corbrix management CRM.</w:t>
      </w:r>
    </w:p>
    <w:p>
      <w:pPr>
        <w:pStyle w:val="Heading1"/>
      </w:pPr>
      <w:r>
        <w:t>Dev Team Instructions (Data Architecture)</w:t>
      </w:r>
    </w:p>
    <w:p>
      <w:r>
        <w:t>Instruct the developers to scrape the Henley page data and structure it into a single JSON file. The interactive explorer will map over this array.</w:t>
      </w:r>
    </w:p>
    <w:p>
      <w:r>
        <w:t>Required JSON Structure Example:</w:t>
      </w:r>
    </w:p>
    <w:p>
      <w:r>
        <w:rPr>
          <w:rFonts w:ascii="Courier New" w:hAnsi="Courier New"/>
        </w:rPr>
        <w:t>[</w:t>
        <w:br/>
        <w:t xml:space="preserve">  {</w:t>
        <w:br/>
        <w:t xml:space="preserve">    "country": "United Arab Emirates",</w:t>
        <w:br/>
        <w:t xml:space="preserve">    "region": "Middle East",</w:t>
        <w:br/>
        <w:t xml:space="preserve">    "type": "Residence",</w:t>
        <w:br/>
        <w:t xml:space="preserve">    "minimum_capital": "AED 1 million",</w:t>
        <w:br/>
        <w:t xml:space="preserve">    "key_benefit": "The right to live in any of the seven emirates of the UAE"</w:t>
        <w:br/>
        <w:t xml:space="preserve">  },</w:t>
        <w:br/>
        <w:t xml:space="preserve">  {</w:t>
        <w:br/>
        <w:t xml:space="preserve">    "country": "Antigua and Barbuda",</w:t>
        <w:br/>
        <w:t xml:space="preserve">    "region": "Caribbean",</w:t>
        <w:br/>
        <w:t xml:space="preserve">    "type": "Citizenship",</w:t>
        <w:br/>
        <w:t xml:space="preserve">    "minimum_capital": "USD 230,000",</w:t>
        <w:br/>
        <w:t xml:space="preserve">    "key_benefit": "Visa-free or visa-on-arrival travel to over 150 destinations"</w:t>
        <w:br/>
        <w:t xml:space="preserve">  }</w:t>
        <w:br/>
        <w:t>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