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Coastal Ridge Wind Farm — Weekly Maintenance Report</w:t>
      </w:r>
    </w:p>
    <w:p>
      <w:r>
        <w:t>Reporting period: Week 37 | Prepared by: Maintenance Team</w:t>
      </w:r>
    </w:p>
    <w:p>
      <w:pPr>
        <w:pStyle w:val="Heading1"/>
      </w:pPr>
      <w:r>
        <w:t>1. Fleet summary</w:t>
      </w:r>
    </w:p>
    <w:p>
      <w:r>
        <w:t>Overall fleet availability was 96.2% this week, down from 98.1%. Two turbines required unscheduled attention.</w:t>
      </w:r>
    </w:p>
    <w:p>
      <w:pPr>
        <w:pStyle w:val="Heading1"/>
      </w:pPr>
      <w:r>
        <w:t>2. WTG-3 — gearbox vibration</w:t>
      </w:r>
    </w:p>
    <w:p>
      <w:r>
        <w:t>Abnormal gearbox vibration was detected on the high-speed shaft (4.7 mm/s RMS vs a 3.5 mm/s alarm threshold). The turbine was curtailed to 60% output. The maintenance team must inspect the WTG-3 gearbox with a borescope before returning it to normal operating conditions. Priority: high.</w:t>
      </w:r>
    </w:p>
    <w:p>
      <w:pPr>
        <w:pStyle w:val="Heading1"/>
      </w:pPr>
      <w:r>
        <w:t>3. WTG-7 — cooling system alarm</w:t>
      </w:r>
    </w:p>
    <w:p>
      <w:r>
        <w:t>The cooling system high-temperature alarm triggered twice overnight and coolant was 15% below minimum. This is a critical issue — the maintenance team must resolve the cooling system alarm and top up coolant immediately.</w:t>
      </w:r>
    </w:p>
    <w:p>
      <w:pPr>
        <w:pStyle w:val="Heading1"/>
      </w:pPr>
      <w:r>
        <w:t>4. Other items</w:t>
      </w:r>
    </w:p>
    <w:p>
      <w:r>
        <w:t>The monthly energy production report is due for management review. The WTG-1 nacelle anemometer shows a 3% calibration drift and should be recalibrated at the next service window. Gearbox filter spares are low and should be replenished.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