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Phoenix — Weekly Steering Meeting</w:t>
      </w:r>
    </w:p>
    <w:p>
      <w:r>
        <w:t>Attendees: Project Team, Operations Lead, Finance</w:t>
      </w:r>
    </w:p>
    <w:p>
      <w:pPr>
        <w:pStyle w:val="Heading1"/>
      </w:pPr>
      <w:r>
        <w:t>Schedule</w:t>
      </w:r>
    </w:p>
    <w:p>
      <w:r>
        <w:t>Phase 2 commissioning is tracking two weeks behind baseline due to a delayed grid connection permit.</w:t>
      </w:r>
    </w:p>
    <w:p>
      <w:pPr>
        <w:pStyle w:val="Heading1"/>
      </w:pPr>
      <w:r>
        <w:t>Agreed actions</w:t>
      </w:r>
    </w:p>
    <w:p>
      <w:pPr>
        <w:pStyle w:val="ListBullet"/>
      </w:pPr>
      <w:r>
        <w:t>Project team to submit the revised grid connection application within one week.</w:t>
      </w:r>
    </w:p>
    <w:p>
      <w:pPr>
        <w:pStyle w:val="ListBullet"/>
      </w:pPr>
      <w:r>
        <w:t>Finance to review the monthly energy report and confirm the revised budget forecast.</w:t>
      </w:r>
    </w:p>
    <w:p>
      <w:pPr>
        <w:pStyle w:val="ListBullet"/>
      </w:pPr>
      <w:r>
        <w:t>Operations to schedule the WTG-3 gearbox inspection alongside crane mobilisation.</w:t>
      </w:r>
    </w:p>
    <w:p>
      <w:pPr>
        <w:pStyle w:val="Heading1"/>
      </w:pPr>
      <w:r>
        <w:t>Risks</w:t>
      </w:r>
    </w:p>
    <w:p>
      <w:r>
        <w:t>If the permit is not granted within three weeks, Phase 2 revenue moves to the next quarter. Mitigation: escalate to the regulator.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