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Quarterly Management Brief</w:t>
      </w:r>
    </w:p>
    <w:p>
      <w:pPr>
        <w:jc w:val="center"/>
      </w:pPr>
      <w:r>
        <w:rPr>
          <w:i/>
          <w:color w:val="595959"/>
          <w:sz w:val="26"/>
        </w:rPr>
        <w:t>Coastal Ridge Renewable Operations — Q3 2026</w:t>
      </w:r>
    </w:p>
    <w:p/>
    <w:p>
      <w:pPr>
        <w:pStyle w:val="Heading1"/>
      </w:pPr>
      <w:r>
        <w:t>1. Executive Overview</w:t>
      </w:r>
    </w:p>
    <w:p>
      <w:r>
        <w:t>Coastal Ridge Renewable Operations delivered a solid Q3 2026 despite an unplanned mechanical outage late in the quarter. Fleet-wide availability averaged 97.1% across the quarter, against a target of 97.5%, with the shortfall concentrated in the final two weeks following the Turbine T-19 gearbox issue detailed below. Total energy delivered for the quarter was 54,600 MWh, 2.1% below forecast.</w:t>
      </w:r>
    </w:p>
    <w:p>
      <w:pPr>
        <w:pStyle w:val="Heading1"/>
      </w:pPr>
      <w:r>
        <w:t>2. Financial Performance</w:t>
      </w:r>
    </w:p>
    <w:p>
      <w:r>
        <w:t>Revenue for Q3 was $6.83M against a forecast of $6.95M, a 1.7% shortfall driven primarily by lost generation during the T-19 outage and the associated emergency maintenance spend. Operating expenses were $2.41M, $0.09M over budget due to the approved emergency capital expenditure for the gearbox replacement. Despite the shortfall, Q3 EBITDA margin held at 58.3%, within one point of target.</w:t>
      </w:r>
    </w:p>
    <w:p>
      <w:pPr>
        <w:pStyle w:val="Heading1"/>
      </w:pPr>
      <w:r>
        <w:t>3. 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Q3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Q3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Q2 Actual</w:t>
            </w:r>
          </w:p>
        </w:tc>
      </w:tr>
      <w:tr>
        <w:tc>
          <w:tcPr>
            <w:tcW w:type="dxa" w:w="2160"/>
          </w:tcPr>
          <w:p>
            <w:r>
              <w:t>Fleet Availability</w:t>
            </w:r>
          </w:p>
        </w:tc>
        <w:tc>
          <w:tcPr>
            <w:tcW w:type="dxa" w:w="2160"/>
          </w:tcPr>
          <w:p>
            <w:r>
              <w:t>97.1%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  <w:tc>
          <w:tcPr>
            <w:tcW w:type="dxa" w:w="2160"/>
          </w:tcPr>
          <w:p>
            <w:r>
              <w:t>98.4%</w:t>
            </w:r>
          </w:p>
        </w:tc>
      </w:tr>
      <w:tr>
        <w:tc>
          <w:tcPr>
            <w:tcW w:type="dxa" w:w="2160"/>
          </w:tcPr>
          <w:p>
            <w:r>
              <w:t>Energy Delivered (MWh)</w:t>
            </w:r>
          </w:p>
        </w:tc>
        <w:tc>
          <w:tcPr>
            <w:tcW w:type="dxa" w:w="2160"/>
          </w:tcPr>
          <w:p>
            <w:r>
              <w:t>54,600</w:t>
            </w:r>
          </w:p>
        </w:tc>
        <w:tc>
          <w:tcPr>
            <w:tcW w:type="dxa" w:w="2160"/>
          </w:tcPr>
          <w:p>
            <w:r>
              <w:t>55,780</w:t>
            </w:r>
          </w:p>
        </w:tc>
        <w:tc>
          <w:tcPr>
            <w:tcW w:type="dxa" w:w="2160"/>
          </w:tcPr>
          <w:p>
            <w:r>
              <w:t>56,120</w:t>
            </w:r>
          </w:p>
        </w:tc>
      </w:tr>
      <w:tr>
        <w:tc>
          <w:tcPr>
            <w:tcW w:type="dxa" w:w="2160"/>
          </w:tcPr>
          <w:p>
            <w:r>
              <w:t>Unplanned Downtime (hrs)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&lt;300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  <w:tr>
        <w:tc>
          <w:tcPr>
            <w:tcW w:type="dxa" w:w="2160"/>
          </w:tcPr>
          <w:p>
            <w:r>
              <w:t>Safety Near-Misses Reported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n/a (leading indicator)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Lost-Time Injuries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t>The rise in reported near-misses quarter-over-quarter (from 3 to 6) is viewed internally as a positive indicator of reporting culture rather than a deterioration in safety performance, particularly following the anchor-point near-miss discussed below — the site's philosophy is that under-reporting near-misses is the real risk, not the count itself.</w:t>
      </w:r>
    </w:p>
    <w:p>
      <w:pPr>
        <w:pStyle w:val="Heading1"/>
      </w:pPr>
      <w:r>
        <w:t>4. Key Risks</w:t>
      </w:r>
    </w:p>
    <w:p>
      <w:pPr>
        <w:pStyle w:val="Heading2"/>
      </w:pPr>
      <w:r>
        <w:t>4.1 Turbine T-19 Gearbox Failure — Financial Exposure</w:t>
      </w:r>
    </w:p>
    <w:p>
      <w:r>
        <w:t>Turbine T-19 was taken offline on September 11, 2026 after condition monitoring detected sustained abnormal gearbox vibration, later confirmed by borescope inspection to be early-stage gear tooth pitting. The Q3 Operations Review approved an $85,000 gearbox replacement and expedited air-freight shipping at an additional $22,000, reducing the OEM's quoted lead time from 14 weeks to approximately 4 weeks. Re-commissioning is targeted for mid-October.</w:t>
      </w:r>
    </w:p>
    <w:p>
      <w:r>
        <w:t>Estimated financial exposure: at current power purchase agreement rates, each week T-19 remains offline costs approximately $15,000 in lost generation revenue. Had the standard (non-expedited) shipping timeline been used, total exposure would have exceeded $210,000; the expedite decision is projected to hold total exposure to approximately $60,000 inclusive of the air-freight premium.</w:t>
      </w:r>
    </w:p>
    <w:p>
      <w:pPr>
        <w:pStyle w:val="Heading2"/>
      </w:pPr>
      <w:r>
        <w:t>4.2 Spare-Parts Vendor Lead Time</w:t>
      </w:r>
    </w:p>
    <w:p>
      <w:r>
        <w:t>The T-19 event exposed a structural risk in the site's spare-parts supply chain: the primary gearbox OEM's standard lead time of 14 weeks is not compatible with the financial impact of an extended single-turbine outage. Procurement is negotiating guaranteed expedite terms into the vendor contract renewal due in November.</w:t>
      </w:r>
    </w:p>
    <w:p>
      <w:pPr>
        <w:pStyle w:val="Heading2"/>
      </w:pPr>
      <w:r>
        <w:t>4.3 Fall-Protection Anchor Points</w:t>
      </w:r>
    </w:p>
    <w:p>
      <w:r>
        <w:t>A near-miss at Turbine T-22 on September 9, 2026, involving a loose internal fall-arrest anchor bolt, prompted an immediate site-wide policy change requiring a physical torque-check of anchor points before every climb (previously a visual check only), plus a full re-certification audit of all 36 turbines. No injury occurred, but this is flagged as a risk item pending confirmation that the audit, due September 25, 2026, is completed on schedule.</w:t>
      </w:r>
    </w:p>
    <w:p>
      <w:pPr>
        <w:pStyle w:val="Heading1"/>
      </w:pPr>
      <w:r>
        <w:t>5. Q3 Achievements</w:t>
      </w:r>
    </w:p>
    <w:p>
      <w:pPr>
        <w:pStyle w:val="ListBullet"/>
      </w:pPr>
      <w:r>
        <w:t>Completed the annual blade inspection program across the full 36-turbine fleet two weeks ahead of schedule.</w:t>
      </w:r>
    </w:p>
    <w:p>
      <w:pPr>
        <w:pStyle w:val="ListBullet"/>
      </w:pPr>
      <w:r>
        <w:t>Zero lost-time injuries for the fifth consecutive quarter.</w:t>
      </w:r>
    </w:p>
    <w:p>
      <w:pPr>
        <w:pStyle w:val="ListBullet"/>
      </w:pPr>
      <w:r>
        <w:t>Onboarded two new electrical maintenance technicians, expanding in-house capacity ahead of Q4 planned works.</w:t>
      </w:r>
    </w:p>
    <w:p>
      <w:pPr>
        <w:pStyle w:val="ListBullet"/>
      </w:pPr>
      <w:r>
        <w:t>Resolved the T-19 gearbox issue detection-to-decision cycle in under one week, from first alarm to approved capital expenditure.</w:t>
      </w:r>
    </w:p>
    <w:p>
      <w:pPr>
        <w:pStyle w:val="Heading1"/>
      </w:pPr>
      <w:r>
        <w:t>6. Strategic Priorities for Q4</w:t>
      </w:r>
    </w:p>
    <w:p>
      <w:pPr>
        <w:pStyle w:val="ListBullet"/>
      </w:pPr>
      <w:r>
        <w:t>Complete T-19 gearbox replacement and re-commissioning, targeting mid-October, and recover full fleet availability.</w:t>
      </w:r>
    </w:p>
    <w:p>
      <w:pPr>
        <w:pStyle w:val="ListBullet"/>
      </w:pPr>
      <w:r>
        <w:t>Close out the anchor-point re-certification audit and embed the revised torque-check procedure into standard onboarding.</w:t>
      </w:r>
    </w:p>
    <w:p>
      <w:pPr>
        <w:pStyle w:val="ListBullet"/>
      </w:pPr>
      <w:r>
        <w:t>Finalise the spare-parts vendor contract renewal with guaranteed expedite terms.</w:t>
      </w:r>
    </w:p>
    <w:p>
      <w:pPr>
        <w:pStyle w:val="ListBullet"/>
      </w:pPr>
      <w:r>
        <w:t>Present the Q4 budget proposal, incorporating the T-19 emergency spend against the maintenance contingency line.</w:t>
      </w:r>
    </w:p>
    <w:p>
      <w:pPr>
        <w:pStyle w:val="Heading1"/>
      </w:pPr>
      <w:r>
        <w:t>7. Decision Required from Management</w:t>
      </w:r>
    </w:p>
    <w:p>
      <w:r>
        <w:t>CRITICAL — While the immediate T-19 expedite decision has already been approved and actioned (see Section 4.1), management sign-off is still required on a related, longer-term item: Procurement has proposed pre-purchasing one spare gearbox unit to hold in site inventory, at a cost of $78,000, specifically to eliminate this class of lead-time exposure for any future gearbox failure across the fleet. Without this decision, the site remains exposed to the same 14-week standard lead time on any future occurrence. A decision is requested from the VP Operations by October 1, 2026 so the order can be placed within the OEM's current production run.</w:t>
      </w:r>
    </w:p>
    <w:p>
      <w:pPr>
        <w:pStyle w:val="Heading1"/>
      </w:pPr>
      <w:r>
        <w:t>8. Budget Reallocation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Line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Q3 Budget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Q3 Actual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Variance</w:t>
            </w:r>
          </w:p>
        </w:tc>
      </w:tr>
      <w:tr>
        <w:tc>
          <w:tcPr>
            <w:tcW w:type="dxa" w:w="2160"/>
          </w:tcPr>
          <w:p>
            <w:r>
              <w:t>Routine Maintenance</w:t>
            </w:r>
          </w:p>
        </w:tc>
        <w:tc>
          <w:tcPr>
            <w:tcW w:type="dxa" w:w="2160"/>
          </w:tcPr>
          <w:p>
            <w:r>
              <w:t>$1.20M</w:t>
            </w:r>
          </w:p>
        </w:tc>
        <w:tc>
          <w:tcPr>
            <w:tcW w:type="dxa" w:w="2160"/>
          </w:tcPr>
          <w:p>
            <w:r>
              <w:t>$1.15M</w:t>
            </w:r>
          </w:p>
        </w:tc>
        <w:tc>
          <w:tcPr>
            <w:tcW w:type="dxa" w:w="2160"/>
          </w:tcPr>
          <w:p>
            <w:r>
              <w:t>-$0.05M</w:t>
            </w:r>
          </w:p>
        </w:tc>
      </w:tr>
      <w:tr>
        <w:tc>
          <w:tcPr>
            <w:tcW w:type="dxa" w:w="2160"/>
          </w:tcPr>
          <w:p>
            <w:r>
              <w:t>Emergency Maintenance (T-19)</w:t>
            </w:r>
          </w:p>
        </w:tc>
        <w:tc>
          <w:tcPr>
            <w:tcW w:type="dxa" w:w="2160"/>
          </w:tcPr>
          <w:p>
            <w:r>
              <w:t>$0.00M</w:t>
            </w:r>
          </w:p>
        </w:tc>
        <w:tc>
          <w:tcPr>
            <w:tcW w:type="dxa" w:w="2160"/>
          </w:tcPr>
          <w:p>
            <w:r>
              <w:t>$0.107M</w:t>
            </w:r>
          </w:p>
        </w:tc>
        <w:tc>
          <w:tcPr>
            <w:tcW w:type="dxa" w:w="2160"/>
          </w:tcPr>
          <w:p>
            <w:r>
              <w:t>+$0.107M</w:t>
            </w:r>
          </w:p>
        </w:tc>
      </w:tr>
      <w:tr>
        <w:tc>
          <w:tcPr>
            <w:tcW w:type="dxa" w:w="2160"/>
          </w:tcPr>
          <w:p>
            <w:r>
              <w:t>Safety &amp; Compliance</w:t>
            </w:r>
          </w:p>
        </w:tc>
        <w:tc>
          <w:tcPr>
            <w:tcW w:type="dxa" w:w="2160"/>
          </w:tcPr>
          <w:p>
            <w:r>
              <w:t>$0.18M</w:t>
            </w:r>
          </w:p>
        </w:tc>
        <w:tc>
          <w:tcPr>
            <w:tcW w:type="dxa" w:w="2160"/>
          </w:tcPr>
          <w:p>
            <w:r>
              <w:t>$0.21M</w:t>
            </w:r>
          </w:p>
        </w:tc>
        <w:tc>
          <w:tcPr>
            <w:tcW w:type="dxa" w:w="2160"/>
          </w:tcPr>
          <w:p>
            <w:r>
              <w:t>+$0.03M</w:t>
            </w:r>
          </w:p>
        </w:tc>
      </w:tr>
      <w:tr>
        <w:tc>
          <w:tcPr>
            <w:tcW w:type="dxa" w:w="2160"/>
          </w:tcPr>
          <w:p>
            <w:r>
              <w:t>Training &amp; Staffing</w:t>
            </w:r>
          </w:p>
        </w:tc>
        <w:tc>
          <w:tcPr>
            <w:tcW w:type="dxa" w:w="2160"/>
          </w:tcPr>
          <w:p>
            <w:r>
              <w:t>$0.25M</w:t>
            </w:r>
          </w:p>
        </w:tc>
        <w:tc>
          <w:tcPr>
            <w:tcW w:type="dxa" w:w="2160"/>
          </w:tcPr>
          <w:p>
            <w:r>
              <w:t>$0.24M</w:t>
            </w:r>
          </w:p>
        </w:tc>
        <w:tc>
          <w:tcPr>
            <w:tcW w:type="dxa" w:w="2160"/>
          </w:tcPr>
          <w:p>
            <w:r>
              <w:t>-$0.01M</w:t>
            </w:r>
          </w:p>
        </w:tc>
      </w:tr>
    </w:tbl>
    <w:p/>
    <w:p>
      <w:pPr>
        <w:pStyle w:val="Heading1"/>
      </w:pPr>
      <w:r>
        <w:t>9. Closing Remarks</w:t>
      </w:r>
    </w:p>
    <w:p>
      <w:r>
        <w:t>Q3 demonstrated the site's ability to detect and respond to a significant mechanical risk quickly, moving from first alarm to a funded, expedited resolution in under a week. The parallel safety process improvement following the T-22 near-miss shows the same discipline applied to leading safety indicators. Management's attention is requested on the Section 7 spare-inventory decision to reduce the site's exposure to a repeat of the T-19 scenario in future quarters.</w:t>
      </w:r>
    </w:p>
    <w:p>
      <w:r>
        <w:t>Prepared by: M. Chen, VP Operations. Distribution: Executive Committee, Site Operations, Finance.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