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Blood-Based Multi-Omics Analysis of Alzheimer's Disease and Type 2 Diabetes: A Real-Data Reassessment of Shared Immune Signatures and Candidate Blood Biomarkers</w:t>
      </w:r>
    </w:p>
    <w:p>
      <w:r>
        <w:rPr>
          <w:b w:val="0"/>
          <w:i w:val="0"/>
        </w:rPr>
        <w:t>Usama Manzoor, Syed Muhammad Iqbal Azimuddin</w:t>
      </w:r>
    </w:p>
    <w:p>
      <w:r>
        <w:rPr>
          <w:b w:val="0"/>
          <w:i w:val="0"/>
        </w:rPr>
        <w:t>Department of Biosciences, Faculty of Life Sciences, Mohammad Ali Jinnah University, Karachi, Pakistan</w:t>
      </w:r>
    </w:p>
    <w:p>
      <w:r>
        <w:rPr>
          <w:b w:val="0"/>
          <w:i/>
        </w:rPr>
        <w:t>fa21msbi0001@maju.edu.pk</w:t>
      </w:r>
    </w:p>
    <w:p>
      <w:pPr>
        <w:pStyle w:val="Heading1"/>
      </w:pPr>
      <w:r>
        <w:t>Abstract</w:t>
      </w:r>
    </w:p>
    <w:p>
      <w:r>
        <w:rPr>
          <w:b w:val="0"/>
          <w:i w:val="0"/>
        </w:rPr>
        <w:t>Background: Alzheimer's disease (AD) and Type 2 diabetes mellitus (T2DM) show epidemiological comorbidity, motivating interest in shared peripheral blood signatures that could support minimally invasive screening. Most prior multi-omics work relies on brain or islet tissue; whole blood offers a more accessible alternative but its diagnostic value is less established.</w:t>
      </w:r>
    </w:p>
    <w:p>
      <w:r>
        <w:rPr>
          <w:b w:val="0"/>
          <w:i w:val="0"/>
        </w:rPr>
        <w:t>Methods: We reanalysed the two largest public whole-blood transcriptomic cohorts for each disease: the AddNeuroMed cohort (GSE63060 n=329 + GSE63061 n=382, combined and batch-corrected to n=706 after QC; Illumina HumanHT-12 microarray; AD/MCI/Control) and GSE221521 (whole-blood RNA-seq; n=193 samples available in the deposited count matrix, n=189 after QC; T2D/Pre-DM/Control). RNA-seq counts were size-factor normalised (median-of-ratios) and log2-transformed; microarray data were quantile-normalised with a simple batch-mean correction across the two AddNeuroMed cohorts. Differential expression used Welch's t-test with Benjamini-Hochberg FDR correction (disease vs Control). Five classifiers (Random Forest, Gradient Boosting, SVM-RBF, MLP, LASSO logistic regression) were trained per disease using an 80:20 train/test split with feature selection (top 500 variable genes) performed on the training set only, 5-fold stratified cross-validation, and AUC evaluated on the held-out test set.</w:t>
      </w:r>
    </w:p>
    <w:p>
      <w:r>
        <w:rPr>
          <w:b w:val="0"/>
          <w:i w:val="0"/>
        </w:rPr>
        <w:t>Results: AD blood transcriptomics showed a real, substantial differential expression signal: 4,743 of 14,484 tested genes were significant at FDR&lt;0.05, 101 with |log2FC|&gt;0.3. T2D showed no genes surviving FDR correction (0/18,312); TXNIP (p=0.012), IL1B (p=0.036) and IRS1 (p=0.057) trended in the expected direction at the nominal (uncorrected) level only. ML classification achieved test AUC=0.772 (Random Forest) for AD (3-class, n=706) and test AUC=0.708 (SVM-RBF) for T2D (3-class, n=189) — both moderate and well above chance, but with AD outperforming T2D, the reverse of what a larger, better-annotated T2D series might be expected to show, and plausibly attributable to AD's ~3.7-fold larger sample size rather than a stronger intrinsic signal. A transcriptomic-only Blood Risk Score (BRS-T) built from literature AD marker genes showed no meaningful separation between Control (41.1), MCI (39.0) and AD (40.2) in real data. A T2D Blood Insulin Resistance Transcriptomic Score (BIRTHS) showed a modest but statistically significant group difference (Control=59.9, Pre-DM=60.7, T2D=66.7; Kruskal-Wallis p=0.0079) — real, but far smaller than a three-stage separation. Neither biomarker's originally proposed clinical correlation (BRS vs MMSE; BIRTHS vs HbA1c) could be validated, because MMSE and HbA1c are not present in the public GEO metadata for these series. Cross-disease concordance could not be computed because T2D yielded no significant DEGs to intersect with the AD signature.</w:t>
      </w:r>
    </w:p>
    <w:p>
      <w:r>
        <w:rPr>
          <w:b w:val="0"/>
          <w:i w:val="0"/>
        </w:rPr>
        <w:t>Conclusions: Real public whole-blood data support a genuine, moderate AD transcriptomic and ML-classifiable signal, and a much weaker but nominally directionally-consistent T2D signal. The proposed BRS and BIRTHS biomarkers, as specified, do not show the separation previously claimed and their original clinical validation is not computable from public data. A shared cross-disease immune signature and a drug-repurposing ranking are not currently supportable from these data and require either additional cohorts with matched clinical metadata (HbA1c, MMSE) or larger, better-powered T2D blood transcriptomic series.</w:t>
      </w:r>
    </w:p>
    <w:p>
      <w:pPr>
        <w:pStyle w:val="Heading1"/>
      </w:pPr>
      <w:r>
        <w:t>1. Introduction</w:t>
      </w:r>
    </w:p>
    <w:p>
      <w:r>
        <w:rPr>
          <w:b w:val="0"/>
          <w:i w:val="0"/>
        </w:rPr>
        <w:t>Whole blood is an attractive biospecimen for population-scale screening of both AD and T2DM because it is minimally invasive and reflects systemic immune and metabolic state. Prior studies report peripheral immune dysregulation in AD (complement activation, T-cell exhaustion) and monocyte/inflammasome activation in T2DM. Whether these signatures are strong and reproducible enough, from public data alone, to support a shared cross-disease blood biomarker and drug-repurposing framework is the question this reanalysis addresses directly, using only what is verifiably computable from deposited public data.</w:t>
      </w:r>
    </w:p>
    <w:p>
      <w:pPr>
        <w:pStyle w:val="Heading1"/>
      </w:pPr>
      <w:r>
        <w:t>2. Materials and Methods</w:t>
      </w:r>
    </w:p>
    <w:p>
      <w:pPr>
        <w:pStyle w:val="Heading2"/>
      </w:pPr>
      <w:r>
        <w:t>2.1 Data</w:t>
      </w:r>
    </w:p>
    <w:p>
      <w:r>
        <w:rPr>
          <w:b w:val="0"/>
          <w:i w:val="0"/>
        </w:rPr>
        <w:t>AD: GSE63060 (Illumina HumanHT-12 v3, GPL6947) and GSE63061 (v4, GPL10558), AddNeuroMed cohort. The deposited 'normalized' supplementary matrices contain 330 and 388 arrays respectively (a subset of the full series); after probe-to-gene-symbol mapping (GPL annotation), metadata linkage via the series matrix (diagnosis: AD/MCI/CTL; age; gender), and merging on 14,484 common genes, 711 samples remained (284 AD, 189 MCI, 238 Control), reduced to 706 after outlier removal. MMSE and other cognitive/clinical scores are not present in the public GEO characteristics for either series.</w:t>
      </w:r>
    </w:p>
    <w:p>
      <w:r>
        <w:rPr>
          <w:b w:val="0"/>
          <w:i w:val="0"/>
        </w:rPr>
        <w:t>T2D: GSE221521 whole-blood RNA-seq. The deposited count matrix (GSE221521_gene_expression.xls.gz) contains 193 samples (74 T2D, 69 Pre-DM/DR, 50 Control), not the full 1,190-sample series description sometimes quoted elsewhere; this is the sample size actually available for reanalysis. HbA1c and other clinical variables are not present in the public GEO characteristics.</w:t>
      </w:r>
    </w:p>
    <w:p>
      <w:pPr>
        <w:pStyle w:val="Heading2"/>
      </w:pPr>
      <w:r>
        <w:t>2.2 Preprocessing</w:t>
      </w:r>
    </w:p>
    <w:p>
      <w:r>
        <w:rPr>
          <w:b w:val="0"/>
          <w:i w:val="0"/>
        </w:rPr>
        <w:t>RNA-seq counts were filtered to genes with count &gt;= 10 in at least 20% of samples, size-factor normalised (median-of-ratios, DESeq2-style) to correct for sequencing-depth differences (size factors ranged 0.235-2.131x across samples, confirming this step was necessary), then log2(x+1) transformed. Microarray data from the two AddNeuroMed cohorts were quantile-normalised and batch-corrected (batch-mean subtraction across the two cohorts) prior to merging. Sample outliers were removed by z-score (&gt;3.5) on mean pairwise sample correlation.</w:t>
      </w:r>
    </w:p>
    <w:p>
      <w:pPr>
        <w:pStyle w:val="Heading2"/>
      </w:pPr>
      <w:r>
        <w:t>2.3 Differential expression</w:t>
      </w:r>
    </w:p>
    <w:p>
      <w:r>
        <w:rPr>
          <w:b w:val="0"/>
          <w:i w:val="0"/>
        </w:rPr>
        <w:t>Welch's t-test (disease vs Control) per gene, Benjamini-Hochberg FDR correction. Significance threshold: padj&lt;0.05.</w:t>
      </w:r>
    </w:p>
    <w:p>
      <w:pPr>
        <w:pStyle w:val="Heading2"/>
      </w:pPr>
      <w:r>
        <w:t>2.4 Machine learning classification</w:t>
      </w:r>
    </w:p>
    <w:p>
      <w:r>
        <w:rPr>
          <w:b w:val="0"/>
          <w:i w:val="0"/>
        </w:rPr>
        <w:t>Random Forest, Gradient Boosting, SVM (RBF), MLP, and LASSO logistic regression, each with an 80:20 stratified train/test split performed BEFORE feature selection. The top 500 most-variable genes were selected using training-set variance only, then applied unchanged to the test set — this is the leakage-corrected design already documented in the v2 pipeline; an earlier v1 pipeline that selected features before splitting produced an artefactual AUC of 1.0 and is not used here. Five-fold stratified cross-validation AUC is reported alongside the held-out test AUC (one-vs-rest, multi-class).</w:t>
      </w:r>
    </w:p>
    <w:p>
      <w:pPr>
        <w:pStyle w:val="Heading2"/>
      </w:pPr>
      <w:r>
        <w:t>2.5 Candidate biomarkers</w:t>
      </w:r>
    </w:p>
    <w:p>
      <w:r>
        <w:rPr>
          <w:b w:val="0"/>
          <w:i w:val="0"/>
        </w:rPr>
        <w:t>BRS-T (AD): mean expression of literature complement/platelet/interferon up-markers (C1QB, C1QC, S100A8, S100A9, MX1, OAS1, IFIT1, PPBP, TXNIP, IL1B; 10/12 candidate genes present) minus mean expression of T/NK exhaustion markers (CD3D, CD3E, PRF1, NKG7, GZMK, CD247, CD8A; 7/7 present), min-max scaled to [0,100]. This is a transcriptomic-only proxy; it does not include the plasma protein components (NfL, GFAP, p-tau217) of a full BRS, which require an independent plasma-proteomic dataset.</w:t>
      </w:r>
    </w:p>
    <w:p>
      <w:r>
        <w:rPr>
          <w:b w:val="0"/>
          <w:i w:val="0"/>
        </w:rPr>
        <w:t>BIRTHS (T2D): mean expression of stress/inflammation genes (S100A8, S100A9, TXNIP, IL1B, NLRP3; 5/6 present) minus mean expression of protective genes (IRS1, ADIPOR1, FOXO1, TFAM; 4/6 present — PPARGC1A and IL10 not present in the filtered expression matrix), min-max scaled to [0,100].</w:t>
      </w:r>
    </w:p>
    <w:p>
      <w:pPr>
        <w:pStyle w:val="Heading2"/>
      </w:pPr>
      <w:r>
        <w:t>2.6 Drug repurposing scoring</w:t>
      </w:r>
    </w:p>
    <w:p>
      <w:r>
        <w:rPr>
          <w:b w:val="0"/>
          <w:i w:val="0"/>
        </w:rPr>
        <w:t>A Hub Gene Expression Rescue Score (HGERS) was computed as the confidence-weighted fraction of a drug's literature-annotated target genes for which the drug's known direction of action opposes the assumed disease direction. IMPORTANT LIMITATION: the 'disease direction' inputs to this score are curated from prior literature, not derived from the real DEG results in this study (which for T2D show no genes surviving FDR correction). As implemented, every drug scores 1.0 for both diseases, which reflects the circularity of using the same literature to define both the disease signature and the drug's expected action, not a genuine data-driven ranking. We report the formula and its current limitation transparently rather than presenting a ranked table as an empirical result.</w:t>
      </w:r>
    </w:p>
    <w:p>
      <w:pPr>
        <w:pStyle w:val="Heading1"/>
      </w:pPr>
      <w:r>
        <w:t>3. Results</w:t>
      </w:r>
    </w:p>
    <w:p>
      <w:pPr>
        <w:pStyle w:val="Heading2"/>
      </w:pPr>
      <w:r>
        <w:t>3.1 AD blood transcriptomic landscape (real data)</w:t>
      </w:r>
    </w:p>
    <w:p>
      <w:r>
        <w:rPr>
          <w:b w:val="0"/>
          <w:i w:val="0"/>
        </w:rPr>
        <w:t>Of 14,484 genes tested (AD n=284/279 after final QC-linked split vs Control n=238), 4,743 were significant at FDR&lt;0.05 and 101 exceeded |log2FC|&gt;0.3, a substantial and statistically robust real signal. Full gene-level results are in Supplementary Table (data/tables/ad_deg_results.csv).</w:t>
      </w:r>
    </w:p>
    <w:p>
      <w:pPr>
        <w:pStyle w:val="Heading2"/>
      </w:pPr>
      <w:r>
        <w:t>3.2 T2D blood transcriptomic landscape (real data)</w:t>
      </w:r>
    </w:p>
    <w:p>
      <w:r>
        <w:rPr>
          <w:b w:val="0"/>
          <w:i w:val="0"/>
        </w:rPr>
        <w:t>Of 18,312 genes tested (T2D n=73 vs Control n=48), none survived FDR&lt;0.05 correction. TXNIP (log2FC=+0.18, p=0.012, padj=0.35), IL1B (log2FC=+0.57, p=0.036, padj=0.39) and IRS1 (log2FC=-0.22, p=0.057) trended in the biologically expected direction at the nominal level but are not statistically robust at this sample size. This null FDR-level result should be reported as such rather than substituted with literature-typical effect sizes.</w:t>
      </w:r>
    </w:p>
    <w:p>
      <w:pPr>
        <w:pStyle w:val="Heading2"/>
      </w:pPr>
      <w:r>
        <w:t>3.3 Machine learning classification</w:t>
      </w:r>
    </w:p>
    <w:p>
      <w:r>
        <w:rPr>
          <w:b w:val="0"/>
          <w:i w:val="0"/>
        </w:rPr>
        <w:t>AD (3-class, n=706): best model Random Forest, CV AUC=0.730±0.036, test AUC=0.772, test accuracy=0.606. Gradient Boosting (test AUC=0.768) and SVM (test AUC=0.744) performed similarly. T2D (3-class, n=189): best model SVM-RBF, CV AUC=0.713±0.053, test AUC=0.708, test accuracy=0.526. Random Forest (test AUC=0.695) and LASSO (test AUC=0.695) were close behind. Full model tables: data/tables/{ad,t2d}_ml_results.csv; ROC curves: data/figures/ml/{ad,t2d}_roc_curves.png.</w:t>
      </w:r>
    </w:p>
    <w:p>
      <w:r>
        <w:rPr>
          <w:b w:val="0"/>
          <w:i w:val="0"/>
        </w:rPr>
        <w:t>Contrary to a-priori expectation that T2D whole-blood signal (driven by circulating monocyte activation) would be stronger than AD whole-blood signal (driven by CNS pathology 'leaking' into a less-affected peripheral compartment), AD classification outperformed T2D in this reanalysis. Given the large disparity in sample size (706 vs 189) and in DEG count (4,743 vs 0 at FDR&lt;0.05), the most defensible interpretation is that the AD result reflects a genuine, adequately powered signal, while the T2D result — respectable given its near-chance-adjacent DEG count — is likely limited primarily by sample size and possibly by the mixed cell population (leukocytes) and single-country cohort composition, not by an absence of biological signal.</w:t>
      </w:r>
    </w:p>
    <w:p>
      <w:pPr>
        <w:pStyle w:val="Heading2"/>
      </w:pPr>
      <w:r>
        <w:t>3.4 Candidate biomarkers</w:t>
      </w:r>
    </w:p>
    <w:p>
      <w:r>
        <w:rPr>
          <w:b w:val="0"/>
          <w:i w:val="0"/>
        </w:rPr>
        <w:t>BRS-T (AD, transcriptomic-only proxy): Control mean=41.1±16.4 (n=238), MCI=39.0±16.1 (n=189), AD=40.2±16.9 (n=279). No meaningful group separation. The originally proposed BRS (including plasma NfL/GFAP/p-tau217) could not be computed or validated against MMSE because neither the plasma proteins nor MMSE are present in the public GSE63060/61 metadata.</w:t>
      </w:r>
    </w:p>
    <w:p>
      <w:r>
        <w:rPr>
          <w:b w:val="0"/>
          <w:i w:val="0"/>
        </w:rPr>
        <w:t>BIRTHS (T2D): Control=59.9±19.2 (n=48), Pre-DM=60.7±12.0 (n=68), T2D=66.7±14.7 (n=73). Kruskal-Wallis test across the three groups: H=9.67, p=0.0079 — a real and statistically significant, but modest, group difference, not a three-stage separation. Correlation with HbA1c could not be computed because HbA1c is not present in the public GSE221521 metadata.</w:t>
      </w:r>
    </w:p>
    <w:p>
      <w:pPr>
        <w:pStyle w:val="Heading2"/>
      </w:pPr>
      <w:r>
        <w:t>3.5 Cross-disease concordance and drug repurposing</w:t>
      </w:r>
    </w:p>
    <w:p>
      <w:r>
        <w:rPr>
          <w:b w:val="0"/>
          <w:i w:val="0"/>
        </w:rPr>
        <w:t>Cross-disease DEG concordance could not be computed: T2D yielded zero genes significant at FDR&lt;0.05, leaving no data-derived T2D signature to intersect with the 101-gene AD signature. This is reported as a negative result rather than substituted with an assumed value. The HGERS drug-sensitivity score, as currently implemented, is circular (see Methods 2.6) and is not presented as a ranked empirical finding in this version.</w:t>
      </w:r>
    </w:p>
    <w:p>
      <w:pPr>
        <w:pStyle w:val="Heading1"/>
      </w:pPr>
      <w:r>
        <w:t>4. Discussion</w:t>
      </w:r>
    </w:p>
    <w:p>
      <w:r>
        <w:rPr>
          <w:b w:val="0"/>
          <w:i w:val="0"/>
        </w:rPr>
        <w:t>This reanalysis illustrates a common risk in exploratory multi-omics pipelines: a pipeline validated end-to-end on simulated data, with realistic-looking parameter choices, can produce a complete and internally plausible-seeming results narrative that does not survive contact with the real, publicly available data it claims to use. The AD signal in this study is real and moderately strong; the T2D signal is weak at the single-gene level but still supports moderate multivariate classification, suggesting a distributed rather than single-biomarker-driven signature, or a sample-size-limited estimate of a true weak effect. Two of the proposed novel biomarkers (BRS-T, BIRTHS) do not, as specified, achieve the separation originally claimed, and their headline clinical correlations (vs MMSE, vs HbA1c) cannot be evaluated at all from public GEO metadata — a data-availability limitation that should have been identified before those correlations were reported as results.</w:t>
      </w:r>
    </w:p>
    <w:p>
      <w:pPr>
        <w:pStyle w:val="Heading2"/>
      </w:pPr>
      <w:r>
        <w:t>4.1 Limitations</w:t>
      </w:r>
    </w:p>
    <w:p>
      <w:r>
        <w:rPr>
          <w:b w:val="0"/>
          <w:i w:val="0"/>
        </w:rPr>
        <w:t>(1) T2D sample size (n=189) is roughly an order of magnitude below what the AD cohort offers, and is not the ~1,000-1,200 samples the series is sometimes described as containing; the deposited public count matrix only includes 193 samples. (2) Neither cohort's public GEO metadata includes the clinical severity variables (MMSE, HbA1c) needed to validate the proposed composite biomarkers against disease severity; validating BRS/BIRTHS as originally conceived would require an independent dataset with matched clinical and transcriptomic data, or direct collaboration with the AddNeuroMed/GSE221521 data depositors for restricted clinical variables. (3) DNA methylation (GSE97760, GSE166117) and plasma miRNA (GSE140831) data referenced in the original study concept were not reanalysed here; incorporating them is a natural next step but was out of scope for this correction pass. (4) The HGERS drug-repurposing score requires restructuring to derive disease gene-direction inputs from real DEG results (or an explicit uncorrected/relaxed threshold with appropriate caveats) rather than literature priors, before it can be presented as a data-driven ranking rather than a curated hypothesis list. (5) Batch correction for the AD cohorts used a simplified batch-mean subtraction rather than a full ComBat model; results should be considered a reasonable but not definitive correction for cohort-of-origin effects.</w:t>
      </w:r>
    </w:p>
    <w:p>
      <w:pPr>
        <w:pStyle w:val="Heading1"/>
      </w:pPr>
      <w:r>
        <w:t>5. Conclusions</w:t>
      </w:r>
    </w:p>
    <w:p>
      <w:r>
        <w:rPr>
          <w:b w:val="0"/>
          <w:i w:val="0"/>
        </w:rPr>
        <w:t>Real public whole-blood transcriptomic data support a genuine, moderate, statistically robust AD signature (thousands of significant genes, ML AUC~0.77) and a much weaker, FDR-null but nominally directionally-consistent T2D signature (ML AUC~0.71, likely reflecting a real but underpowered effect). The previously proposed BRS and BIRTHS composite biomarkers do not show their originally claimed separation when computed from real data, and their central clinical validations are not computable from public metadata. A shared cross-disease blood signature and a drug-repurposing ranking are not currently supportable and require either additional real analysis (relaxed-threshold or effect-size-based concordance, data-derived HGERS inputs) or additional data (larger T2D cohorts, matched clinical variables) before they can be reported as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