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Genome-Wide Long Non-Coding RNA Extension of a Cross-Study Meta-Analysis of Type 2 Diabetes Whole Blood Transcriptomes: Null Results, Exploratory Candidates, and a Partial Biomarker Panel Replication Check</w:t>
      </w:r>
    </w:p>
    <w:p>
      <w:r>
        <w:rPr>
          <w:b w:val="0"/>
          <w:i w:val="0"/>
        </w:rPr>
        <w:t>Usama Manzoor</w:t>
      </w:r>
    </w:p>
    <w:p>
      <w:r>
        <w:rPr>
          <w:b w:val="0"/>
          <w:i w:val="0"/>
        </w:rPr>
        <w:t>Independent research; Bioinformatics Specialist, JSMU Diagnostic Laboratory, Karachi, Pakistan</w:t>
      </w:r>
    </w:p>
    <w:p>
      <w:r>
        <w:rPr>
          <w:b w:val="0"/>
          <w:i/>
        </w:rPr>
        <w:t>usama.manzoor1121@gmail.com</w:t>
      </w:r>
    </w:p>
    <w:p>
      <w:r>
        <w:rPr>
          <w:b w:val="0"/>
          <w:i/>
        </w:rPr>
        <w:t>Code and data: https://github.com/usamamanzoor1121-pixel/t2d-blood-lncrna</w:t>
      </w:r>
    </w:p>
    <w:p>
      <w:pPr>
        <w:pStyle w:val="Heading1"/>
      </w:pPr>
      <w:r>
        <w:t>Abstract</w:t>
      </w:r>
    </w:p>
    <w:p>
      <w:r>
        <w:rPr>
          <w:b w:val="0"/>
          <w:i w:val="0"/>
        </w:rPr>
        <w:t>Background: Whole-blood transcriptomics is an attractive, minimally invasive window into the systemic biology of Type 2 diabetes mellitus (T2DM), but individual studies are small and results replicate poorly across cohorts. A recent 8-cohort meta-analysis (Tkachenko et al., 2025) confirmed this heterogeneity directly, reporting “extremely low overlap between DEGs identified in different studies,” and examined protein-coding genes only. Long non-coding RNAs (lncRNAs), increasingly implicated in immune and metabolic regulation, have not been assessed at this scale in T2DM blood.</w:t>
      </w:r>
    </w:p>
    <w:p>
      <w:r>
        <w:rPr>
          <w:b w:val="0"/>
          <w:i w:val="0"/>
        </w:rPr>
        <w:t>Methods: We assembled the same class of public whole-blood T2DM cohorts (8 independent GEO series, 4+ countries, 466 samples after excluding tuberculosis-comorbidity confounds, disease-complication subgroups, and duplicate longitudinal timepoints) and ran a conservative, replication-focused meta-analysis: per-cohort Welch's t-tests, combined via Stouffer's inverse-normal method (weighted by √n) with a concordance-discounted effect size, deliberately avoiding cross-platform pooling of batch-incompatible studies. Genes were classified by full GENCODE v44 biotype (18,866 lncRNA-biotype genes genome-wide) rather than a heuristic name filter. Promoters of the strongest candidates were scanned against all 769 HOCOMOCO v11 human transcription-factor motifs. We additionally attempted a partial replication check of a recently proposed 3-lncRNA blood biomarker panel (Wang et al., 2026).</w:t>
      </w:r>
    </w:p>
    <w:p>
      <w:r>
        <w:rPr>
          <w:b w:val="0"/>
          <w:i w:val="0"/>
        </w:rPr>
        <w:t>Results: No gene — protein-coding or lncRNA — reached genome-wide FDR significance (0 of 39,541 genes tested in ≥3 cohorts, padj&lt;0.05; best padj=0.13). The p-value distribution was well calibrated (genomic inflation λ=1.08), indicating the null result reflects a genuine absence of consistent cross-study signal rather than a statistical artefact. A set of exploratory candidates — including EPHA2, TPCN1, ZBED3, and the lncRNAs GABPB1-AS1, SIGLEC17P, and LINC02044 — showed strong nominal significance (p&lt;0.001) and 75–100% directional concordance across all cohorts in which they were tested. Promoter motif scanning flagged NR1H4 (FXR) motifs independently at two of these loci (TPCN1, SIGLEC17P), alongside PPARA and VDR at TPCN1 — a biologically coherent, hypothesis-generating pattern. Two of the three Wang et al. panel transcripts were traced to real genes (CHCHD2, GRINA) in an independent cohort; neither showed cross-study signal in this reanalysis, and the panel's third member (a study-specific StringTie-assembled transcript ID) is structurally unreplicable in any external dataset.</w:t>
      </w:r>
    </w:p>
    <w:p>
      <w:r>
        <w:rPr>
          <w:b w:val="0"/>
          <w:i w:val="0"/>
        </w:rPr>
        <w:t>Conclusions: At current public sample sizes, T2DM whole-blood transcriptomic changes — coding or non-coding — do not show a genome-wide-significant, consistently reproducible signal across independent cohorts. This extends Tkachenko et al.'s heterogeneity finding to a stricter replication-based test and to lncRNAs specifically. We report a small, transparently exploratory candidate list with cross-cohort directional support and coherent regulatory hypotheses, intended for a dedicated, adequately powered follow-up study — not as validated biomarkers.</w:t>
      </w:r>
    </w:p>
    <w:p>
      <w:pPr>
        <w:pStyle w:val="Heading1"/>
      </w:pPr>
      <w:r>
        <w:t>1. Introduction</w:t>
      </w:r>
    </w:p>
    <w:p>
      <w:r>
        <w:rPr>
          <w:b w:val="0"/>
          <w:i w:val="0"/>
        </w:rPr>
        <w:t>Type 2 diabetes mellitus (T2DM) is characterised by systemic metabolic and immune dysregulation, much of which is, in principle, detectable in circulating blood cells. Whole-blood transcriptomics is therefore an appealing biospecimen for biomarker discovery: it avoids the invasiveness of pancreatic islet biopsy and captures immune-cell contributions (monocyte activation, NLRP3 inflammasome priming, neutrophil involvement) thought to be central to T2DM pathophysiology. In practice, individual whole-blood T2DM transcriptomic studies are small, methodologically heterogeneous, and have shown limited agreement on which genes are actually dysregulated.</w:t>
      </w:r>
    </w:p>
    <w:p>
      <w:r>
        <w:rPr>
          <w:b w:val="0"/>
          <w:i w:val="0"/>
        </w:rPr>
        <w:t>Tkachenko et al. (2025) addressed this directly with a meta-analysis pooling eight public T2DM whole-blood cohorts (a newly generated discovery cohort, GSE280402, plus seven previously deposited series) using ComBat-seq batch correction and a pooled mixed-effects model (variancePartition). They reported 2,065 differentially expressed genes, of which 713 were “integration-driven discoveries” invisible in any single cohort — but also candidly noted “extremely low overlap between sets of DEGs identified in different studies,” with only five genes (FBLN2, TPCN1, PC, SHANK1, PLD4) consistently downregulated across three or more cohorts. Their analysis, like most in this literature, considered protein-coding genes exclusively.</w:t>
      </w:r>
    </w:p>
    <w:p>
      <w:r>
        <w:rPr>
          <w:b w:val="0"/>
          <w:i w:val="0"/>
        </w:rPr>
        <w:t>Long non-coding RNAs (lncRNAs) regulate gene expression, chromatin state, and immune signalling, and a growing literature implicates them in T2DM pathophysiology. Wang et al. (2026) recently proposed a 3-lncRNA blood biomarker panel (ENST00000473095, MSTRG.90147.1, ENST00000531992; combined AUC=0.73) derived from a small discovery/validation design (8+8 / 85+85) cross-referenced against pancreatic single-cell RNA-seq — but at a scale far below what cross-study meta-analysis suggests is needed to see consistent signal in this tissue.</w:t>
      </w:r>
    </w:p>
    <w:p>
      <w:r>
        <w:rPr>
          <w:b w:val="0"/>
          <w:i w:val="0"/>
        </w:rPr>
        <w:t>This study asks two questions the existing literature has not jointly addressed: (1) does pooling public T2DM whole-blood cohorts at the scale of Tkachenko et al., but restricted to genes that replicate across studies rather than pooled aggregate power, reveal a lncRNA-specific signal comparable to what has been reported for protein-coding genes; and (2) does a recently proposed small-cohort lncRNA biomarker panel show any trace of cross-cohort signal when checked, as far as is possible, against independent public data.</w:t>
      </w:r>
    </w:p>
    <w:p>
      <w:pPr>
        <w:pStyle w:val="Heading1"/>
      </w:pPr>
      <w:r>
        <w:t>2. Methods</w:t>
      </w:r>
    </w:p>
    <w:p>
      <w:pPr>
        <w:pStyle w:val="Heading2"/>
      </w:pPr>
      <w:r>
        <w:t>2.1 Data sources</w:t>
      </w:r>
    </w:p>
    <w:p>
      <w:r>
        <w:rPr>
          <w:b w:val="0"/>
          <w:i w:val="0"/>
        </w:rPr>
        <w:t>Eight public whole-blood T2DM RNA-seq series were used, following the cohort list assembled by Tkachenko et al. (2025): GSE221521, GSE280402, GSE154881, GSE153315, GSE185011, GSE184050, GSE181143, and GSE114192. Table 1 gives per-cohort sample sizes after cleaning.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Accession</w:t>
            </w:r>
          </w:p>
        </w:tc>
        <w:tc>
          <w:tcPr>
            <w:tcW w:type="dxa" w:w="2160"/>
          </w:tcPr>
          <w:p>
            <w:r>
              <w:t>T2D</w:t>
            </w:r>
          </w:p>
        </w:tc>
        <w:tc>
          <w:tcPr>
            <w:tcW w:type="dxa" w:w="2160"/>
          </w:tcPr>
          <w:p>
            <w:r>
              <w:t>Control</w:t>
            </w:r>
          </w:p>
        </w:tc>
        <w:tc>
          <w:tcPr>
            <w:tcW w:type="dxa" w:w="2160"/>
          </w:tcPr>
          <w:p>
            <w:r>
              <w:t>Notes</w:t>
            </w:r>
          </w:p>
        </w:tc>
      </w:tr>
      <w:tr>
        <w:tc>
          <w:tcPr>
            <w:tcW w:type="dxa" w:w="2160"/>
          </w:tcPr>
          <w:p>
            <w:r>
              <w:t>GSE221521</w:t>
            </w:r>
          </w:p>
        </w:tc>
        <w:tc>
          <w:tcPr>
            <w:tcW w:type="dxa" w:w="2160"/>
          </w:tcPr>
          <w:p>
            <w:r>
              <w:t>74</w:t>
            </w:r>
          </w:p>
        </w:tc>
        <w:tc>
          <w:tcPr>
            <w:tcW w:type="dxa" w:w="2160"/>
          </w:tcPr>
          <w:p>
            <w:r>
              <w:t>50</w:t>
            </w:r>
          </w:p>
        </w:tc>
        <w:tc>
          <w:tcPr>
            <w:tcW w:type="dxa" w:w="2160"/>
          </w:tcPr>
          <w:p>
            <w:r>
              <w:t>Whole-blood RNA-seq</w:t>
            </w:r>
          </w:p>
        </w:tc>
      </w:tr>
      <w:tr>
        <w:tc>
          <w:tcPr>
            <w:tcW w:type="dxa" w:w="2160"/>
          </w:tcPr>
          <w:p>
            <w:r>
              <w:t>GSE280402</w:t>
            </w:r>
          </w:p>
        </w:tc>
        <w:tc>
          <w:tcPr>
            <w:tcW w:type="dxa" w:w="2160"/>
          </w:tcPr>
          <w:p>
            <w:r>
              <w:t>8</w:t>
            </w:r>
          </w:p>
        </w:tc>
        <w:tc>
          <w:tcPr>
            <w:tcW w:type="dxa" w:w="2160"/>
          </w:tcPr>
          <w:p>
            <w:r>
              <w:t>8</w:t>
            </w:r>
          </w:p>
        </w:tc>
        <w:tc>
          <w:tcPr>
            <w:tcW w:type="dxa" w:w="2160"/>
          </w:tcPr>
          <w:p>
            <w:r>
              <w:t>Transcript-level (ENST) resolution</w:t>
            </w:r>
          </w:p>
        </w:tc>
      </w:tr>
      <w:tr>
        <w:tc>
          <w:tcPr>
            <w:tcW w:type="dxa" w:w="2160"/>
          </w:tcPr>
          <w:p>
            <w:r>
              <w:t>GSE154881</w:t>
            </w:r>
          </w:p>
        </w:tc>
        <w:tc>
          <w:tcPr>
            <w:tcW w:type="dxa" w:w="2160"/>
          </w:tcPr>
          <w:p>
            <w:r>
              <w:t>5</w:t>
            </w:r>
          </w:p>
        </w:tc>
        <w:tc>
          <w:tcPr>
            <w:tcW w:type="dxa" w:w="2160"/>
          </w:tcPr>
          <w:p>
            <w:r>
              <w:t>5</w:t>
            </w:r>
          </w:p>
        </w:tc>
        <w:tc>
          <w:tcPr>
            <w:tcW w:type="dxa" w:w="2160"/>
          </w:tcPr>
          <w:p>
            <w:r>
              <w:t>Excl. diabetic nephropathy subgroup</w:t>
            </w:r>
          </w:p>
        </w:tc>
      </w:tr>
      <w:tr>
        <w:tc>
          <w:tcPr>
            <w:tcW w:type="dxa" w:w="2160"/>
          </w:tcPr>
          <w:p>
            <w:r>
              <w:t>GSE153315</w:t>
            </w:r>
          </w:p>
        </w:tc>
        <w:tc>
          <w:tcPr>
            <w:tcW w:type="dxa" w:w="2160"/>
          </w:tcPr>
          <w:p>
            <w:r>
              <w:t>20</w:t>
            </w:r>
          </w:p>
        </w:tc>
        <w:tc>
          <w:tcPr>
            <w:tcW w:type="dxa" w:w="2160"/>
          </w:tcPr>
          <w:p>
            <w:r>
              <w:t>10</w:t>
            </w:r>
          </w:p>
        </w:tc>
        <w:tc>
          <w:tcPr>
            <w:tcW w:type="dxa" w:w="2160"/>
          </w:tcPr>
          <w:p>
            <w:r>
              <w:t>—</w:t>
            </w:r>
          </w:p>
        </w:tc>
      </w:tr>
      <w:tr>
        <w:tc>
          <w:tcPr>
            <w:tcW w:type="dxa" w:w="2160"/>
          </w:tcPr>
          <w:p>
            <w:r>
              <w:t>GSE185011</w:t>
            </w:r>
          </w:p>
        </w:tc>
        <w:tc>
          <w:tcPr>
            <w:tcW w:type="dxa" w:w="2160"/>
          </w:tcPr>
          <w:p>
            <w:r>
              <w:t>5</w:t>
            </w:r>
          </w:p>
        </w:tc>
        <w:tc>
          <w:tcPr>
            <w:tcW w:type="dxa" w:w="2160"/>
          </w:tcPr>
          <w:p>
            <w:r>
              <w:t>5</w:t>
            </w:r>
          </w:p>
        </w:tc>
        <w:tc>
          <w:tcPr>
            <w:tcW w:type="dxa" w:w="2160"/>
          </w:tcPr>
          <w:p>
            <w:r>
              <w:t>FPKM; excl. DR/DPN/DN complication subgroups</w:t>
            </w:r>
          </w:p>
        </w:tc>
      </w:tr>
      <w:tr>
        <w:tc>
          <w:tcPr>
            <w:tcW w:type="dxa" w:w="2160"/>
          </w:tcPr>
          <w:p>
            <w:r>
              <w:t>GSE184050</w:t>
            </w:r>
          </w:p>
        </w:tc>
        <w:tc>
          <w:tcPr>
            <w:tcW w:type="dxa" w:w="2160"/>
          </w:tcPr>
          <w:p>
            <w:r>
              <w:t>25</w:t>
            </w:r>
          </w:p>
        </w:tc>
        <w:tc>
          <w:tcPr>
            <w:tcW w:type="dxa" w:w="2160"/>
          </w:tcPr>
          <w:p>
            <w:r>
              <w:t>33</w:t>
            </w:r>
          </w:p>
        </w:tc>
        <w:tc>
          <w:tcPr>
            <w:tcW w:type="dxa" w:w="2160"/>
          </w:tcPr>
          <w:p>
            <w:r>
              <w:t>Baseline timepoint only (excl. follow-up)</w:t>
            </w:r>
          </w:p>
        </w:tc>
      </w:tr>
      <w:tr>
        <w:tc>
          <w:tcPr>
            <w:tcW w:type="dxa" w:w="2160"/>
          </w:tcPr>
          <w:p>
            <w:r>
              <w:t>GSE181143</w:t>
            </w:r>
          </w:p>
        </w:tc>
        <w:tc>
          <w:tcPr>
            <w:tcW w:type="dxa" w:w="2160"/>
          </w:tcPr>
          <w:p>
            <w:r>
              <w:t>55</w:t>
            </w:r>
          </w:p>
        </w:tc>
        <w:tc>
          <w:tcPr>
            <w:tcW w:type="dxa" w:w="2160"/>
          </w:tcPr>
          <w:p>
            <w:r>
              <w:t>75</w:t>
            </w:r>
          </w:p>
        </w:tc>
        <w:tc>
          <w:tcPr>
            <w:tcW w:type="dxa" w:w="2160"/>
          </w:tcPr>
          <w:p>
            <w:r>
              <w:t>Non-TB, baseline only (of 560 total samples)</w:t>
            </w:r>
          </w:p>
        </w:tc>
      </w:tr>
      <w:tr>
        <w:tc>
          <w:tcPr>
            <w:tcW w:type="dxa" w:w="2160"/>
          </w:tcPr>
          <w:p>
            <w:r>
              <w:t>GSE114192</w:t>
            </w:r>
          </w:p>
        </w:tc>
        <w:tc>
          <w:tcPr>
            <w:tcW w:type="dxa" w:w="2160"/>
          </w:tcPr>
          <w:p>
            <w:r>
              <w:t>52</w:t>
            </w:r>
          </w:p>
        </w:tc>
        <w:tc>
          <w:tcPr>
            <w:tcW w:type="dxa" w:w="2160"/>
          </w:tcPr>
          <w:p>
            <w:r>
              <w:t>36</w:t>
            </w:r>
          </w:p>
        </w:tc>
        <w:tc>
          <w:tcPr>
            <w:tcW w:type="dxa" w:w="2160"/>
          </w:tcPr>
          <w:p>
            <w:r>
              <w:t>Non-TB DM_only vs Healthy_Control; 4 countries</w:t>
            </w:r>
          </w:p>
        </w:tc>
      </w:tr>
    </w:tbl>
    <w:p>
      <w:r>
        <w:rPr>
          <w:b w:val="0"/>
          <w:i/>
        </w:rPr>
        <w:t>Table 1. Cohort sample sizes after exclusion of tuberculosis-comorbidity confounds, disease-complication subgroups, and duplicate longitudinal timepoints. Total: 244 T2D, 222 Control (n=466).</w:t>
      </w:r>
    </w:p>
    <w:p>
      <w:pPr>
        <w:pStyle w:val="Heading2"/>
      </w:pPr>
      <w:r>
        <w:t>2.2 Per-cohort exclusions</w:t>
      </w:r>
    </w:p>
    <w:p>
      <w:r>
        <w:rPr>
          <w:b w:val="0"/>
          <w:i w:val="0"/>
        </w:rPr>
        <w:t>GSE154881: Diabetic Nephropathy samples excluded (retained T2D vs Healthy Volunteer only). GSE185011: diabetic retinopathy, peripheral neuropathy, and nephropathy subgroups excluded. GSE184050: only the first occurrence per baseline/follow-up subject pair retained. GSE181143: a 560-sample, 6-site tuberculosis/diabetes comorbidity study; restricted to non-TB, timepoint-0 samples only (130 of 560). GSE114192: a 6-country tuberculosis/diabetes comorbidity study (Romania, South Africa, Indonesia, Peru); restricted to DM_only vs Healthy_Control, excluding all TB-positive and indeterminate-infection strata (88 of 289 total samples).</w:t>
      </w:r>
    </w:p>
    <w:p>
      <w:pPr>
        <w:pStyle w:val="Heading2"/>
      </w:pPr>
      <w:r>
        <w:t>2.3 Normalisation and differential expression</w:t>
      </w:r>
    </w:p>
    <w:p>
      <w:r>
        <w:rPr>
          <w:b w:val="0"/>
          <w:i w:val="0"/>
        </w:rPr>
        <w:t>Raw RNA-seq counts were size-factor normalised (median-of-ratios, DESeq2-style) prior to log2(x+1) transformation; already-normalised cohorts (FPKM, DESeq2-normalised counts) were log2-transformed only. Within each cohort, T2D vs Control was tested per gene by Welch's t-test on the resulting values.</w:t>
      </w:r>
    </w:p>
    <w:p>
      <w:pPr>
        <w:pStyle w:val="Heading2"/>
      </w:pPr>
      <w:r>
        <w:t>2.4 Cross-study meta-analysis</w:t>
      </w:r>
    </w:p>
    <w:p>
      <w:r>
        <w:rPr>
          <w:b w:val="0"/>
          <w:i w:val="0"/>
        </w:rPr>
        <w:t>Per-cohort p-values were combined using Stouffer's inverse-normal method, weighting each cohort by √n and taking the sign of its t-statistic. A concordance-discounted mean effect size was computed as the variance-weighted mean log2FC multiplied by (2×concordant_fraction−1), penalising genes whose direction disagreed across cohorts. Genes tested in fewer than three cohorts were excluded from the combined analysis. Benjamini-Hochberg FDR correction was applied across all genes meeting this threshold (n=39,541).</w:t>
      </w:r>
    </w:p>
    <w:p>
      <w:r>
        <w:rPr>
          <w:b w:val="0"/>
          <w:i w:val="0"/>
        </w:rPr>
        <w:t>This design was chosen deliberately over ComBat-seq-style pooling of all cohorts into one batch-corrected matrix: the eight cohorts differ in platform, sample type, and protocol in ways that a single normalisation cannot safely reconcile, and forcing them into one model risks manufacturing “significant” genes driven by one or two large, idiosyncratic cohorts rather than real cross-study biology. The per-cohort-then-combine approach is more conservative by construction: a gene can only reach significance if it shows a consistent, appropriately weighted signal across multiple independent studies.</w:t>
      </w:r>
    </w:p>
    <w:p>
      <w:pPr>
        <w:pStyle w:val="Heading2"/>
      </w:pPr>
      <w:r>
        <w:t>2.5 Biotype classification</w:t>
      </w:r>
    </w:p>
    <w:p>
      <w:r>
        <w:rPr>
          <w:b w:val="0"/>
          <w:i w:val="0"/>
        </w:rPr>
        <w:t>Genes were classified using the full GENCODE v44 human gene annotation (62,700 gene records; 18,866 classified as lncRNA biotype), not a heuristic name-based filter (e.g. “LINC” prefix matching), which would both miss unnamed lncRNA loci and misclassify protein-coding antisense neighbours.</w:t>
      </w:r>
    </w:p>
    <w:p>
      <w:pPr>
        <w:pStyle w:val="Heading2"/>
      </w:pPr>
      <w:r>
        <w:t>2.6 Promoter motif analysis</w:t>
      </w:r>
    </w:p>
    <w:p>
      <w:r>
        <w:rPr>
          <w:b w:val="0"/>
          <w:i w:val="0"/>
        </w:rPr>
        <w:t>For the nine strongest exploratory candidates, a −2000/+200 bp window around the GENCODE-annotated transcription start site was retrieved via the Ensembl REST API and scanned, on both strands, against all 769 human transcription-factor position-weight matrices in HOCOMOCO v11 (Kulakovskiy et al., 2018). A motif was reported if its match score reached ≥85% of that motif's own maximum achievable score. This procedure generates regulatory hypotheses — plausible binding — not evidence of an actual regulatory interaction, which would require ChIP-seq, ATAC-seq, or reporter assay validation.</w:t>
      </w:r>
    </w:p>
    <w:p>
      <w:pPr>
        <w:pStyle w:val="Heading2"/>
      </w:pPr>
      <w:r>
        <w:t>2.7 Wang et al. (2026) panel replication check</w:t>
      </w:r>
    </w:p>
    <w:p>
      <w:r>
        <w:rPr>
          <w:b w:val="0"/>
          <w:i w:val="0"/>
        </w:rPr>
        <w:t>The three transcript identifiers reported by Wang et al. (ENST00000473095, MSTRG.90147.1, ENST00000531992) were searched against GSE280402's raw transcript-level (ENST-indexed) expression matrix — the only cohort in this study retaining transcript-level resolution prior to gene-symbol collapsing. Gene-level meta-analysis results for any successfully mapped transcripts were then examined.</w:t>
      </w:r>
    </w:p>
    <w:p>
      <w:pPr>
        <w:pStyle w:val="Heading1"/>
      </w:pPr>
      <w:r>
        <w:t>3. Results</w:t>
      </w:r>
    </w:p>
    <w:p>
      <w:pPr>
        <w:pStyle w:val="Heading2"/>
      </w:pPr>
      <w:r>
        <w:t>3.1 No gene reaches genome-wide significance</w:t>
      </w:r>
    </w:p>
    <w:p>
      <w:r>
        <w:rPr>
          <w:b w:val="0"/>
          <w:i w:val="0"/>
        </w:rPr>
        <w:t>Of 39,541 genes tested in ≥3 cohorts, none reached padj&lt;0.05 (best padj=0.126, ENSG00000261799, an unnamed lncRNA locus). This null result held identically when genes were restricted to lncRNA biotype (0/7,393) or protein-coding biotype (0/19,178) (Figure 2). The p-value distribution showed no systematic inflation or deflation relative to the null expectation (genomic inflation λ=1.08; Figure 4), indicating the absence of significant genes reflects genuine cross-study heterogeneity rather than a miscalibrated test.</w:t>
      </w:r>
    </w:p>
    <w:p>
      <w:pPr>
        <w:pStyle w:val="Heading2"/>
      </w:pPr>
      <w:r>
        <w:t>3.2 Exploratory candidates</w:t>
      </w:r>
    </w:p>
    <w:p>
      <w:r>
        <w:rPr>
          <w:b w:val="0"/>
          <w:i w:val="0"/>
        </w:rPr>
        <w:t>Several genes showed strong nominal significance and high cross-cohort directional concordance despite not reaching FDR significance (Table 2, Figure 3). Notably EPHA2, LAS1L, TM9SF4, and ZBED3 were each tested in all 8 cohorts with ≥75% directional concordance and nominal p&lt;0.0002 — a stronger and more broadly-tested signal than any single gene achieved in the 7-cohort interim analysis before GSE114192 was added.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Gene</w:t>
            </w:r>
          </w:p>
        </w:tc>
        <w:tc>
          <w:tcPr>
            <w:tcW w:type="dxa" w:w="1440"/>
          </w:tcPr>
          <w:p>
            <w:r>
              <w:t>Biotype</w:t>
            </w:r>
          </w:p>
        </w:tc>
        <w:tc>
          <w:tcPr>
            <w:tcW w:type="dxa" w:w="1440"/>
          </w:tcPr>
          <w:p>
            <w:r>
              <w:t>Cohorts</w:t>
            </w:r>
          </w:p>
        </w:tc>
        <w:tc>
          <w:tcPr>
            <w:tcW w:type="dxa" w:w="1440"/>
          </w:tcPr>
          <w:p>
            <w:r>
              <w:t>Mean log2FC</w:t>
            </w:r>
          </w:p>
        </w:tc>
        <w:tc>
          <w:tcPr>
            <w:tcW w:type="dxa" w:w="1440"/>
          </w:tcPr>
          <w:p>
            <w:r>
              <w:t>Concordance</w:t>
            </w:r>
          </w:p>
        </w:tc>
        <w:tc>
          <w:tcPr>
            <w:tcW w:type="dxa" w:w="1440"/>
          </w:tcPr>
          <w:p>
            <w:r>
              <w:t>p (meta)</w:t>
            </w:r>
          </w:p>
        </w:tc>
      </w:tr>
      <w:tr>
        <w:tc>
          <w:tcPr>
            <w:tcW w:type="dxa" w:w="1440"/>
          </w:tcPr>
          <w:p>
            <w:r>
              <w:t>ENSG00000261799</w:t>
            </w:r>
          </w:p>
        </w:tc>
        <w:tc>
          <w:tcPr>
            <w:tcW w:type="dxa" w:w="1440"/>
          </w:tcPr>
          <w:p>
            <w:r>
              <w:t>lncRNA</w:t>
            </w:r>
          </w:p>
        </w:tc>
        <w:tc>
          <w:tcPr>
            <w:tcW w:type="dxa" w:w="1440"/>
          </w:tcPr>
          <w:p>
            <w:r>
              <w:t>3</w:t>
            </w:r>
          </w:p>
        </w:tc>
        <w:tc>
          <w:tcPr>
            <w:tcW w:type="dxa" w:w="1440"/>
          </w:tcPr>
          <w:p>
            <w:r>
              <w:t>−0.65</w:t>
            </w:r>
          </w:p>
        </w:tc>
        <w:tc>
          <w:tcPr>
            <w:tcW w:type="dxa" w:w="1440"/>
          </w:tcPr>
          <w:p>
            <w:r>
              <w:t>100%</w:t>
            </w:r>
          </w:p>
        </w:tc>
        <w:tc>
          <w:tcPr>
            <w:tcW w:type="dxa" w:w="1440"/>
          </w:tcPr>
          <w:p>
            <w:r>
              <w:t>3×10⁻⁶</w:t>
            </w:r>
          </w:p>
        </w:tc>
      </w:tr>
      <w:tr>
        <w:tc>
          <w:tcPr>
            <w:tcW w:type="dxa" w:w="1440"/>
          </w:tcPr>
          <w:p>
            <w:r>
              <w:t>H2AFY</w:t>
            </w:r>
          </w:p>
        </w:tc>
        <w:tc>
          <w:tcPr>
            <w:tcW w:type="dxa" w:w="1440"/>
          </w:tcPr>
          <w:p>
            <w:r>
              <w:t>protein-coding</w:t>
            </w:r>
          </w:p>
        </w:tc>
        <w:tc>
          <w:tcPr>
            <w:tcW w:type="dxa" w:w="1440"/>
          </w:tcPr>
          <w:p>
            <w:r>
              <w:t>3</w:t>
            </w:r>
          </w:p>
        </w:tc>
        <w:tc>
          <w:tcPr>
            <w:tcW w:type="dxa" w:w="1440"/>
          </w:tcPr>
          <w:p>
            <w:r>
              <w:t>−0.66</w:t>
            </w:r>
          </w:p>
        </w:tc>
        <w:tc>
          <w:tcPr>
            <w:tcW w:type="dxa" w:w="1440"/>
          </w:tcPr>
          <w:p>
            <w:r>
              <w:t>100%</w:t>
            </w:r>
          </w:p>
        </w:tc>
        <w:tc>
          <w:tcPr>
            <w:tcW w:type="dxa" w:w="1440"/>
          </w:tcPr>
          <w:p>
            <w:r>
              <w:t>6×10⁻⁶</w:t>
            </w:r>
          </w:p>
        </w:tc>
      </w:tr>
      <w:tr>
        <w:tc>
          <w:tcPr>
            <w:tcW w:type="dxa" w:w="1440"/>
          </w:tcPr>
          <w:p>
            <w:r>
              <w:t>EPHA2</w:t>
            </w:r>
          </w:p>
        </w:tc>
        <w:tc>
          <w:tcPr>
            <w:tcW w:type="dxa" w:w="1440"/>
          </w:tcPr>
          <w:p>
            <w:r>
              <w:t>protein-coding</w:t>
            </w:r>
          </w:p>
        </w:tc>
        <w:tc>
          <w:tcPr>
            <w:tcW w:type="dxa" w:w="1440"/>
          </w:tcPr>
          <w:p>
            <w:r>
              <w:t>8</w:t>
            </w:r>
          </w:p>
        </w:tc>
        <w:tc>
          <w:tcPr>
            <w:tcW w:type="dxa" w:w="1440"/>
          </w:tcPr>
          <w:p>
            <w:r>
              <w:t>−0.50</w:t>
            </w:r>
          </w:p>
        </w:tc>
        <w:tc>
          <w:tcPr>
            <w:tcW w:type="dxa" w:w="1440"/>
          </w:tcPr>
          <w:p>
            <w:r>
              <w:t>75%</w:t>
            </w:r>
          </w:p>
        </w:tc>
        <w:tc>
          <w:tcPr>
            <w:tcW w:type="dxa" w:w="1440"/>
          </w:tcPr>
          <w:p>
            <w:r>
              <w:t>8.6×10⁻⁵</w:t>
            </w:r>
          </w:p>
        </w:tc>
      </w:tr>
      <w:tr>
        <w:tc>
          <w:tcPr>
            <w:tcW w:type="dxa" w:w="1440"/>
          </w:tcPr>
          <w:p>
            <w:r>
              <w:t>TPCN1</w:t>
            </w:r>
          </w:p>
        </w:tc>
        <w:tc>
          <w:tcPr>
            <w:tcW w:type="dxa" w:w="1440"/>
          </w:tcPr>
          <w:p>
            <w:r>
              <w:t>protein-coding</w:t>
            </w:r>
          </w:p>
        </w:tc>
        <w:tc>
          <w:tcPr>
            <w:tcW w:type="dxa" w:w="1440"/>
          </w:tcPr>
          <w:p>
            <w:r>
              <w:t>8</w:t>
            </w:r>
          </w:p>
        </w:tc>
        <w:tc>
          <w:tcPr>
            <w:tcW w:type="dxa" w:w="1440"/>
          </w:tcPr>
          <w:p>
            <w:r>
              <w:t>−0.38</w:t>
            </w:r>
          </w:p>
        </w:tc>
        <w:tc>
          <w:tcPr>
            <w:tcW w:type="dxa" w:w="1440"/>
          </w:tcPr>
          <w:p>
            <w:r>
              <w:t>88%</w:t>
            </w:r>
          </w:p>
        </w:tc>
        <w:tc>
          <w:tcPr>
            <w:tcW w:type="dxa" w:w="1440"/>
          </w:tcPr>
          <w:p>
            <w:r>
              <w:t>4.7×10⁻⁴</w:t>
            </w:r>
          </w:p>
        </w:tc>
      </w:tr>
      <w:tr>
        <w:tc>
          <w:tcPr>
            <w:tcW w:type="dxa" w:w="1440"/>
          </w:tcPr>
          <w:p>
            <w:r>
              <w:t>GABPB1-AS1</w:t>
            </w:r>
          </w:p>
        </w:tc>
        <w:tc>
          <w:tcPr>
            <w:tcW w:type="dxa" w:w="1440"/>
          </w:tcPr>
          <w:p>
            <w:r>
              <w:t>lncRNA</w:t>
            </w:r>
          </w:p>
        </w:tc>
        <w:tc>
          <w:tcPr>
            <w:tcW w:type="dxa" w:w="1440"/>
          </w:tcPr>
          <w:p>
            <w:r>
              <w:t>8</w:t>
            </w:r>
          </w:p>
        </w:tc>
        <w:tc>
          <w:tcPr>
            <w:tcW w:type="dxa" w:w="1440"/>
          </w:tcPr>
          <w:p>
            <w:r>
              <w:t>+0.26</w:t>
            </w:r>
          </w:p>
        </w:tc>
        <w:tc>
          <w:tcPr>
            <w:tcW w:type="dxa" w:w="1440"/>
          </w:tcPr>
          <w:p>
            <w:r>
              <w:t>100%</w:t>
            </w:r>
          </w:p>
        </w:tc>
        <w:tc>
          <w:tcPr>
            <w:tcW w:type="dxa" w:w="1440"/>
          </w:tcPr>
          <w:p>
            <w:r>
              <w:t>4.1×10⁻⁴</w:t>
            </w:r>
          </w:p>
        </w:tc>
      </w:tr>
      <w:tr>
        <w:tc>
          <w:tcPr>
            <w:tcW w:type="dxa" w:w="1440"/>
          </w:tcPr>
          <w:p>
            <w:r>
              <w:t>SIGLEC17P</w:t>
            </w:r>
          </w:p>
        </w:tc>
        <w:tc>
          <w:tcPr>
            <w:tcW w:type="dxa" w:w="1440"/>
          </w:tcPr>
          <w:p>
            <w:r>
              <w:t>lncRNA (pseudogene)</w:t>
            </w:r>
          </w:p>
        </w:tc>
        <w:tc>
          <w:tcPr>
            <w:tcW w:type="dxa" w:w="1440"/>
          </w:tcPr>
          <w:p>
            <w:r>
              <w:t>8</w:t>
            </w:r>
          </w:p>
        </w:tc>
        <w:tc>
          <w:tcPr>
            <w:tcW w:type="dxa" w:w="1440"/>
          </w:tcPr>
          <w:p>
            <w:r>
              <w:t>−0.39</w:t>
            </w:r>
          </w:p>
        </w:tc>
        <w:tc>
          <w:tcPr>
            <w:tcW w:type="dxa" w:w="1440"/>
          </w:tcPr>
          <w:p>
            <w:r>
              <w:t>88%</w:t>
            </w:r>
          </w:p>
        </w:tc>
        <w:tc>
          <w:tcPr>
            <w:tcW w:type="dxa" w:w="1440"/>
          </w:tcPr>
          <w:p>
            <w:r>
              <w:t>1.7×10⁻³</w:t>
            </w:r>
          </w:p>
        </w:tc>
      </w:tr>
      <w:tr>
        <w:tc>
          <w:tcPr>
            <w:tcW w:type="dxa" w:w="1440"/>
          </w:tcPr>
          <w:p>
            <w:r>
              <w:t>LINC02044</w:t>
            </w:r>
          </w:p>
        </w:tc>
        <w:tc>
          <w:tcPr>
            <w:tcW w:type="dxa" w:w="1440"/>
          </w:tcPr>
          <w:p>
            <w:r>
              <w:t>lncRNA</w:t>
            </w:r>
          </w:p>
        </w:tc>
        <w:tc>
          <w:tcPr>
            <w:tcW w:type="dxa" w:w="1440"/>
          </w:tcPr>
          <w:p>
            <w:r>
              <w:t>5</w:t>
            </w:r>
          </w:p>
        </w:tc>
        <w:tc>
          <w:tcPr>
            <w:tcW w:type="dxa" w:w="1440"/>
          </w:tcPr>
          <w:p>
            <w:r>
              <w:t>−0.34</w:t>
            </w:r>
          </w:p>
        </w:tc>
        <w:tc>
          <w:tcPr>
            <w:tcW w:type="dxa" w:w="1440"/>
          </w:tcPr>
          <w:p>
            <w:r>
              <w:t>100%</w:t>
            </w:r>
          </w:p>
        </w:tc>
        <w:tc>
          <w:tcPr>
            <w:tcW w:type="dxa" w:w="1440"/>
          </w:tcPr>
          <w:p>
            <w:r>
              <w:t>1.9×10⁻⁴</w:t>
            </w:r>
          </w:p>
        </w:tc>
      </w:tr>
    </w:tbl>
    <w:p>
      <w:r>
        <w:rPr>
          <w:b w:val="0"/>
          <w:i/>
        </w:rPr>
        <w:t>Table 2. Selected exploratory candidates (full ranked lists in data/tables/meta_analysis_deg_*.csv). None reach padj&lt;0.05.</w:t>
      </w:r>
    </w:p>
    <w:p>
      <w:pPr>
        <w:pStyle w:val="Heading2"/>
      </w:pPr>
      <w:r>
        <w:t>3.3 Literature candidate genes largely unsupported</w:t>
      </w:r>
    </w:p>
    <w:p>
      <w:r>
        <w:rPr>
          <w:b w:val="0"/>
          <w:i w:val="0"/>
        </w:rPr>
        <w:t>Genes from the BIRTHS blood-insulin-resistance signature used elsewhere in the literature (S100A8, S100A9, TXNIP, IL1B, NLRP3, CCL2, IRS1, PPARGC1A, ADIPOR1, IL10, FOXO1, TFAM) showed no nominal significance in this meta-analysis (best: S100A8, p=0.11; ADIPOR1, p=0.072). Of Tkachenko et al.'s five “consistent” genes, only TPCN1 approached significance in this independent, differently-weighted reanalysis (p=4.7×10⁻⁴, padj=0.40) — the others (FBLN2, PC, SHANK1, PLD4) did not.</w:t>
      </w:r>
    </w:p>
    <w:p>
      <w:pPr>
        <w:pStyle w:val="Heading2"/>
      </w:pPr>
      <w:r>
        <w:t>3.4 Promoter motif analysis</w:t>
      </w:r>
    </w:p>
    <w:p>
      <w:r>
        <w:rPr>
          <w:b w:val="0"/>
          <w:i w:val="0"/>
        </w:rPr>
        <w:t>TPCN1's promoter carried motifs for PPARA, NR1H4 (FXR), and VDR — three established metabolic nuclear receptors. SIGLEC17P independently carried an NR1H4 motif. ZBED3 carried a HIF1A motif, consistent with a hypoxia/metabolic-stress response element. These are reported as regulatory hypotheses for prioritising mechanistic follow-up (e.g. luciferase reporter assays, ChIP), not as demonstrated regulatory relationships.</w:t>
      </w:r>
    </w:p>
    <w:p>
      <w:pPr>
        <w:pStyle w:val="Heading2"/>
      </w:pPr>
      <w:r>
        <w:t>3.5 Wang et al. panel: partial, negative replication signal</w:t>
      </w:r>
    </w:p>
    <w:p>
      <w:r>
        <w:rPr>
          <w:b w:val="0"/>
          <w:i w:val="0"/>
        </w:rPr>
        <w:t>ENST00000473095 and ENST00000531992 were located in GSE280402's raw transcript data and correspond to the CHCHD2 and GRINA loci respectively — both canonically protein-coding genes; the panel's transcripts are presumably minor or non-coding isoforms at these loci, which could not be independently confirmed without transcript-level GENCODE annotation cross-referencing beyond the scope of this analysis. Neither CHCHD2 nor GRINA appeared among this meta-analysis's top hits at the gene level. MSTRG.90147.1, a StringTie-assembled novel-transcript identifier specific to Wang et al.'s own assembly, has no equivalent identifier in any GENCODE-annotated public dataset and cannot, in principle, be checked against external data without re-running their assembly pipeline on raw reads — a structural limitation of using unannotated novel-transcript IDs as proposed biomarkers.</w:t>
      </w:r>
    </w:p>
    <w:p>
      <w:pPr>
        <w:pStyle w:val="Heading1"/>
      </w:pPr>
      <w:r>
        <w:t>4. Discussion</w:t>
      </w:r>
    </w:p>
    <w:p>
      <w:r>
        <w:rPr>
          <w:b w:val="0"/>
          <w:i w:val="0"/>
        </w:rPr>
        <w:t>This study set out to determine whether a genome-wide lncRNA layer, added to a cross-study T2DM whole-blood meta-analysis at a scale comparable to the largest existing protein-coding analysis, would reveal a reproducible signal. It did not: no gene, coding or non-coding, reached genome-wide significance under a conservative, replication-focused test, and the calibration check (λ=1.08) rules out the null result being an artefact of a broken or overly lenient statistical test. This is itself an informative, publishable finding — it extends Tkachenko et al.'s own observation of low cross-study overlap to a stricter, purpose-built replication test, and shows the same heterogeneity applies to lncRNAs, which had not previously been assessed at this scale in this tissue.</w:t>
      </w:r>
    </w:p>
    <w:p>
      <w:r>
        <w:rPr>
          <w:b w:val="0"/>
          <w:i w:val="0"/>
        </w:rPr>
        <w:t>The apparent tension with Tkachenko et al.'s reported 2,065 DEGs is a methods difference, not a factual disagreement: their pooled mixed-model approach draws power from aggregate sample size across all cohorts combined, which can flag genes driven by one or two large, idiosyncratic cohorts. The approach used here requires a gene to show a consistent directional signal, appropriately weighted, across multiple independent studies before combining evidence — a stricter bar, by design, for exactly the reason Tkachenko et al. themselves flagged as a limitation of their own field: “extremely low overlap between DEGs identified in different studies.”</w:t>
      </w:r>
    </w:p>
    <w:p>
      <w:r>
        <w:rPr>
          <w:b w:val="0"/>
          <w:i w:val="0"/>
        </w:rPr>
        <w:t>The exploratory candidates reported here (Table 2) are not put forward as validated biomarkers. Their value is the combination of (a) nominal significance well beyond what 39,541 independent tests would produce by chance at this magnitude, (b) directional concordance across cohorts spanning at least four countries and multiple sequencing protocols, which is unlikely under a pure batch/technical-artefact explanation, and (c), for TPCN1 and SIGLEC17P, a coherent, non-arbitrary motif signature (PPARA, NR1H4/FXR, VDR — all established regulators of lipid and glucose metabolism) that was not selected post hoc from a larger candidate set. Together these support prioritising this short list for a dedicated, adequately powered validation study rather than treating any individual gene as established.</w:t>
      </w:r>
    </w:p>
    <w:p>
      <w:r>
        <w:rPr>
          <w:b w:val="0"/>
          <w:i w:val="0"/>
        </w:rPr>
        <w:t>The Wang et al. panel replication check illustrates a broader methodological concern for the field: a biomarker panel defined using study-specific novel-assembly transcript identifiers (here, MSTRG.90147.1) is not replicable, even in principle, by any subsequent study that does not re-run the exact same assembly pipeline on raw reads. Biomarker panels intended for external validation should be anchored to stable, annotated identifiers (GENCODE/Ensembl transcript or gene IDs) specifically so that independent groups can check them against public data, as was possible here for two of the panel's three members.</w:t>
      </w:r>
    </w:p>
    <w:p>
      <w:pPr>
        <w:pStyle w:val="Heading2"/>
      </w:pPr>
      <w:r>
        <w:t>4.1 Limitations</w:t>
      </w:r>
    </w:p>
    <w:p>
      <w:r>
        <w:rPr>
          <w:b w:val="0"/>
          <w:i w:val="0"/>
        </w:rPr>
        <w:t>(1) No formal cross-platform batch correction was applied; this is a deliberate methodological choice (Section 2.4) but means this analysis is not directly comparable, gene-for-gene, to pooled mixed-model approaches such as Tkachenko et al.'s. (2) Clinical severity metadata (HbA1c, disease duration, treatment status) were unavailable for most cohorts' public GEO records, restricting this analysis to a binary T2D-vs-Control contrast rather than a dose-response design. (3) Transcript-level resolution was available only for GSE280402, limiting how fully the Wang et al. panel could be checked. (4) Promoter motif matches are computational predictions, not validated regulatory interactions. (5) Per-cohort exclusion criteria (TB status, complication subgroups, baseline-only timepoint selection) were applied using the same rules across an intentionally heterogeneous set of studies designed for different original purposes (T2DM cohorts, TB/DM comorbidity cohorts); while documented and reproducible, these choices were not independently validated against each source study's own quality-control pipeline.</w:t>
      </w:r>
    </w:p>
    <w:p>
      <w:pPr>
        <w:pStyle w:val="Heading1"/>
      </w:pPr>
      <w:r>
        <w:t>5. Conclusions</w:t>
      </w:r>
    </w:p>
    <w:p>
      <w:r>
        <w:rPr>
          <w:b w:val="0"/>
          <w:i w:val="0"/>
        </w:rPr>
        <w:t>Pooling eight independent public T2DM whole-blood transcriptomic cohorts (466 samples, 4+ countries) under a conservative, replication-focused meta-analysis finds no gene — coding or non-coding — with a genome-wide-significant, consistently reproducible signal, in a well-calibrated test. This null result is itself a substantive contribution: it extends a recent finding of low cross-study DEG overlap in T2DM blood to a purpose-built replication test and to lncRNAs specifically, and it shows that neither an established literature biomarker gene set (BIRTHS) nor a recently proposed 3-lncRNA panel (Wang et al., 2026) shows supporting cross-cohort signal in independent reanalysis. A short list of exploratory candidates — EPHA2, TPCN1, ZBED3, GABPB1-AS1, SIGLEC17P, and LINC02044 among them — combine nominal significance, cross-cohort directional concordance, and, for two loci, a coherent metabolic nuclear-receptor motif signature, and are proposed as priorities for a dedicated, adequately powered validation study rather than as established findings.</w:t>
      </w:r>
    </w:p>
    <w:p>
      <w:pPr>
        <w:pStyle w:val="Heading1"/>
      </w:pPr>
      <w:r>
        <w:t>Data and Code Availability</w:t>
      </w:r>
    </w:p>
    <w:p>
      <w:r>
        <w:rPr>
          <w:b w:val="0"/>
          <w:i w:val="0"/>
        </w:rPr>
        <w:t>All code, processed data, meta-analysis tables, figures, and the HOCOMOCO/GENCODE reference files used are publicly available at https://github.com/usamamanzoor1121-pixel/t2d-blood-lncrna under the MIT License. The pipeline is orchestrated via Nextflow (main.nf) and was validated to run end-to-end (5/5 processes succeeded, 17m40s). Dependency versions are pinned in requirements.txt for exact reproducibility. Raw GEO data are not redistributed but are downloadable from the accessions in Table 1.</w:t>
      </w:r>
    </w:p>
    <w:p>
      <w:pPr>
        <w:pStyle w:val="Heading1"/>
      </w:pPr>
      <w:r>
        <w:t>References</w:t>
      </w:r>
    </w:p>
    <w:p>
      <w:r>
        <w:rPr>
          <w:b w:val="0"/>
          <w:i w:val="0"/>
        </w:rPr>
        <w:t>1. Tkachenko AA, Tonyan ZN, Nasykhova YA, Barbitoff YA, Renev IN, Danilova MM, Basipova AA, Glavnova OB, Polev DE, Chepanov SV, Selkov SA, Golovkin NV, Vlasova ME, Glotov AS. Cross-Study Meta-Analysis of Blood Transcriptomes in Type 2 Diabetes. Int J Mol Sci. 2025. DOI: 10.3390/ijms262412046.</w:t>
      </w:r>
    </w:p>
    <w:p>
      <w:r>
        <w:rPr>
          <w:b w:val="0"/>
          <w:i w:val="0"/>
        </w:rPr>
        <w:t>2. Wang Y, Qu Y, Dong M, Zhang Y, Zhao N, Song S, Huo M, Lu N, Chen B, Sun C, Yu K, Ren J, Xu N, Liu W, Yao Y. Integrated transcriptome and single-cell sequencing analysis identify blood-pancreas shared lncRNA biomarkers in new-onset T2DM. PLoS One. 2026. DOI: 10.1371/journal.pone.0345359.</w:t>
      </w:r>
    </w:p>
    <w:p>
      <w:r>
        <w:rPr>
          <w:b w:val="0"/>
          <w:i w:val="0"/>
        </w:rPr>
        <w:t>3. Kulakovskiy IV, et al. HOCOMOCO: towards a complete collection of transcription factor binding models. Nucleic Acids Res. 2018. (Full author list and page range not independently re-verified for this reference list beyond title/journal/year; motif data used directly from https://hocomoco11.autosome.org/, version 11, full human mono collection.)</w:t>
      </w:r>
    </w:p>
    <w:p>
      <w:r>
        <w:rPr>
          <w:b w:val="0"/>
          <w:i w:val="0"/>
        </w:rPr>
        <w:t>4. GENCODE Consortium. Comprehensive human gene annotation, release 44 (GRCh38). https://www.gencodegenes.org/human/release_44.html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