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4D23A" w14:textId="77777777" w:rsidR="00F1133B" w:rsidRPr="00F1133B" w:rsidRDefault="00F1133B" w:rsidP="00F1133B">
      <w:pPr>
        <w:rPr>
          <w:b/>
          <w:bCs/>
          <w:u w:val="single"/>
        </w:rPr>
      </w:pPr>
      <w:r w:rsidRPr="00F1133B">
        <w:rPr>
          <w:b/>
          <w:bCs/>
          <w:u w:val="single"/>
        </w:rPr>
        <w:t>Proposed Team Structure: Prisma Access Professional Services</w:t>
      </w:r>
    </w:p>
    <w:p w14:paraId="6560DC5D" w14:textId="1628F160" w:rsidR="00F1133B" w:rsidRDefault="00F1133B" w:rsidP="00923680">
      <w:pPr>
        <w:jc w:val="both"/>
      </w:pPr>
      <w:r>
        <w:t xml:space="preserve">Thank you for your interest in </w:t>
      </w:r>
      <w:r w:rsidR="00923680">
        <w:t>partnering</w:t>
      </w:r>
      <w:r>
        <w:t xml:space="preserve"> Palo Alto Networks for your Prisma Access deployment. To ensure an effective, comprehensive, and secure deployment for HTC, we have assembled a highly qualified Professional Services team. Our team members possess deep technical knowledge, industry-recognized certifications, and demonstrated competencies aligned with your specific project requirements. </w:t>
      </w:r>
    </w:p>
    <w:p w14:paraId="2DE68485" w14:textId="77777777" w:rsidR="00F1133B" w:rsidRPr="00F1133B" w:rsidRDefault="00F1133B" w:rsidP="00F1133B">
      <w:pPr>
        <w:rPr>
          <w:b/>
          <w:bCs/>
          <w:u w:val="single"/>
        </w:rPr>
      </w:pPr>
      <w:r w:rsidRPr="00F1133B">
        <w:rPr>
          <w:b/>
          <w:bCs/>
          <w:u w:val="single"/>
        </w:rPr>
        <w:t xml:space="preserve"> Team Structure and Roles</w:t>
      </w:r>
    </w:p>
    <w:p w14:paraId="09C3D4B5" w14:textId="77777777" w:rsidR="00F1133B" w:rsidRDefault="00F1133B" w:rsidP="00923680">
      <w:pPr>
        <w:jc w:val="both"/>
      </w:pPr>
      <w:r>
        <w:t>Our Professional Services methodology utilizes a structured, outcome-based approach. The team is structured to provide both technical excellence and robust project governance. The core team consists of the following key roles:</w:t>
      </w:r>
    </w:p>
    <w:p w14:paraId="4AC05424" w14:textId="77777777" w:rsidR="00F1133B" w:rsidRPr="00F1133B" w:rsidRDefault="00F1133B" w:rsidP="00F1133B">
      <w:pPr>
        <w:rPr>
          <w:b/>
          <w:bCs/>
          <w:u w:val="single"/>
        </w:rPr>
      </w:pPr>
      <w:r w:rsidRPr="00F1133B">
        <w:rPr>
          <w:b/>
          <w:bCs/>
          <w:u w:val="single"/>
        </w:rPr>
        <w:t xml:space="preserve"> 1. Project Manager (PM)</w:t>
      </w:r>
    </w:p>
    <w:p w14:paraId="4F68CEC1" w14:textId="77777777" w:rsidR="00F1133B" w:rsidRDefault="00F1133B" w:rsidP="00F1133B">
      <w:r>
        <w:t xml:space="preserve">The Project Manager leads the services project throughout the delivery lifecycle. </w:t>
      </w:r>
    </w:p>
    <w:p w14:paraId="1AC7711D" w14:textId="77777777" w:rsidR="00F1133B" w:rsidRDefault="00F1133B" w:rsidP="00923680">
      <w:pPr>
        <w:jc w:val="both"/>
      </w:pPr>
      <w:r w:rsidRPr="00F1133B">
        <w:rPr>
          <w:b/>
          <w:bCs/>
        </w:rPr>
        <w:t>* Responsibilities:</w:t>
      </w:r>
      <w:r>
        <w:t xml:space="preserve"> Coordinates all deployment resources to ensure deliverables are timely, within budget, and aligned with project milestones. The PM tracks deployment status, manages risks, and serves as the primary point of contact for project governance.</w:t>
      </w:r>
    </w:p>
    <w:p w14:paraId="0D6D00DC" w14:textId="77777777" w:rsidR="00F1133B" w:rsidRDefault="00F1133B" w:rsidP="00923680">
      <w:pPr>
        <w:jc w:val="both"/>
      </w:pPr>
      <w:r w:rsidRPr="00F1133B">
        <w:rPr>
          <w:b/>
          <w:bCs/>
        </w:rPr>
        <w:t>* Competencies:</w:t>
      </w:r>
      <w:r>
        <w:t xml:space="preserve"> Proven experience in managing complex cybersecurity and SASE deployments. Strong background in stakeholder communication and operational alignment.</w:t>
      </w:r>
    </w:p>
    <w:p w14:paraId="48C39608" w14:textId="77777777" w:rsidR="00F1133B" w:rsidRDefault="00F1133B" w:rsidP="00923680">
      <w:pPr>
        <w:jc w:val="both"/>
      </w:pPr>
      <w:r w:rsidRPr="00F1133B">
        <w:rPr>
          <w:b/>
          <w:bCs/>
        </w:rPr>
        <w:t>* Relevant Certifications:</w:t>
      </w:r>
      <w:r>
        <w:t xml:space="preserve"> Project Management Professional (PMP), ITIL, or equivalent industry certifications.</w:t>
      </w:r>
    </w:p>
    <w:p w14:paraId="5D4156E7" w14:textId="77777777" w:rsidR="00F1133B" w:rsidRDefault="00F1133B" w:rsidP="00F1133B">
      <w:pPr>
        <w:rPr>
          <w:b/>
          <w:bCs/>
          <w:u w:val="single"/>
        </w:rPr>
      </w:pPr>
    </w:p>
    <w:p w14:paraId="784EBC8E" w14:textId="414A5F93" w:rsidR="00F1133B" w:rsidRPr="00F1133B" w:rsidRDefault="00F1133B" w:rsidP="00923680">
      <w:pPr>
        <w:jc w:val="both"/>
        <w:rPr>
          <w:b/>
          <w:bCs/>
          <w:u w:val="single"/>
        </w:rPr>
      </w:pPr>
      <w:r w:rsidRPr="00F1133B">
        <w:rPr>
          <w:b/>
          <w:bCs/>
          <w:u w:val="single"/>
        </w:rPr>
        <w:t xml:space="preserve"> 2. Professional Services Consulting Engineer</w:t>
      </w:r>
    </w:p>
    <w:p w14:paraId="63BBACAF" w14:textId="3CE8F3B6" w:rsidR="00F1133B" w:rsidRDefault="00F1133B" w:rsidP="00923680">
      <w:pPr>
        <w:jc w:val="both"/>
      </w:pPr>
      <w:r>
        <w:t>The Consulting Engineer acts as the lead technical authority and architect for the Prisma Access deployment.</w:t>
      </w:r>
    </w:p>
    <w:p w14:paraId="31DCAFC9" w14:textId="77777777" w:rsidR="00F1133B" w:rsidRDefault="00F1133B" w:rsidP="00923680">
      <w:pPr>
        <w:jc w:val="both"/>
      </w:pPr>
      <w:r w:rsidRPr="00F1133B">
        <w:rPr>
          <w:b/>
          <w:bCs/>
        </w:rPr>
        <w:t>* Responsibilities:</w:t>
      </w:r>
      <w:r>
        <w:t xml:space="preserve"> Works alongside your team to assist with the rapid and comprehensive adoption of the security platform. Provides deep technical knowledge in product implementation, architecture design, and best practices. Assists with configuration, policy setup, integrations, and coordination between HTC and internal Palo Alto Networks teams (Support, Engineering).</w:t>
      </w:r>
    </w:p>
    <w:p w14:paraId="7A506F4F" w14:textId="77777777" w:rsidR="00F1133B" w:rsidRDefault="00F1133B" w:rsidP="00923680">
      <w:pPr>
        <w:jc w:val="both"/>
      </w:pPr>
    </w:p>
    <w:p w14:paraId="7ACB19DD" w14:textId="77777777" w:rsidR="00F1133B" w:rsidRDefault="00F1133B" w:rsidP="00923680">
      <w:pPr>
        <w:jc w:val="both"/>
      </w:pPr>
      <w:r w:rsidRPr="00F1133B">
        <w:rPr>
          <w:b/>
          <w:bCs/>
        </w:rPr>
        <w:lastRenderedPageBreak/>
        <w:t>* Competencies:</w:t>
      </w:r>
      <w:r>
        <w:t xml:space="preserve"> Extensive expertise in network topology, SASE architectures, and cloud-native security. Experience navigating large-scale infrastructure changes and competitive migrations.</w:t>
      </w:r>
    </w:p>
    <w:p w14:paraId="54C75996" w14:textId="77777777" w:rsidR="00F1133B" w:rsidRDefault="00F1133B" w:rsidP="00923680">
      <w:pPr>
        <w:jc w:val="both"/>
      </w:pPr>
      <w:r w:rsidRPr="00F1133B">
        <w:rPr>
          <w:b/>
          <w:bCs/>
        </w:rPr>
        <w:t>* Relevant Certifications:</w:t>
      </w:r>
      <w:r>
        <w:t xml:space="preserve"> Palo Alto Networks Certified Network Security Engineer (PCNSE), Palo Alto Networks Certified Network Security Consultant (PCNSC), and relevant cloud/networking certifications.</w:t>
      </w:r>
    </w:p>
    <w:p w14:paraId="7EC4C37A" w14:textId="77777777" w:rsidR="00F1133B" w:rsidRDefault="00F1133B" w:rsidP="00923680">
      <w:pPr>
        <w:jc w:val="both"/>
      </w:pPr>
    </w:p>
    <w:p w14:paraId="5D8C266A" w14:textId="77777777" w:rsidR="00F1133B" w:rsidRPr="00F1133B" w:rsidRDefault="00F1133B" w:rsidP="00923680">
      <w:pPr>
        <w:jc w:val="both"/>
        <w:rPr>
          <w:b/>
          <w:bCs/>
          <w:u w:val="single"/>
        </w:rPr>
      </w:pPr>
      <w:r w:rsidRPr="00F1133B">
        <w:rPr>
          <w:b/>
          <w:bCs/>
          <w:u w:val="single"/>
        </w:rPr>
        <w:t>Key Personnel Resumes</w:t>
      </w:r>
    </w:p>
    <w:p w14:paraId="0E10A4D5" w14:textId="5AD8740D" w:rsidR="005A5040" w:rsidRDefault="00F1133B" w:rsidP="00923680">
      <w:pPr>
        <w:jc w:val="both"/>
      </w:pPr>
      <w:r>
        <w:t>As requested, we have provided detailed Curriculum Vitales (CVs) for the proposed consultants. These resumes highlight their extensive background, hands-on deployment experience, and the specific qualifications that make them the ideal fit for this engagement.</w:t>
      </w:r>
    </w:p>
    <w:p w14:paraId="05511D59" w14:textId="2F25E797" w:rsidR="00F1133B" w:rsidRDefault="009F5BA0" w:rsidP="00F1133B">
      <w:r>
        <w:object w:dxaOrig="1543" w:dyaOrig="1000" w14:anchorId="0A8D428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2pt;height:50.1pt" o:ole="">
            <v:imagedata r:id="rId7" o:title=""/>
          </v:shape>
          <o:OLEObject Type="Embed" ProgID="Acrobat.Document.DC" ShapeID="_x0000_i1025" DrawAspect="Icon" ObjectID="_1850293702" r:id="rId8"/>
        </w:object>
      </w:r>
    </w:p>
    <w:p w14:paraId="3C83B361" w14:textId="77777777" w:rsidR="00F1133B" w:rsidRDefault="00F1133B" w:rsidP="00F1133B"/>
    <w:p w14:paraId="4CBCBB8C" w14:textId="644EB8F9" w:rsidR="00F1133B" w:rsidRDefault="00F1133B" w:rsidP="00F1133B">
      <w:r>
        <w:object w:dxaOrig="1543" w:dyaOrig="1000" w14:anchorId="3B1B1D6C">
          <v:shape id="_x0000_i1026" type="#_x0000_t75" style="width:77.2pt;height:50.1pt" o:ole="">
            <v:imagedata r:id="rId9" o:title=""/>
          </v:shape>
          <o:OLEObject Type="Embed" ProgID="Acrobat.Document.DC" ShapeID="_x0000_i1026" DrawAspect="Icon" ObjectID="_1850293703" r:id="rId10"/>
        </w:object>
      </w:r>
    </w:p>
    <w:p w14:paraId="510132F7" w14:textId="2D906768" w:rsidR="00F1133B" w:rsidRDefault="00720B3D" w:rsidP="00F1133B">
      <w:r>
        <w:object w:dxaOrig="1543" w:dyaOrig="1000" w14:anchorId="7BD6F313">
          <v:shape id="_x0000_i1029" type="#_x0000_t75" style="width:77.2pt;height:50.1pt" o:ole="">
            <v:imagedata r:id="rId11" o:title=""/>
          </v:shape>
          <o:OLEObject Type="Embed" ProgID="Acrobat.Document.DC" ShapeID="_x0000_i1029" DrawAspect="Icon" ObjectID="_1850293704" r:id="rId12"/>
        </w:object>
      </w:r>
    </w:p>
    <w:p w14:paraId="29E05678" w14:textId="77777777" w:rsidR="00F1133B" w:rsidRDefault="00F1133B" w:rsidP="00F1133B"/>
    <w:sectPr w:rsidR="00F1133B" w:rsidSect="00F1133B">
      <w:headerReference w:type="default" r:id="rId13"/>
      <w:pgSz w:w="12240" w:h="15840"/>
      <w:pgMar w:top="1440" w:right="1440" w:bottom="1440" w:left="1440" w:header="18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1E89D1" w14:textId="77777777" w:rsidR="004F78A1" w:rsidRDefault="004F78A1" w:rsidP="00F1133B">
      <w:pPr>
        <w:spacing w:after="0" w:line="240" w:lineRule="auto"/>
      </w:pPr>
      <w:r>
        <w:separator/>
      </w:r>
    </w:p>
  </w:endnote>
  <w:endnote w:type="continuationSeparator" w:id="0">
    <w:p w14:paraId="01638729" w14:textId="77777777" w:rsidR="004F78A1" w:rsidRDefault="004F78A1" w:rsidP="00F113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0B96A5" w14:textId="77777777" w:rsidR="004F78A1" w:rsidRDefault="004F78A1" w:rsidP="00F1133B">
      <w:pPr>
        <w:spacing w:after="0" w:line="240" w:lineRule="auto"/>
      </w:pPr>
      <w:r>
        <w:separator/>
      </w:r>
    </w:p>
  </w:footnote>
  <w:footnote w:type="continuationSeparator" w:id="0">
    <w:p w14:paraId="4CCBCFC9" w14:textId="77777777" w:rsidR="004F78A1" w:rsidRDefault="004F78A1" w:rsidP="00F113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630" w:type="dxa"/>
      <w:tblInd w:w="90" w:type="dxa"/>
      <w:tblBorders>
        <w:top w:val="none" w:sz="0" w:space="0" w:color="auto"/>
        <w:left w:val="none" w:sz="0" w:space="0" w:color="auto"/>
        <w:bottom w:val="single" w:sz="4" w:space="0" w:color="auto"/>
        <w:right w:val="none" w:sz="0" w:space="0" w:color="auto"/>
        <w:insideH w:val="none" w:sz="0" w:space="0" w:color="auto"/>
        <w:insideV w:val="none" w:sz="0" w:space="0" w:color="auto"/>
      </w:tblBorders>
      <w:tblCellMar>
        <w:left w:w="72" w:type="dxa"/>
        <w:right w:w="72" w:type="dxa"/>
      </w:tblCellMar>
      <w:tblLook w:val="04A0" w:firstRow="1" w:lastRow="0" w:firstColumn="1" w:lastColumn="0" w:noHBand="0" w:noVBand="1"/>
    </w:tblPr>
    <w:tblGrid>
      <w:gridCol w:w="9630"/>
    </w:tblGrid>
    <w:tr w:rsidR="00F1133B" w:rsidRPr="00E212AF" w14:paraId="246BD758" w14:textId="77777777" w:rsidTr="00F1133B">
      <w:trPr>
        <w:trHeight w:val="346"/>
      </w:trPr>
      <w:tc>
        <w:tcPr>
          <w:tcW w:w="9630" w:type="dxa"/>
          <w:tcBorders>
            <w:top w:val="nil"/>
            <w:left w:val="nil"/>
            <w:bottom w:val="nil"/>
            <w:right w:val="nil"/>
          </w:tcBorders>
          <w:vAlign w:val="center"/>
        </w:tcPr>
        <w:p w14:paraId="635A90A4" w14:textId="44D0E36D" w:rsidR="00F1133B" w:rsidRPr="00E212AF" w:rsidRDefault="00F1133B" w:rsidP="00F1133B">
          <w:pPr>
            <w:pStyle w:val="MyHeader"/>
            <w:ind w:left="109"/>
            <w:jc w:val="left"/>
            <w:rPr>
              <w:b/>
              <w:bCs/>
              <w:color w:val="0070C0"/>
            </w:rPr>
          </w:pPr>
          <w:r>
            <w:rPr>
              <w:noProof/>
            </w:rPr>
            <w:drawing>
              <wp:inline distT="0" distB="0" distL="0" distR="0" wp14:anchorId="67C9ADCD" wp14:editId="3F1D7F2B">
                <wp:extent cx="1305469" cy="342900"/>
                <wp:effectExtent l="0" t="0" r="9525" b="0"/>
                <wp:docPr id="3109252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17094" cy="345953"/>
                        </a:xfrm>
                        <a:prstGeom prst="rect">
                          <a:avLst/>
                        </a:prstGeom>
                        <a:noFill/>
                        <a:ln>
                          <a:noFill/>
                        </a:ln>
                      </pic:spPr>
                    </pic:pic>
                  </a:graphicData>
                </a:graphic>
              </wp:inline>
            </w:drawing>
          </w:r>
          <w:r>
            <w:tab/>
            <w:t xml:space="preserve">                                                                                 </w:t>
          </w:r>
          <w:r w:rsidRPr="005C046B">
            <w:rPr>
              <w:b/>
              <w:bCs/>
            </w:rPr>
            <w:fldChar w:fldCharType="begin"/>
          </w:r>
          <w:r w:rsidRPr="005C046B">
            <w:rPr>
              <w:b/>
              <w:bCs/>
            </w:rPr>
            <w:instrText xml:space="preserve"> DOCPROPERTY  ProposalType  \* MERGEFORMAT </w:instrText>
          </w:r>
          <w:r w:rsidRPr="005C046B">
            <w:rPr>
              <w:b/>
              <w:bCs/>
            </w:rPr>
            <w:fldChar w:fldCharType="separate"/>
          </w:r>
          <w:r>
            <w:rPr>
              <w:b/>
              <w:bCs/>
            </w:rPr>
            <w:t>TECHNICAL</w:t>
          </w:r>
          <w:r w:rsidRPr="005C046B">
            <w:rPr>
              <w:b/>
              <w:bCs/>
            </w:rPr>
            <w:fldChar w:fldCharType="end"/>
          </w:r>
          <w:r w:rsidRPr="005C046B">
            <w:rPr>
              <w:b/>
              <w:bCs/>
            </w:rPr>
            <w:t xml:space="preserve"> PROPOSAL</w:t>
          </w:r>
          <w:r>
            <w:rPr>
              <w:b/>
              <w:bCs/>
            </w:rPr>
            <w:t xml:space="preserve"> - VERSION 1</w:t>
          </w:r>
        </w:p>
      </w:tc>
    </w:tr>
    <w:tr w:rsidR="00F1133B" w:rsidRPr="005C046B" w14:paraId="6E44630D" w14:textId="77777777" w:rsidTr="00F1133B">
      <w:trPr>
        <w:trHeight w:val="274"/>
      </w:trPr>
      <w:tc>
        <w:tcPr>
          <w:tcW w:w="9630" w:type="dxa"/>
          <w:tcBorders>
            <w:top w:val="nil"/>
          </w:tcBorders>
          <w:vAlign w:val="center"/>
        </w:tcPr>
        <w:p w14:paraId="583116CC" w14:textId="77777777" w:rsidR="00F1133B" w:rsidRPr="005C046B" w:rsidRDefault="00F1133B" w:rsidP="00F1133B">
          <w:pPr>
            <w:pStyle w:val="MyHeader"/>
            <w:ind w:left="109"/>
            <w:jc w:val="right"/>
            <w:rPr>
              <w:b/>
              <w:bCs/>
            </w:rPr>
          </w:pPr>
          <w:r>
            <w:rPr>
              <w:b/>
              <w:bCs/>
              <w:color w:val="0070C0"/>
            </w:rPr>
            <w:t xml:space="preserve">HCT - </w:t>
          </w:r>
          <w:r w:rsidRPr="00800E8E">
            <w:rPr>
              <w:b/>
              <w:bCs/>
              <w:color w:val="7F7F7F" w:themeColor="text1" w:themeTint="80"/>
            </w:rPr>
            <w:t>Secure Access Service Edge (SASE) – 3 years</w:t>
          </w:r>
          <w:r>
            <w:rPr>
              <w:b/>
              <w:bCs/>
              <w:i/>
              <w:iCs/>
              <w:color w:val="7F7F7F" w:themeColor="text1" w:themeTint="80"/>
            </w:rPr>
            <w:t xml:space="preserve"> </w:t>
          </w:r>
        </w:p>
      </w:tc>
    </w:tr>
  </w:tbl>
  <w:p w14:paraId="290FF1CB" w14:textId="688C5008" w:rsidR="00F1133B" w:rsidRDefault="00F1133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871DF"/>
    <w:multiLevelType w:val="hybridMultilevel"/>
    <w:tmpl w:val="8F9CC31C"/>
    <w:lvl w:ilvl="0" w:tplc="AE882FBC">
      <w:start w:val="1"/>
      <w:numFmt w:val="bullet"/>
      <w:lvlText w:val="o"/>
      <w:lvlJc w:val="left"/>
      <w:pPr>
        <w:ind w:left="114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92763D36">
      <w:start w:val="1"/>
      <w:numFmt w:val="bullet"/>
      <w:lvlText w:val="o"/>
      <w:lvlJc w:val="left"/>
      <w:pPr>
        <w:ind w:left="183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B22E1F80">
      <w:start w:val="1"/>
      <w:numFmt w:val="bullet"/>
      <w:lvlText w:val="▪"/>
      <w:lvlJc w:val="left"/>
      <w:pPr>
        <w:ind w:left="255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C616C270">
      <w:start w:val="1"/>
      <w:numFmt w:val="bullet"/>
      <w:lvlText w:val="•"/>
      <w:lvlJc w:val="left"/>
      <w:pPr>
        <w:ind w:left="327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C97887CC">
      <w:start w:val="1"/>
      <w:numFmt w:val="bullet"/>
      <w:lvlText w:val="o"/>
      <w:lvlJc w:val="left"/>
      <w:pPr>
        <w:ind w:left="399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37B0CE0A">
      <w:start w:val="1"/>
      <w:numFmt w:val="bullet"/>
      <w:lvlText w:val="▪"/>
      <w:lvlJc w:val="left"/>
      <w:pPr>
        <w:ind w:left="471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CC28B798">
      <w:start w:val="1"/>
      <w:numFmt w:val="bullet"/>
      <w:lvlText w:val="•"/>
      <w:lvlJc w:val="left"/>
      <w:pPr>
        <w:ind w:left="543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CDCCA4C2">
      <w:start w:val="1"/>
      <w:numFmt w:val="bullet"/>
      <w:lvlText w:val="o"/>
      <w:lvlJc w:val="left"/>
      <w:pPr>
        <w:ind w:left="615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46BAC450">
      <w:start w:val="1"/>
      <w:numFmt w:val="bullet"/>
      <w:lvlText w:val="▪"/>
      <w:lvlJc w:val="left"/>
      <w:pPr>
        <w:ind w:left="687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E7D1285"/>
    <w:multiLevelType w:val="hybridMultilevel"/>
    <w:tmpl w:val="7362FAA8"/>
    <w:lvl w:ilvl="0" w:tplc="94946036">
      <w:start w:val="1"/>
      <w:numFmt w:val="bullet"/>
      <w:lvlText w:val="o"/>
      <w:lvlJc w:val="left"/>
      <w:pPr>
        <w:ind w:left="1096"/>
      </w:pPr>
      <w:rPr>
        <w:rFonts w:ascii="Courier New" w:eastAsia="Courier New" w:hAnsi="Courier New" w:cs="Courier New"/>
        <w:b w:val="0"/>
        <w:i w:val="0"/>
        <w:strike w:val="0"/>
        <w:dstrike w:val="0"/>
        <w:color w:val="404040"/>
        <w:sz w:val="18"/>
        <w:szCs w:val="18"/>
        <w:u w:val="none" w:color="000000"/>
        <w:bdr w:val="none" w:sz="0" w:space="0" w:color="auto"/>
        <w:shd w:val="clear" w:color="auto" w:fill="auto"/>
        <w:vertAlign w:val="baseline"/>
      </w:rPr>
    </w:lvl>
    <w:lvl w:ilvl="1" w:tplc="66261998">
      <w:start w:val="1"/>
      <w:numFmt w:val="bullet"/>
      <w:lvlText w:val="o"/>
      <w:lvlJc w:val="left"/>
      <w:pPr>
        <w:ind w:left="1802"/>
      </w:pPr>
      <w:rPr>
        <w:rFonts w:ascii="Courier New" w:eastAsia="Courier New" w:hAnsi="Courier New" w:cs="Courier New"/>
        <w:b w:val="0"/>
        <w:i w:val="0"/>
        <w:strike w:val="0"/>
        <w:dstrike w:val="0"/>
        <w:color w:val="404040"/>
        <w:sz w:val="18"/>
        <w:szCs w:val="18"/>
        <w:u w:val="none" w:color="000000"/>
        <w:bdr w:val="none" w:sz="0" w:space="0" w:color="auto"/>
        <w:shd w:val="clear" w:color="auto" w:fill="auto"/>
        <w:vertAlign w:val="baseline"/>
      </w:rPr>
    </w:lvl>
    <w:lvl w:ilvl="2" w:tplc="3E1C3D60">
      <w:start w:val="1"/>
      <w:numFmt w:val="bullet"/>
      <w:lvlText w:val="▪"/>
      <w:lvlJc w:val="left"/>
      <w:pPr>
        <w:ind w:left="2522"/>
      </w:pPr>
      <w:rPr>
        <w:rFonts w:ascii="Courier New" w:eastAsia="Courier New" w:hAnsi="Courier New" w:cs="Courier New"/>
        <w:b w:val="0"/>
        <w:i w:val="0"/>
        <w:strike w:val="0"/>
        <w:dstrike w:val="0"/>
        <w:color w:val="404040"/>
        <w:sz w:val="18"/>
        <w:szCs w:val="18"/>
        <w:u w:val="none" w:color="000000"/>
        <w:bdr w:val="none" w:sz="0" w:space="0" w:color="auto"/>
        <w:shd w:val="clear" w:color="auto" w:fill="auto"/>
        <w:vertAlign w:val="baseline"/>
      </w:rPr>
    </w:lvl>
    <w:lvl w:ilvl="3" w:tplc="0F0CA95A">
      <w:start w:val="1"/>
      <w:numFmt w:val="bullet"/>
      <w:lvlText w:val="•"/>
      <w:lvlJc w:val="left"/>
      <w:pPr>
        <w:ind w:left="3242"/>
      </w:pPr>
      <w:rPr>
        <w:rFonts w:ascii="Courier New" w:eastAsia="Courier New" w:hAnsi="Courier New" w:cs="Courier New"/>
        <w:b w:val="0"/>
        <w:i w:val="0"/>
        <w:strike w:val="0"/>
        <w:dstrike w:val="0"/>
        <w:color w:val="404040"/>
        <w:sz w:val="18"/>
        <w:szCs w:val="18"/>
        <w:u w:val="none" w:color="000000"/>
        <w:bdr w:val="none" w:sz="0" w:space="0" w:color="auto"/>
        <w:shd w:val="clear" w:color="auto" w:fill="auto"/>
        <w:vertAlign w:val="baseline"/>
      </w:rPr>
    </w:lvl>
    <w:lvl w:ilvl="4" w:tplc="9496C0E6">
      <w:start w:val="1"/>
      <w:numFmt w:val="bullet"/>
      <w:lvlText w:val="o"/>
      <w:lvlJc w:val="left"/>
      <w:pPr>
        <w:ind w:left="3962"/>
      </w:pPr>
      <w:rPr>
        <w:rFonts w:ascii="Courier New" w:eastAsia="Courier New" w:hAnsi="Courier New" w:cs="Courier New"/>
        <w:b w:val="0"/>
        <w:i w:val="0"/>
        <w:strike w:val="0"/>
        <w:dstrike w:val="0"/>
        <w:color w:val="404040"/>
        <w:sz w:val="18"/>
        <w:szCs w:val="18"/>
        <w:u w:val="none" w:color="000000"/>
        <w:bdr w:val="none" w:sz="0" w:space="0" w:color="auto"/>
        <w:shd w:val="clear" w:color="auto" w:fill="auto"/>
        <w:vertAlign w:val="baseline"/>
      </w:rPr>
    </w:lvl>
    <w:lvl w:ilvl="5" w:tplc="DCBE0036">
      <w:start w:val="1"/>
      <w:numFmt w:val="bullet"/>
      <w:lvlText w:val="▪"/>
      <w:lvlJc w:val="left"/>
      <w:pPr>
        <w:ind w:left="4682"/>
      </w:pPr>
      <w:rPr>
        <w:rFonts w:ascii="Courier New" w:eastAsia="Courier New" w:hAnsi="Courier New" w:cs="Courier New"/>
        <w:b w:val="0"/>
        <w:i w:val="0"/>
        <w:strike w:val="0"/>
        <w:dstrike w:val="0"/>
        <w:color w:val="404040"/>
        <w:sz w:val="18"/>
        <w:szCs w:val="18"/>
        <w:u w:val="none" w:color="000000"/>
        <w:bdr w:val="none" w:sz="0" w:space="0" w:color="auto"/>
        <w:shd w:val="clear" w:color="auto" w:fill="auto"/>
        <w:vertAlign w:val="baseline"/>
      </w:rPr>
    </w:lvl>
    <w:lvl w:ilvl="6" w:tplc="50843FAC">
      <w:start w:val="1"/>
      <w:numFmt w:val="bullet"/>
      <w:lvlText w:val="•"/>
      <w:lvlJc w:val="left"/>
      <w:pPr>
        <w:ind w:left="5402"/>
      </w:pPr>
      <w:rPr>
        <w:rFonts w:ascii="Courier New" w:eastAsia="Courier New" w:hAnsi="Courier New" w:cs="Courier New"/>
        <w:b w:val="0"/>
        <w:i w:val="0"/>
        <w:strike w:val="0"/>
        <w:dstrike w:val="0"/>
        <w:color w:val="404040"/>
        <w:sz w:val="18"/>
        <w:szCs w:val="18"/>
        <w:u w:val="none" w:color="000000"/>
        <w:bdr w:val="none" w:sz="0" w:space="0" w:color="auto"/>
        <w:shd w:val="clear" w:color="auto" w:fill="auto"/>
        <w:vertAlign w:val="baseline"/>
      </w:rPr>
    </w:lvl>
    <w:lvl w:ilvl="7" w:tplc="200E0604">
      <w:start w:val="1"/>
      <w:numFmt w:val="bullet"/>
      <w:lvlText w:val="o"/>
      <w:lvlJc w:val="left"/>
      <w:pPr>
        <w:ind w:left="6122"/>
      </w:pPr>
      <w:rPr>
        <w:rFonts w:ascii="Courier New" w:eastAsia="Courier New" w:hAnsi="Courier New" w:cs="Courier New"/>
        <w:b w:val="0"/>
        <w:i w:val="0"/>
        <w:strike w:val="0"/>
        <w:dstrike w:val="0"/>
        <w:color w:val="404040"/>
        <w:sz w:val="18"/>
        <w:szCs w:val="18"/>
        <w:u w:val="none" w:color="000000"/>
        <w:bdr w:val="none" w:sz="0" w:space="0" w:color="auto"/>
        <w:shd w:val="clear" w:color="auto" w:fill="auto"/>
        <w:vertAlign w:val="baseline"/>
      </w:rPr>
    </w:lvl>
    <w:lvl w:ilvl="8" w:tplc="0BD2D83C">
      <w:start w:val="1"/>
      <w:numFmt w:val="bullet"/>
      <w:lvlText w:val="▪"/>
      <w:lvlJc w:val="left"/>
      <w:pPr>
        <w:ind w:left="6842"/>
      </w:pPr>
      <w:rPr>
        <w:rFonts w:ascii="Courier New" w:eastAsia="Courier New" w:hAnsi="Courier New" w:cs="Courier New"/>
        <w:b w:val="0"/>
        <w:i w:val="0"/>
        <w:strike w:val="0"/>
        <w:dstrike w:val="0"/>
        <w:color w:val="404040"/>
        <w:sz w:val="18"/>
        <w:szCs w:val="18"/>
        <w:u w:val="none" w:color="000000"/>
        <w:bdr w:val="none" w:sz="0" w:space="0" w:color="auto"/>
        <w:shd w:val="clear" w:color="auto" w:fill="auto"/>
        <w:vertAlign w:val="baseline"/>
      </w:rPr>
    </w:lvl>
  </w:abstractNum>
  <w:num w:numId="1" w16cid:durableId="1571234236">
    <w:abstractNumId w:val="0"/>
  </w:num>
  <w:num w:numId="2" w16cid:durableId="15437147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33B"/>
    <w:rsid w:val="00082717"/>
    <w:rsid w:val="004F78A1"/>
    <w:rsid w:val="005A5040"/>
    <w:rsid w:val="00720B3D"/>
    <w:rsid w:val="00803ECC"/>
    <w:rsid w:val="00923680"/>
    <w:rsid w:val="009C7059"/>
    <w:rsid w:val="009F5BA0"/>
    <w:rsid w:val="00B6293B"/>
    <w:rsid w:val="00F1133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19A6B4"/>
  <w15:chartTrackingRefBased/>
  <w15:docId w15:val="{DFAEC069-D8F4-4C99-8BCE-58CE18263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13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13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13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13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13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13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13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13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13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113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13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13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13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13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13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13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13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133B"/>
    <w:rPr>
      <w:rFonts w:eastAsiaTheme="majorEastAsia" w:cstheme="majorBidi"/>
      <w:color w:val="272727" w:themeColor="text1" w:themeTint="D8"/>
    </w:rPr>
  </w:style>
  <w:style w:type="paragraph" w:styleId="Title">
    <w:name w:val="Title"/>
    <w:basedOn w:val="Normal"/>
    <w:next w:val="Normal"/>
    <w:link w:val="TitleChar"/>
    <w:uiPriority w:val="10"/>
    <w:qFormat/>
    <w:rsid w:val="00F113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13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13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13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133B"/>
    <w:pPr>
      <w:spacing w:before="160"/>
      <w:jc w:val="center"/>
    </w:pPr>
    <w:rPr>
      <w:i/>
      <w:iCs/>
      <w:color w:val="404040" w:themeColor="text1" w:themeTint="BF"/>
    </w:rPr>
  </w:style>
  <w:style w:type="character" w:customStyle="1" w:styleId="QuoteChar">
    <w:name w:val="Quote Char"/>
    <w:basedOn w:val="DefaultParagraphFont"/>
    <w:link w:val="Quote"/>
    <w:uiPriority w:val="29"/>
    <w:rsid w:val="00F1133B"/>
    <w:rPr>
      <w:i/>
      <w:iCs/>
      <w:color w:val="404040" w:themeColor="text1" w:themeTint="BF"/>
    </w:rPr>
  </w:style>
  <w:style w:type="paragraph" w:styleId="ListParagraph">
    <w:name w:val="List Paragraph"/>
    <w:basedOn w:val="Normal"/>
    <w:uiPriority w:val="34"/>
    <w:qFormat/>
    <w:rsid w:val="00F1133B"/>
    <w:pPr>
      <w:ind w:left="720"/>
      <w:contextualSpacing/>
    </w:pPr>
  </w:style>
  <w:style w:type="character" w:styleId="IntenseEmphasis">
    <w:name w:val="Intense Emphasis"/>
    <w:basedOn w:val="DefaultParagraphFont"/>
    <w:uiPriority w:val="21"/>
    <w:qFormat/>
    <w:rsid w:val="00F1133B"/>
    <w:rPr>
      <w:i/>
      <w:iCs/>
      <w:color w:val="0F4761" w:themeColor="accent1" w:themeShade="BF"/>
    </w:rPr>
  </w:style>
  <w:style w:type="paragraph" w:styleId="IntenseQuote">
    <w:name w:val="Intense Quote"/>
    <w:basedOn w:val="Normal"/>
    <w:next w:val="Normal"/>
    <w:link w:val="IntenseQuoteChar"/>
    <w:uiPriority w:val="30"/>
    <w:qFormat/>
    <w:rsid w:val="00F113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133B"/>
    <w:rPr>
      <w:i/>
      <w:iCs/>
      <w:color w:val="0F4761" w:themeColor="accent1" w:themeShade="BF"/>
    </w:rPr>
  </w:style>
  <w:style w:type="character" w:styleId="IntenseReference">
    <w:name w:val="Intense Reference"/>
    <w:basedOn w:val="DefaultParagraphFont"/>
    <w:uiPriority w:val="32"/>
    <w:qFormat/>
    <w:rsid w:val="00F1133B"/>
    <w:rPr>
      <w:b/>
      <w:bCs/>
      <w:smallCaps/>
      <w:color w:val="0F4761" w:themeColor="accent1" w:themeShade="BF"/>
      <w:spacing w:val="5"/>
    </w:rPr>
  </w:style>
  <w:style w:type="paragraph" w:styleId="Header">
    <w:name w:val="header"/>
    <w:basedOn w:val="Normal"/>
    <w:link w:val="HeaderChar"/>
    <w:uiPriority w:val="99"/>
    <w:unhideWhenUsed/>
    <w:rsid w:val="00F113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133B"/>
  </w:style>
  <w:style w:type="paragraph" w:styleId="Footer">
    <w:name w:val="footer"/>
    <w:basedOn w:val="Normal"/>
    <w:link w:val="FooterChar"/>
    <w:uiPriority w:val="99"/>
    <w:unhideWhenUsed/>
    <w:rsid w:val="00F113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133B"/>
  </w:style>
  <w:style w:type="table" w:styleId="TableGrid">
    <w:name w:val="Table Grid"/>
    <w:aliases w:val="FireEye Table (Blue),Mandiant Table (Red)"/>
    <w:basedOn w:val="TableNormal"/>
    <w:uiPriority w:val="39"/>
    <w:rsid w:val="00F1133B"/>
    <w:pPr>
      <w:spacing w:after="0" w:line="240" w:lineRule="auto"/>
    </w:pPr>
    <w:rPr>
      <w:rFonts w:ascii="Calibri" w:eastAsia="Calibri" w:hAnsi="Calibri"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MyHeader">
    <w:name w:val="My Header"/>
    <w:basedOn w:val="Normal"/>
    <w:link w:val="MyHeaderChar"/>
    <w:autoRedefine/>
    <w:rsid w:val="00F1133B"/>
    <w:pPr>
      <w:spacing w:after="0" w:line="240" w:lineRule="auto"/>
      <w:ind w:left="634"/>
      <w:contextualSpacing/>
      <w:jc w:val="both"/>
    </w:pPr>
    <w:rPr>
      <w:rFonts w:ascii="Calibri" w:eastAsia="Calibri" w:hAnsi="Calibri" w:cs="Segoe UI"/>
      <w:kern w:val="0"/>
      <w:sz w:val="20"/>
      <w:szCs w:val="22"/>
      <w14:ligatures w14:val="none"/>
    </w:rPr>
  </w:style>
  <w:style w:type="character" w:customStyle="1" w:styleId="MyHeaderChar">
    <w:name w:val="My Header Char"/>
    <w:basedOn w:val="DefaultParagraphFont"/>
    <w:link w:val="MyHeader"/>
    <w:rsid w:val="00F1133B"/>
    <w:rPr>
      <w:rFonts w:ascii="Calibri" w:eastAsia="Calibri" w:hAnsi="Calibri" w:cs="Segoe UI"/>
      <w:kern w:val="0"/>
      <w:sz w:val="20"/>
      <w:szCs w:val="22"/>
      <w14:ligatures w14:val="none"/>
    </w:rPr>
  </w:style>
  <w:style w:type="table" w:customStyle="1" w:styleId="TableGrid0">
    <w:name w:val="TableGrid"/>
    <w:rsid w:val="00F1133B"/>
    <w:pPr>
      <w:spacing w:after="0" w:line="240" w:lineRule="auto"/>
    </w:pPr>
    <w:rPr>
      <w:rFonts w:eastAsiaTheme="minorEastAsia"/>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oleObject" Target="embeddings/oleObject3.bin"/><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emf"/><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oleObject" Target="embeddings/oleObject2.bin"/><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396</Words>
  <Characters>2262</Characters>
  <Application>Microsoft Office Word</Application>
  <DocSecurity>0</DocSecurity>
  <Lines>18</Lines>
  <Paragraphs>5</Paragraphs>
  <ScaleCrop>false</ScaleCrop>
  <Company/>
  <LinksUpToDate>false</LinksUpToDate>
  <CharactersWithSpaces>2653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Hemant Bhatia</dc:creator>
  <cp:keywords/>
  <dc:description/>
  <cp:lastModifiedBy>Hemant Bhatia</cp:lastModifiedBy>
  <cp:revision>4</cp:revision>
  <cp:lastPrinted>2026-09-02T08:48:00Z</cp:lastPrinted>
  <dcterms:created xsi:type="dcterms:W3CDTF">2026-09-02T08:34:00Z</dcterms:created>
  <dcterms:modified xsi:type="dcterms:W3CDTF">2026-09-07T09:41:00Z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2-bc88714345d2_Enabled">
    <vt:lpwstr>true</vt:lpwstr>
  </property>
  <property fmtid="{D5CDD505-2E9C-101B-9397-08002B2CF9AE}" pid="3" name="MSIP_Label_defa4170-0d19-0005-0002-bc88714345d2_SetDate">
    <vt:lpwstr>2026-09-02T08:47:58Z</vt:lpwstr>
  </property>
  <property fmtid="{D5CDD505-2E9C-101B-9397-08002B2CF9AE}" pid="4" name="MSIP_Label_defa4170-0d19-0005-0002-bc88714345d2_Method">
    <vt:lpwstr>Privileged</vt:lpwstr>
  </property>
  <property fmtid="{D5CDD505-2E9C-101B-9397-08002B2CF9AE}" pid="5" name="MSIP_Label_defa4170-0d19-0005-0002-bc88714345d2_Name">
    <vt:lpwstr>defa4170-0d19-0005-0002-bc88714345d2</vt:lpwstr>
  </property>
  <property fmtid="{D5CDD505-2E9C-101B-9397-08002B2CF9AE}" pid="6" name="MSIP_Label_defa4170-0d19-0005-0002-bc88714345d2_SiteId">
    <vt:lpwstr>f8732124-c5e2-4e51-9ce1-5530ffc7be54</vt:lpwstr>
  </property>
  <property fmtid="{D5CDD505-2E9C-101B-9397-08002B2CF9AE}" pid="7" name="MSIP_Label_defa4170-0d19-0005-0002-bc88714345d2_ActionId">
    <vt:lpwstr>7eadfc3c-e6a0-4711-b4ae-2108b29ae4cf</vt:lpwstr>
  </property>
  <property fmtid="{D5CDD505-2E9C-101B-9397-08002B2CF9AE}" pid="8" name="MSIP_Label_defa4170-0d19-0005-0002-bc88714345d2_ContentBits">
    <vt:lpwstr>0</vt:lpwstr>
  </property>
  <property fmtid="{D5CDD505-2E9C-101B-9397-08002B2CF9AE}" pid="9" name="MSIP_Label_defa4170-0d19-0005-0002-bc88714345d2_Tag">
    <vt:lpwstr>10, 0, 1, 1</vt:lpwstr>
  </property>
</Properties>
</file>