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Framework Coverage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2026-09-23 10:59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Document 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1906-20260923105958</w:t>
            </w:r>
          </w:p>
        </w:tc>
      </w:tr>
    </w:tbl>
    <w:p>
      <w:pPr>
        <w:pStyle w:val="Heading2"/>
        <w:spacing w:after="120" w:before="260"/>
      </w:pPr>
      <w:r>
        <w:t xml:space="preserve">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STANDARD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VERSION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TITLE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TEXT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MAPPED CONTROLS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COUNT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COVERED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control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to control physical and logical access to information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full lifecycle of identities shall be managed.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Authentication information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Allocation and management of authentication information shall be controlled.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A.5.23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Cloud services security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Processes for acquisition, use and exit of cloud services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TPR-01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A.5.30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for continuity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shall be planned and tested against continuity objectives.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BCP-01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 measures shall be applied to systems handling sensitive information.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Logging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Logs recording activities, exceptions and events shall be produced, stored and reviewed.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Monitoring activities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and systems shall be monitored for anomalous behaviour.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Use of 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for effective use of cryptography, including key management, shall be defined.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 shall be implemented and supported by user awareness.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1-2-3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Cybersecurity roles and responsibilities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Roles shall be defined, documented and assigned.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GOV-01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2-10-1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Approved cryptographic standards shall be applied to data at rest and in transit.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Event logs and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event logs shall be collected, retained and monitored.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and threat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 cybersecurity incident response capability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IR-01, 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and access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shall be granted on least privilege and need-to-know.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AC-02, 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Information system protection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Systems shall be protected from malware and unauthorized change.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2-5-1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 security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shall be segmented and protected at the perimeter.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Lawful basis and consent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Personal data shall only be processed on a lawful basis.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minimisation and retention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shall be limited to purpose and destroyed when no longer required.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of personal data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Appropriate organisational and technical measures shall protect personal data.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 notification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Breaches shall be notified to the competent authority without undue delay.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Cross-border transfer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Transfers outside the Kingdom are restricted and conditional.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 rights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subjects have rights of access, correction and destruction.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provisioning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security measures restrict access to protected assets.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AC-03,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external threats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implements measures against threats from outside its boundaries.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DLP-01, 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monitors components for anomalies indicative of malicious acts.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evaluation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evaluates security events to determine whether they are incidents.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CC8.1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Change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authorises, designs, tests and approves changes before implementation.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</w:tbl>
    <w:p>
      <w:pPr>
        <w:pStyle w:val="Heading2"/>
        <w:spacing w:after="120" w:before="260"/>
      </w:pPr>
      <w:r>
        <w:t xml:space="preserve">Unmapped clauses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Framework Coverage · OmniOps · generated 2026-09-23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Framework Coverage</dc:title>
  <dc:creator>Mahmoud Abdulaziz &lt;grc.manager@omniops.me&gt;</dc:creator>
  <dc:description>Framework Coverage — OmniOps</dc:description>
  <cp:lastModifiedBy>Un-named</cp:lastModifiedBy>
  <cp:revision>1</cp:revision>
  <dcterms:created xsi:type="dcterms:W3CDTF">2026-09-23T10:59:58.368Z</dcterms:created>
  <dcterms:modified xsi:type="dcterms:W3CDTF">2026-09-23T10:59:58.368Z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