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Annual Audit Plan</w:t>
      </w:r>
    </w:p>
    <w:p>
      <w:pPr>
        <w:spacing w:after="160"/>
      </w:pPr>
      <w:r>
        <w:rPr>
          <w:color w:val="55627A"/>
          <w:sz w:val="22"/>
          <w:szCs w:val="22"/>
        </w:rPr>
        <w:t xml:space="preserve">2026 Internal Audit Plan (2026) — Approved</w:t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 Internal Audit Plan (2026) — Approved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2026-09-24 22:36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Document reference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B7C7-20260924223635</w:t>
            </w:r>
          </w:p>
        </w:tc>
      </w:tr>
    </w:tbl>
    <w:p>
      <w:pPr>
        <w:pStyle w:val="Heading2"/>
        <w:spacing w:after="120" w:before="260"/>
      </w:pPr>
      <w:r>
        <w:t xml:space="preserve">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QUARTER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ENTITY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TYPE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RISK SCORE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TIER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BUDGET HOURS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LEAD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STATUS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RATIONALE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Q1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Order to cash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3.45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3.45).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Q1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Procure to pay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3.85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3.85).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Q1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Third-party and cloud management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ThirdParty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4.95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160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High (score 4.95). Never audited.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Q2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Treasury and cash management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3.83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3.83).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Q2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Personal data processing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4.5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160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High (score 4.5). Never audited.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Q3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Business continuity and recovery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3.57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3.57).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Q3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Identity and access management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4.35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160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High (score 4.35).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Q4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Core banking platform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System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4.3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160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High (score 4.3).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Q4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Payroll and HR operations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3.5).</w:t>
            </w:r>
          </w:p>
        </w:tc>
      </w:tr>
    </w:tbl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Annual Audit Plan · OmniOps · generated 2026-09-24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Annual Audit Plan</dc:title>
  <dc:creator>Mahmoud Abdulaziz &lt;grc.manager@omniops.me&gt;</dc:creator>
  <dc:description>Annual Audit Plan — OmniOps</dc:description>
  <cp:lastModifiedBy>Un-named</cp:lastModifiedBy>
  <cp:revision>1</cp:revision>
  <dcterms:created xsi:type="dcterms:W3CDTF">2026-09-24T22:36:35.332Z</dcterms:created>
  <dcterms:modified xsi:type="dcterms:W3CDTF">2026-09-24T22:36:35.332Z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