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Framework Coverage</w:t>
      </w:r>
    </w:p>
    <w:p>
      <w:pPr>
        <w:pStyle w:val="Heading2"/>
        <w:spacing w:after="120" w:before="260"/>
      </w:pPr>
      <w:r>
        <w:t xml:space="preserve">Provenance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Organisation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OmniOps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by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Mahmoud Abdulaziz &lt;grc.manager@omniops.me&gt;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Generated at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2026-09-24 22:36 UTC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Visibility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SUBTREE</w:t>
            </w:r>
          </w:p>
        </w:tc>
      </w:tr>
      <w:tr>
        <w:tc>
          <w:tcPr>
            <w:tcW w:type="pct" w:w="28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646F85"/>
                <w:sz w:val="17"/>
                <w:szCs w:val="17"/>
              </w:rPr>
              <w:t xml:space="preserve">Document reference</w:t>
            </w:r>
          </w:p>
        </w:tc>
        <w:tc>
          <w:tcPr>
            <w:tcW w:type="pct" w:w="72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B7C7-20260924223634</w:t>
            </w:r>
          </w:p>
        </w:tc>
      </w:tr>
    </w:tbl>
    <w:p>
      <w:pPr>
        <w:pStyle w:val="Heading2"/>
        <w:spacing w:after="120" w:before="260"/>
      </w:pPr>
      <w:r>
        <w:t xml:space="preserve">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STANDARD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VERSION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CLAUSE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CLAUSE TITLE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CLAUSE TEXT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MAPPED CONTROLS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COUNT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46F85"/>
                <w:sz w:val="16"/>
                <w:szCs w:val="16"/>
              </w:rPr>
              <w:t xml:space="preserve">COVERED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A.5.15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Access control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Rules to control physical and logical access to information shall be established.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AC-01, AC-04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A.5.16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Identity management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The full lifecycle of identities shall be managed.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AC-02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A.5.17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Authentication information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Allocation and management of authentication information shall be controlled.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AC-03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A.5.23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Cloud services security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Processes for acquisition, use and exit of cloud services shall be established.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TPR-01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A.5.30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ICT readiness for continuity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ICT readiness shall be planned and tested against continuity objectives.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BCP-01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A.8.12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Data leakage prevention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Data leakage prevention measures shall be applied to systems handling sensitive information.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DLP-01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A.8.15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Logging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Logs recording activities, exceptions and events shall be produced, stored and reviewed.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A.8.16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Monitoring activities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Networks and systems shall be monitored for anomalous behaviour.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A.8.24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Use of cryptography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Rules for effective use of cryptography, including key management, shall be defined.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CRY-01, CRY-02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ISO27001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2022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A.8.7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Protection against malware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Protection against malware shall be implemented and supported by user awareness.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MAL-01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NCA-ECC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2:2024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1-2-3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Cybersecurity roles and responsibilities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Roles shall be defined, documented and assigned.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GOV-01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NCA-ECC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2:2024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2-10-1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Cryptography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Approved cryptographic standards shall be applied to data at rest and in transit.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CRY-01, CRY-02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NCA-ECC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2:2024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2-12-1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Event logs and monitoring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Security event logs shall be collected, retained and monitored.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LOG-01, LOG-02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NCA-ECC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2:2024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2-13-1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Incident and threat management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 cybersecurity incident response capability shall be established.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IR-01, IR-02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NCA-ECC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2:2024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2-2-1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Identity and access management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Access shall be granted on least privilege and need-to-know.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AC-01, AC-02, AC-03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NCA-ECC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2:2024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2-3-1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Information system protection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Systems shall be protected from malware and unauthorized change.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MAL-01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NCA-ECC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2:2024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2-5-1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Network security management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Networks shall be segmented and protected at the perimeter.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NET-01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PDPL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2023 amendment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Art.11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Lawful basis and consent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Personal data shall only be processed on a lawful basis.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PDPL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2023 amendment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Art.19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Data minimisation and retention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Data shall be limited to purpose and destroyed when no longer required.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PDPL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2023 amendment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Art.20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Security of personal data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Appropriate organisational and technical measures shall protect personal data.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CRY-01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PDPL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2023 amendment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Art.24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Breach notification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Breaches shall be notified to the competent authority without undue delay.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IR-02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PDPL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2023 amendment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Art.29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Cross-border transfer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Transfers outside the Kingdom are restricted and conditional.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PDP-03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PDPL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2023 amendment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Art.4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Data subject rights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Data subjects have rights of access, correction and destruction.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PDP-02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SOC2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2017 (rev. 2022)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CC6.1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Logical access — provisioning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Logical access security measures restrict access to protected assets.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AC-01, AC-03, AC-04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3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SOC2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2017 (rev. 2022)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CC6.6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Logical access — external threats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The entity implements measures against threats from outside its boundaries.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DLP-01, NET-01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SOC2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2017 (rev. 2022)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CC7.2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System monitoring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The entity monitors components for anomalies indicative of malicious acts.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LOG-01, LOG-02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SOC2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2017 (rev. 2022)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CC7.3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Incident evaluation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The entity evaluates security events to determine whether they are incidents.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IR-01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SOC2</w:t>
            </w:r>
          </w:p>
        </w:tc>
        <w:tc>
          <w:tcPr>
            <w:tcW w:type="pct" w:w="5.18134715025906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2017 (rev. 2022)</w:t>
            </w:r>
          </w:p>
        </w:tc>
        <w:tc>
          <w:tcPr>
            <w:tcW w:type="pct" w:w="7.253886010362693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CC8.1</w:t>
            </w:r>
          </w:p>
        </w:tc>
        <w:tc>
          <w:tcPr>
            <w:tcW w:type="pct" w:w="22.797927461139896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Change management</w:t>
            </w:r>
          </w:p>
        </w:tc>
        <w:tc>
          <w:tcPr>
            <w:tcW w:type="pct" w:w="31.08808290155440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The entity authorises, designs, tests and approves changes before implementation.</w:t>
            </w:r>
          </w:p>
        </w:tc>
        <w:tc>
          <w:tcPr>
            <w:tcW w:type="pct" w:w="14.507772020725387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CHG-01</w:t>
            </w:r>
          </w:p>
        </w:tc>
        <w:tc>
          <w:tcPr>
            <w:tcW w:type="pct" w:w="4.145077720207254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1</w:t>
            </w:r>
          </w:p>
        </w:tc>
        <w:tc>
          <w:tcPr>
            <w:tcW w:type="pct" w:w="7.772020725388601%"/>
            <w:tcBorders>
              <w:top w:val="single" w:color="E1E7EF" w:sz="1"/>
              <w:left w:val="single" w:color="E1E7EF" w:sz="1"/>
              <w:bottom w:val="single" w:color="E1E7EF" w:sz="1"/>
              <w:right w:val="single" w:color="E1E7E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0B1524"/>
                <w:sz w:val="17"/>
                <w:szCs w:val="17"/>
              </w:rPr>
              <w:t xml:space="preserve">Yes</w:t>
            </w:r>
          </w:p>
        </w:tc>
      </w:tr>
    </w:tbl>
    <w:p>
      <w:pPr>
        <w:pStyle w:val="Heading2"/>
        <w:spacing w:after="120" w:before="260"/>
      </w:pPr>
      <w:r>
        <w:t xml:space="preserve">Unmapped clauses</w:t>
      </w:r>
    </w:p>
    <w:p>
      <w:pPr>
        <w:spacing w:after="60"/>
      </w:pPr>
      <w:r>
        <w:rPr>
          <w:i/>
          <w:iCs/>
          <w:color w:val="646F85"/>
        </w:rPr>
        <w:t xml:space="preserve">Nothing to report for this selection.</w:t>
      </w:r>
    </w:p>
    <w:p>
      <w:pPr>
        <w:spacing w:before="320"/>
        <w:jc w:val="center"/>
      </w:pPr>
      <w:r>
        <w:rPr>
          <w:color w:val="646F85"/>
          <w:sz w:val="15"/>
          <w:szCs w:val="15"/>
        </w:rPr>
        <w:t xml:space="preserve">Framework Coverage · OmniOps · generated 2026-09-24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B1524"/>
      <w:sz w:val="36"/>
      <w:szCs w:val="3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F7A5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Framework Coverage</dc:title>
  <dc:creator>Mahmoud Abdulaziz &lt;grc.manager@omniops.me&gt;</dc:creator>
  <dc:description>Framework Coverage — OmniOps</dc:description>
  <cp:lastModifiedBy>Un-named</cp:lastModifiedBy>
  <cp:revision>1</cp:revision>
  <dcterms:created xsi:type="dcterms:W3CDTF">2026-09-24T22:36:34.859Z</dcterms:created>
  <dcterms:modified xsi:type="dcterms:W3CDTF">2026-09-24T22:36:34.859Z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