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t xml:space="preserve">Annual Audit Plan</w:t>
      </w:r>
    </w:p>
    <w:p>
      <w:pPr>
        <w:spacing w:after="160"/>
      </w:pPr>
      <w:r>
        <w:rPr>
          <w:color w:val="55627A"/>
          <w:sz w:val="22"/>
          <w:szCs w:val="22"/>
        </w:rPr>
        <w:t xml:space="preserve">2026 Internal Audit Plan (2026) — Approved</w:t>
      </w:r>
    </w:p>
    <w:p>
      <w:pPr>
        <w:pStyle w:val="Heading2"/>
        <w:spacing w:after="120" w:before="260"/>
      </w:pPr>
      <w:r>
        <w:t xml:space="preserve">Provenance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Organisation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OmniOps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Engagement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2026 Internal Audit Plan (2026) — Approved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Generated by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Mahmoud Abdulaziz &lt;grc.manager@omniops.me&gt;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Generated at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2026-08-17 15:43 UTC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Visibility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SUBTREE</w:t>
            </w:r>
          </w:p>
        </w:tc>
      </w:tr>
    </w:tbl>
    <w:p>
      <w:pPr>
        <w:pStyle w:val="Heading2"/>
        <w:spacing w:after="120" w:before="260"/>
      </w:pPr>
      <w:r>
        <w:t xml:space="preserve">Plan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4.97237569060773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QUARTER</w:t>
            </w:r>
          </w:p>
        </w:tc>
        <w:tc>
          <w:tcPr>
            <w:tcW w:type="pct" w:w="22.09944751381215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ENTITY</w:t>
            </w:r>
          </w:p>
        </w:tc>
        <w:tc>
          <w:tcPr>
            <w:tcW w:type="pct" w:w="7.734806629834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TYPE</w:t>
            </w:r>
          </w:p>
        </w:tc>
        <w:tc>
          <w:tcPr>
            <w:tcW w:type="pct" w:w="6.07734806629834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RISK SCORE</w:t>
            </w:r>
          </w:p>
        </w:tc>
        <w:tc>
          <w:tcPr>
            <w:tcW w:type="pct" w:w="5.524861878453039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TIER</w:t>
            </w:r>
          </w:p>
        </w:tc>
        <w:tc>
          <w:tcPr>
            <w:tcW w:type="pct" w:w="7.1823204419889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BUDGET HOURS</w:t>
            </w:r>
          </w:p>
        </w:tc>
        <w:tc>
          <w:tcPr>
            <w:tcW w:type="pct" w:w="11.04972375690607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LEAD</w:t>
            </w:r>
          </w:p>
        </w:tc>
        <w:tc>
          <w:tcPr>
            <w:tcW w:type="pct" w:w="7.734806629834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STATUS</w:t>
            </w:r>
          </w:p>
        </w:tc>
        <w:tc>
          <w:tcPr>
            <w:tcW w:type="pct" w:w="27.62430939226519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RATIONALE</w:t>
            </w:r>
          </w:p>
        </w:tc>
      </w:tr>
      <w:tr>
        <w:tc>
          <w:tcPr>
            <w:tcW w:type="pct" w:w="4.97237569060773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Q1</w:t>
            </w:r>
          </w:p>
        </w:tc>
        <w:tc>
          <w:tcPr>
            <w:tcW w:type="pct" w:w="22.09944751381215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Order to cash</w:t>
            </w:r>
          </w:p>
        </w:tc>
        <w:tc>
          <w:tcPr>
            <w:tcW w:type="pct" w:w="7.734806629834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Process</w:t>
            </w:r>
          </w:p>
        </w:tc>
        <w:tc>
          <w:tcPr>
            <w:tcW w:type="pct" w:w="6.07734806629834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3.45</w:t>
            </w:r>
          </w:p>
        </w:tc>
        <w:tc>
          <w:tcPr>
            <w:tcW w:type="pct" w:w="5.524861878453039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Medium</w:t>
            </w:r>
          </w:p>
        </w:tc>
        <w:tc>
          <w:tcPr>
            <w:tcW w:type="pct" w:w="7.1823204419889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100</w:t>
            </w:r>
          </w:p>
        </w:tc>
        <w:tc>
          <w:tcPr>
            <w:tcW w:type="pct" w:w="11.04972375690607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Mahmoud Abdulaziz</w:t>
            </w:r>
          </w:p>
        </w:tc>
        <w:tc>
          <w:tcPr>
            <w:tcW w:type="pct" w:w="7.734806629834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Planned</w:t>
            </w:r>
          </w:p>
        </w:tc>
        <w:tc>
          <w:tcPr>
            <w:tcW w:type="pct" w:w="27.62430939226519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Risk tier Medium (score 3.45).</w:t>
            </w:r>
          </w:p>
        </w:tc>
      </w:tr>
      <w:tr>
        <w:tc>
          <w:tcPr>
            <w:tcW w:type="pct" w:w="4.97237569060773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Q1</w:t>
            </w:r>
          </w:p>
        </w:tc>
        <w:tc>
          <w:tcPr>
            <w:tcW w:type="pct" w:w="22.09944751381215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Third-party and cloud management</w:t>
            </w:r>
          </w:p>
        </w:tc>
        <w:tc>
          <w:tcPr>
            <w:tcW w:type="pct" w:w="7.734806629834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ThirdParty</w:t>
            </w:r>
          </w:p>
        </w:tc>
        <w:tc>
          <w:tcPr>
            <w:tcW w:type="pct" w:w="6.07734806629834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4.95</w:t>
            </w:r>
          </w:p>
        </w:tc>
        <w:tc>
          <w:tcPr>
            <w:tcW w:type="pct" w:w="5.524861878453039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High</w:t>
            </w:r>
          </w:p>
        </w:tc>
        <w:tc>
          <w:tcPr>
            <w:tcW w:type="pct" w:w="7.1823204419889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160</w:t>
            </w:r>
          </w:p>
        </w:tc>
        <w:tc>
          <w:tcPr>
            <w:tcW w:type="pct" w:w="11.04972375690607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Mahmoud Abdulaziz</w:t>
            </w:r>
          </w:p>
        </w:tc>
        <w:tc>
          <w:tcPr>
            <w:tcW w:type="pct" w:w="7.734806629834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Planned</w:t>
            </w:r>
          </w:p>
        </w:tc>
        <w:tc>
          <w:tcPr>
            <w:tcW w:type="pct" w:w="27.62430939226519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Risk tier High (score 4.95). Never audited.</w:t>
            </w:r>
          </w:p>
        </w:tc>
      </w:tr>
      <w:tr>
        <w:tc>
          <w:tcPr>
            <w:tcW w:type="pct" w:w="4.97237569060773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Q1</w:t>
            </w:r>
          </w:p>
        </w:tc>
        <w:tc>
          <w:tcPr>
            <w:tcW w:type="pct" w:w="22.09944751381215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Procure to pay</w:t>
            </w:r>
          </w:p>
        </w:tc>
        <w:tc>
          <w:tcPr>
            <w:tcW w:type="pct" w:w="7.734806629834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Process</w:t>
            </w:r>
          </w:p>
        </w:tc>
        <w:tc>
          <w:tcPr>
            <w:tcW w:type="pct" w:w="6.07734806629834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3.85</w:t>
            </w:r>
          </w:p>
        </w:tc>
        <w:tc>
          <w:tcPr>
            <w:tcW w:type="pct" w:w="5.524861878453039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Medium</w:t>
            </w:r>
          </w:p>
        </w:tc>
        <w:tc>
          <w:tcPr>
            <w:tcW w:type="pct" w:w="7.1823204419889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100</w:t>
            </w:r>
          </w:p>
        </w:tc>
        <w:tc>
          <w:tcPr>
            <w:tcW w:type="pct" w:w="11.04972375690607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Mahmoud Abdulaziz</w:t>
            </w:r>
          </w:p>
        </w:tc>
        <w:tc>
          <w:tcPr>
            <w:tcW w:type="pct" w:w="7.734806629834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Planned</w:t>
            </w:r>
          </w:p>
        </w:tc>
        <w:tc>
          <w:tcPr>
            <w:tcW w:type="pct" w:w="27.62430939226519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Risk tier Medium (score 3.85).</w:t>
            </w:r>
          </w:p>
        </w:tc>
      </w:tr>
      <w:tr>
        <w:tc>
          <w:tcPr>
            <w:tcW w:type="pct" w:w="4.97237569060773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Q2</w:t>
            </w:r>
          </w:p>
        </w:tc>
        <w:tc>
          <w:tcPr>
            <w:tcW w:type="pct" w:w="22.09944751381215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Personal data processing</w:t>
            </w:r>
          </w:p>
        </w:tc>
        <w:tc>
          <w:tcPr>
            <w:tcW w:type="pct" w:w="7.734806629834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Process</w:t>
            </w:r>
          </w:p>
        </w:tc>
        <w:tc>
          <w:tcPr>
            <w:tcW w:type="pct" w:w="6.07734806629834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4.5</w:t>
            </w:r>
          </w:p>
        </w:tc>
        <w:tc>
          <w:tcPr>
            <w:tcW w:type="pct" w:w="5.524861878453039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High</w:t>
            </w:r>
          </w:p>
        </w:tc>
        <w:tc>
          <w:tcPr>
            <w:tcW w:type="pct" w:w="7.1823204419889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160</w:t>
            </w:r>
          </w:p>
        </w:tc>
        <w:tc>
          <w:tcPr>
            <w:tcW w:type="pct" w:w="11.04972375690607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Mahmoud Abdulaziz</w:t>
            </w:r>
          </w:p>
        </w:tc>
        <w:tc>
          <w:tcPr>
            <w:tcW w:type="pct" w:w="7.734806629834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Planned</w:t>
            </w:r>
          </w:p>
        </w:tc>
        <w:tc>
          <w:tcPr>
            <w:tcW w:type="pct" w:w="27.62430939226519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Risk tier High (score 4.5). Never audited.</w:t>
            </w:r>
          </w:p>
        </w:tc>
      </w:tr>
      <w:tr>
        <w:tc>
          <w:tcPr>
            <w:tcW w:type="pct" w:w="4.97237569060773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Q2</w:t>
            </w:r>
          </w:p>
        </w:tc>
        <w:tc>
          <w:tcPr>
            <w:tcW w:type="pct" w:w="22.09944751381215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Treasury and cash management</w:t>
            </w:r>
          </w:p>
        </w:tc>
        <w:tc>
          <w:tcPr>
            <w:tcW w:type="pct" w:w="7.734806629834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Process</w:t>
            </w:r>
          </w:p>
        </w:tc>
        <w:tc>
          <w:tcPr>
            <w:tcW w:type="pct" w:w="6.07734806629834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3.83</w:t>
            </w:r>
          </w:p>
        </w:tc>
        <w:tc>
          <w:tcPr>
            <w:tcW w:type="pct" w:w="5.524861878453039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Medium</w:t>
            </w:r>
          </w:p>
        </w:tc>
        <w:tc>
          <w:tcPr>
            <w:tcW w:type="pct" w:w="7.1823204419889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100</w:t>
            </w:r>
          </w:p>
        </w:tc>
        <w:tc>
          <w:tcPr>
            <w:tcW w:type="pct" w:w="11.04972375690607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Mahmoud Abdulaziz</w:t>
            </w:r>
          </w:p>
        </w:tc>
        <w:tc>
          <w:tcPr>
            <w:tcW w:type="pct" w:w="7.734806629834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Planned</w:t>
            </w:r>
          </w:p>
        </w:tc>
        <w:tc>
          <w:tcPr>
            <w:tcW w:type="pct" w:w="27.62430939226519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Risk tier Medium (score 3.83).</w:t>
            </w:r>
          </w:p>
        </w:tc>
      </w:tr>
      <w:tr>
        <w:tc>
          <w:tcPr>
            <w:tcW w:type="pct" w:w="4.97237569060773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Q3</w:t>
            </w:r>
          </w:p>
        </w:tc>
        <w:tc>
          <w:tcPr>
            <w:tcW w:type="pct" w:w="22.09944751381215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Business continuity and recovery</w:t>
            </w:r>
          </w:p>
        </w:tc>
        <w:tc>
          <w:tcPr>
            <w:tcW w:type="pct" w:w="7.734806629834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Process</w:t>
            </w:r>
          </w:p>
        </w:tc>
        <w:tc>
          <w:tcPr>
            <w:tcW w:type="pct" w:w="6.07734806629834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3.57</w:t>
            </w:r>
          </w:p>
        </w:tc>
        <w:tc>
          <w:tcPr>
            <w:tcW w:type="pct" w:w="5.524861878453039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Medium</w:t>
            </w:r>
          </w:p>
        </w:tc>
        <w:tc>
          <w:tcPr>
            <w:tcW w:type="pct" w:w="7.1823204419889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100</w:t>
            </w:r>
          </w:p>
        </w:tc>
        <w:tc>
          <w:tcPr>
            <w:tcW w:type="pct" w:w="11.04972375690607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Mahmoud Abdulaziz</w:t>
            </w:r>
          </w:p>
        </w:tc>
        <w:tc>
          <w:tcPr>
            <w:tcW w:type="pct" w:w="7.734806629834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Planned</w:t>
            </w:r>
          </w:p>
        </w:tc>
        <w:tc>
          <w:tcPr>
            <w:tcW w:type="pct" w:w="27.62430939226519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Risk tier Medium (score 3.57).</w:t>
            </w:r>
          </w:p>
        </w:tc>
      </w:tr>
      <w:tr>
        <w:tc>
          <w:tcPr>
            <w:tcW w:type="pct" w:w="4.97237569060773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Q3</w:t>
            </w:r>
          </w:p>
        </w:tc>
        <w:tc>
          <w:tcPr>
            <w:tcW w:type="pct" w:w="22.09944751381215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Identity and access management</w:t>
            </w:r>
          </w:p>
        </w:tc>
        <w:tc>
          <w:tcPr>
            <w:tcW w:type="pct" w:w="7.734806629834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Process</w:t>
            </w:r>
          </w:p>
        </w:tc>
        <w:tc>
          <w:tcPr>
            <w:tcW w:type="pct" w:w="6.07734806629834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4.35</w:t>
            </w:r>
          </w:p>
        </w:tc>
        <w:tc>
          <w:tcPr>
            <w:tcW w:type="pct" w:w="5.524861878453039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High</w:t>
            </w:r>
          </w:p>
        </w:tc>
        <w:tc>
          <w:tcPr>
            <w:tcW w:type="pct" w:w="7.1823204419889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160</w:t>
            </w:r>
          </w:p>
        </w:tc>
        <w:tc>
          <w:tcPr>
            <w:tcW w:type="pct" w:w="11.04972375690607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Mahmoud Abdulaziz</w:t>
            </w:r>
          </w:p>
        </w:tc>
        <w:tc>
          <w:tcPr>
            <w:tcW w:type="pct" w:w="7.734806629834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Planned</w:t>
            </w:r>
          </w:p>
        </w:tc>
        <w:tc>
          <w:tcPr>
            <w:tcW w:type="pct" w:w="27.62430939226519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Risk tier High (score 4.35).</w:t>
            </w:r>
          </w:p>
        </w:tc>
      </w:tr>
      <w:tr>
        <w:tc>
          <w:tcPr>
            <w:tcW w:type="pct" w:w="4.97237569060773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Q4</w:t>
            </w:r>
          </w:p>
        </w:tc>
        <w:tc>
          <w:tcPr>
            <w:tcW w:type="pct" w:w="22.09944751381215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Payroll and HR operations</w:t>
            </w:r>
          </w:p>
        </w:tc>
        <w:tc>
          <w:tcPr>
            <w:tcW w:type="pct" w:w="7.734806629834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Process</w:t>
            </w:r>
          </w:p>
        </w:tc>
        <w:tc>
          <w:tcPr>
            <w:tcW w:type="pct" w:w="6.07734806629834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3.5</w:t>
            </w:r>
          </w:p>
        </w:tc>
        <w:tc>
          <w:tcPr>
            <w:tcW w:type="pct" w:w="5.524861878453039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Medium</w:t>
            </w:r>
          </w:p>
        </w:tc>
        <w:tc>
          <w:tcPr>
            <w:tcW w:type="pct" w:w="7.1823204419889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100</w:t>
            </w:r>
          </w:p>
        </w:tc>
        <w:tc>
          <w:tcPr>
            <w:tcW w:type="pct" w:w="11.04972375690607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Mahmoud Abdulaziz</w:t>
            </w:r>
          </w:p>
        </w:tc>
        <w:tc>
          <w:tcPr>
            <w:tcW w:type="pct" w:w="7.734806629834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Planned</w:t>
            </w:r>
          </w:p>
        </w:tc>
        <w:tc>
          <w:tcPr>
            <w:tcW w:type="pct" w:w="27.62430939226519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Risk tier Medium (score 3.5).</w:t>
            </w:r>
          </w:p>
        </w:tc>
      </w:tr>
      <w:tr>
        <w:tc>
          <w:tcPr>
            <w:tcW w:type="pct" w:w="4.97237569060773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Q4</w:t>
            </w:r>
          </w:p>
        </w:tc>
        <w:tc>
          <w:tcPr>
            <w:tcW w:type="pct" w:w="22.09944751381215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Core banking platform</w:t>
            </w:r>
          </w:p>
        </w:tc>
        <w:tc>
          <w:tcPr>
            <w:tcW w:type="pct" w:w="7.734806629834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System</w:t>
            </w:r>
          </w:p>
        </w:tc>
        <w:tc>
          <w:tcPr>
            <w:tcW w:type="pct" w:w="6.07734806629834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4.3</w:t>
            </w:r>
          </w:p>
        </w:tc>
        <w:tc>
          <w:tcPr>
            <w:tcW w:type="pct" w:w="5.524861878453039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High</w:t>
            </w:r>
          </w:p>
        </w:tc>
        <w:tc>
          <w:tcPr>
            <w:tcW w:type="pct" w:w="7.1823204419889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160</w:t>
            </w:r>
          </w:p>
        </w:tc>
        <w:tc>
          <w:tcPr>
            <w:tcW w:type="pct" w:w="11.04972375690607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Mahmoud Abdulaziz</w:t>
            </w:r>
          </w:p>
        </w:tc>
        <w:tc>
          <w:tcPr>
            <w:tcW w:type="pct" w:w="7.734806629834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Planned</w:t>
            </w:r>
          </w:p>
        </w:tc>
        <w:tc>
          <w:tcPr>
            <w:tcW w:type="pct" w:w="27.62430939226519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Risk tier High (score 4.3).</w:t>
            </w:r>
          </w:p>
        </w:tc>
      </w:tr>
    </w:tbl>
    <w:p>
      <w:pPr>
        <w:spacing w:before="320"/>
        <w:jc w:val="center"/>
      </w:pPr>
      <w:r>
        <w:rPr>
          <w:color w:val="646F85"/>
          <w:sz w:val="15"/>
          <w:szCs w:val="15"/>
        </w:rPr>
        <w:t xml:space="preserve">Annual Audit Plan · OmniOps · generated 2026-08-17</w:t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B1524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b/>
      <w:bCs/>
      <w:color w:val="0B1524"/>
      <w:sz w:val="36"/>
      <w:szCs w:val="3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0F7A5A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Annual Audit Plan</dc:title>
  <dc:creator>Mahmoud Abdulaziz &lt;grc.manager@omniops.me&gt;</dc:creator>
  <dc:description>Annual Audit Plan — OmniOps</dc:description>
  <cp:lastModifiedBy>Un-named</cp:lastModifiedBy>
  <cp:revision>1</cp:revision>
  <dcterms:created xsi:type="dcterms:W3CDTF">2026-08-17T15:43:26.032Z</dcterms:created>
  <dcterms:modified xsi:type="dcterms:W3CDTF">2026-08-17T15:43:26.032Z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