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Risk &amp; Control Matrix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AUD-2026-03 — Business Continuity Readiness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BD3A6" w:sz="1"/>
              <w:left w:val="single" w:color="9A6510" w:sz="12"/>
              <w:bottom w:val="single" w:color="EBD3A6" w:sz="1"/>
              <w:right w:val="single" w:color="EBD3A6" w:sz="1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9A6510"/>
                <w:sz w:val="18"/>
                <w:szCs w:val="18"/>
              </w:rPr>
              <w:t xml:space="preserve">DRAFT — this engagement is Planned. Figures are provisional and the conclusion is not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AUD-2026-03 — Business Continuity Readiness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 status at export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2026-08-17 15:43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RCM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Risk &amp; Control Matrix · OmniOps · generated 2026-08-17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&amp; Control Matrix</dc:title>
  <dc:creator>Mahmoud Abdulaziz &lt;grc.manager@omniops.me&gt;</dc:creator>
  <dc:description>Risk &amp; Control Matrix — OmniOps</dc:description>
  <cp:lastModifiedBy>Un-named</cp:lastModifiedBy>
  <cp:revision>1</cp:revision>
  <dcterms:created xsi:type="dcterms:W3CDTF">2026-08-17T15:43:24.297Z</dcterms:created>
  <dcterms:modified xsi:type="dcterms:W3CDTF">2026-08-17T15:43:24.297Z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