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Framework Coverage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 17:58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STANDARD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VERSION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 TITLE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 TEXT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MAPPED CONTROLS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COUNT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COVERED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A.5.15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Access control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Rules to control physical and logical access to information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AC-04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full lifecycle of identities shall be managed.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A.5.17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Authentication information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Allocation and management of authentication information shall be controlled.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A.5.23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Cloud services security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Processes for acquisition, use and exit of cloud services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TPR-01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A.5.30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ICT readiness for continuity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ICT readiness shall be planned and tested against continuity objectives.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BCP-01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A.8.12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leakage prevention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leakage prevention measures shall be applied to systems handling sensitive information.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DLP-01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A.8.15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Logging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Logs recording activities, exceptions and events shall be produced, stored and reviewed.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Monitoring activities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Networks and systems shall be monitored for anomalous behaviour.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A.8.24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Use of cryptography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Rules for effective use of cryptography, including key management, shall be defined.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CRY-01, CRY-02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A.8.7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Protection against malware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Protection against malware shall be implemented and supported by user awareness.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MAL-01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1-2-3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Cybersecurity roles and responsibilities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Roles shall be defined, documented and assigned.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GOV-01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2-10-1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Cryptography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Approved cryptographic standards shall be applied to data at rest and in transit.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CRY-01, CRY-02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2-12-1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Event logs and monitoring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Security event logs shall be collected, retained and monitored.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LOG-01, 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2-13-1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Incident and threat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 cybersecurity incident response capability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IR-01, IR-02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2-2-1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and access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Access shall be granted on least privilege and need-to-know.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AC-02, AC-03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2-3-1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Information system protection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Systems shall be protected from malware and unauthorized change.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MAL-01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2-5-1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 security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Networks shall be segmented and protected at the perimeter.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Art.11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Lawful basis and consent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Personal data shall only be processed on a lawful basis.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Art.19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minimisation and retention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shall be limited to purpose and destroyed when no longer required.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Art.20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Security of personal data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Appropriate organisational and technical measures shall protect personal data.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Breach notification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Breaches shall be notified to the competent authority without undue delay.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Art.29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Cross-border transfer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Transfers outside the Kingdom are restricted and conditional.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subject rights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subjects have rights of access, correction and destruction.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CC6.1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— provisioning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security measures restrict access to protected assets.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AC-03, AC-04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CC6.6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— external threats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implements measures against threats from outside its boundaries.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DLP-01, NET-01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CC7.2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 monitoring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monitors components for anomalies indicative of malicious acts.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LOG-01, 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CC7.3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Incident evaluation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evaluates security events to determine whether they are incidents.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CC8.1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Change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authorises, designs, tests and approves changes before implementation.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CHG-01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</w:tbl>
    <w:p>
      <w:pPr>
        <w:pStyle w:val="Heading2"/>
        <w:spacing w:after="120" w:before="260"/>
      </w:pPr>
      <w:r>
        <w:t xml:space="preserve">Unmapped clauses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Framework Coverage · OmniOps · generated 2026-08-16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Framework Coverage</dc:title>
  <dc:creator>Mahmoud Abdulaziz &lt;grc.manager@omniops.me&gt;</dc:creator>
  <dc:description>Framework Coverage — OmniOps</dc:description>
  <cp:lastModifiedBy>Un-named</cp:lastModifiedBy>
  <cp:revision>1</cp:revision>
  <dcterms:created xsi:type="dcterms:W3CDTF">2026-08-16T17:58:29.467Z</dcterms:created>
  <dcterms:modified xsi:type="dcterms:W3CDTF">2026-08-16T17:58:29.467Z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