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E3" w:rsidRDefault="009410D5" w:rsidP="00D73E28">
      <w:pPr>
        <w:shd w:val="clear" w:color="auto" w:fill="E7E6E6" w:themeFill="background2"/>
      </w:pPr>
      <w:r>
        <w:rPr>
          <w:rFonts w:ascii="Arial" w:hAnsi="Arial" w:cs="Arial"/>
          <w:color w:val="333333"/>
          <w:sz w:val="26"/>
          <w:szCs w:val="26"/>
        </w:rPr>
        <w:t xml:space="preserve">Evidence suggests that there has been a tremendous uptake of mobile media and mobile news in recent years, amongst the public as users and citizen journalists, but also by legacy news media, for news reporting and news publishing. The ubiquitous presence of computer-like mobile devices has </w:t>
      </w:r>
      <w:r w:rsidRPr="00D73E28">
        <w:rPr>
          <w:rFonts w:ascii="Arial" w:hAnsi="Arial" w:cs="Arial"/>
          <w:color w:val="333333"/>
          <w:sz w:val="26"/>
          <w:szCs w:val="26"/>
          <w:shd w:val="clear" w:color="auto" w:fill="E7E6E6" w:themeFill="background2"/>
        </w:rPr>
        <w:t>become a game changer to instant news reporting by both journalists and the</w:t>
      </w:r>
      <w:r>
        <w:rPr>
          <w:rFonts w:ascii="Arial" w:hAnsi="Arial" w:cs="Arial"/>
          <w:color w:val="333333"/>
          <w:sz w:val="26"/>
          <w:szCs w:val="26"/>
        </w:rPr>
        <w:t xml:space="preserve"> public. From a historical perspective, contemporary citizens have gained incomparable opportunities to access and contribute to news reporting. Although a shift towards the production of mobile news is not a tenet of inevitability for legacy news media </w:t>
      </w:r>
      <w:proofErr w:type="spellStart"/>
      <w:r>
        <w:rPr>
          <w:rFonts w:ascii="Arial" w:hAnsi="Arial" w:cs="Arial"/>
          <w:color w:val="333333"/>
          <w:sz w:val="26"/>
          <w:szCs w:val="26"/>
        </w:rPr>
        <w:t>organisations</w:t>
      </w:r>
      <w:proofErr w:type="spellEnd"/>
      <w:r>
        <w:rPr>
          <w:rFonts w:ascii="Arial" w:hAnsi="Arial" w:cs="Arial"/>
          <w:color w:val="333333"/>
          <w:sz w:val="26"/>
          <w:szCs w:val="26"/>
        </w:rPr>
        <w:t xml:space="preserve">, many have certainly </w:t>
      </w:r>
      <w:proofErr w:type="spellStart"/>
      <w:r>
        <w:rPr>
          <w:rFonts w:ascii="Arial" w:hAnsi="Arial" w:cs="Arial"/>
          <w:color w:val="333333"/>
          <w:sz w:val="26"/>
          <w:szCs w:val="26"/>
        </w:rPr>
        <w:t>mobilised</w:t>
      </w:r>
      <w:proofErr w:type="spellEnd"/>
      <w:r>
        <w:rPr>
          <w:rFonts w:ascii="Arial" w:hAnsi="Arial" w:cs="Arial"/>
          <w:color w:val="333333"/>
          <w:sz w:val="26"/>
          <w:szCs w:val="26"/>
        </w:rPr>
        <w:t xml:space="preserve"> their forces to address their users’ shifting ways of accessing news. The literature reviewed here reveals how news publishers have experimented with publishing news for various media platforms over the years. Mobile media certainly make a moving target that involves continuous transformations to both the technology and usage patterns of mobile devices.</w:t>
      </w:r>
      <w:bookmarkStart w:id="0" w:name="_GoBack"/>
      <w:bookmarkEnd w:id="0"/>
    </w:p>
    <w:sectPr w:rsidR="00DD68E3" w:rsidSect="008367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410D5"/>
    <w:rsid w:val="00836780"/>
    <w:rsid w:val="009410D5"/>
    <w:rsid w:val="00D73E28"/>
    <w:rsid w:val="00DD6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2022-09-13T16:08:00Z</dcterms:created>
  <dcterms:modified xsi:type="dcterms:W3CDTF">2022-09-13T16:15:00Z</dcterms:modified>
</cp:coreProperties>
</file>