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210D1" w14:textId="7FAA8AB6" w:rsidR="0054018D" w:rsidRDefault="00F318AB" w:rsidP="00F02328">
      <w:pPr>
        <w:pStyle w:val="Heading1"/>
        <w:numPr>
          <w:ilvl w:val="0"/>
          <w:numId w:val="0"/>
        </w:numPr>
      </w:pPr>
      <w:bookmarkStart w:id="0" w:name="_Hlk74583434"/>
      <w:r>
        <w:t xml:space="preserve">Attachment </w:t>
      </w:r>
      <w:r w:rsidR="00F02328">
        <w:t>1 Model Assumptions</w:t>
      </w:r>
    </w:p>
    <w:bookmarkEnd w:id="0"/>
    <w:p w14:paraId="3D9C117F" w14:textId="51918954" w:rsidR="007C5103" w:rsidRPr="001C007D" w:rsidRDefault="00BF095F" w:rsidP="00D86E9B">
      <w:pPr>
        <w:pStyle w:val="Heading2"/>
      </w:pPr>
      <w:r>
        <w:t>Introduction</w:t>
      </w:r>
    </w:p>
    <w:p w14:paraId="3EF8BF5A" w14:textId="2C9CE916" w:rsidR="006646A7" w:rsidRPr="001C094E" w:rsidRDefault="00950D77" w:rsidP="00B76CC1">
      <w:pPr>
        <w:pStyle w:val="BodyText"/>
        <w:rPr>
          <w:szCs w:val="24"/>
        </w:rPr>
      </w:pPr>
      <w:bookmarkStart w:id="1" w:name="_Toc424052411"/>
      <w:bookmarkStart w:id="2" w:name="_Toc424053706"/>
      <w:bookmarkStart w:id="3" w:name="_Toc424052412"/>
      <w:bookmarkStart w:id="4" w:name="_Toc424053707"/>
      <w:bookmarkStart w:id="5" w:name="_Toc424052414"/>
      <w:bookmarkStart w:id="6" w:name="_Toc424053709"/>
      <w:bookmarkStart w:id="7" w:name="_Toc424052415"/>
      <w:bookmarkStart w:id="8" w:name="_Toc424053710"/>
      <w:bookmarkStart w:id="9" w:name="_Toc424052416"/>
      <w:bookmarkStart w:id="10" w:name="_Toc424053711"/>
      <w:bookmarkStart w:id="11" w:name="_Toc424052417"/>
      <w:bookmarkStart w:id="12" w:name="_Toc424053712"/>
      <w:bookmarkStart w:id="13" w:name="_Toc424052418"/>
      <w:bookmarkStart w:id="14" w:name="_Toc424053713"/>
      <w:bookmarkStart w:id="15" w:name="_Toc424052419"/>
      <w:bookmarkStart w:id="16" w:name="_Toc424053714"/>
      <w:bookmarkStart w:id="17" w:name="_Toc424052420"/>
      <w:bookmarkStart w:id="18" w:name="_Toc424053715"/>
      <w:bookmarkStart w:id="19" w:name="_Toc424052421"/>
      <w:bookmarkStart w:id="20" w:name="_Toc424053716"/>
      <w:bookmarkStart w:id="21" w:name="_Toc424052423"/>
      <w:bookmarkStart w:id="22" w:name="_Toc424053718"/>
      <w:bookmarkStart w:id="23" w:name="_Toc424052424"/>
      <w:bookmarkStart w:id="24" w:name="_Toc424053719"/>
      <w:bookmarkStart w:id="25" w:name="_Toc424052425"/>
      <w:bookmarkStart w:id="26" w:name="_Toc424053720"/>
      <w:bookmarkStart w:id="27" w:name="_Toc424052426"/>
      <w:bookmarkStart w:id="28" w:name="_Toc424053721"/>
      <w:bookmarkStart w:id="29" w:name="_Toc424052427"/>
      <w:bookmarkStart w:id="30" w:name="_Toc424053722"/>
      <w:bookmarkStart w:id="31" w:name="_Toc424052428"/>
      <w:bookmarkStart w:id="32" w:name="_Toc424053723"/>
      <w:bookmarkStart w:id="33" w:name="_Toc424052429"/>
      <w:bookmarkStart w:id="34" w:name="_Toc424053724"/>
      <w:bookmarkStart w:id="35" w:name="_Toc424052430"/>
      <w:bookmarkStart w:id="36" w:name="_Toc424053725"/>
      <w:bookmarkStart w:id="37" w:name="_Toc424052431"/>
      <w:bookmarkStart w:id="38" w:name="_Toc424053726"/>
      <w:bookmarkStart w:id="39" w:name="_Toc424052432"/>
      <w:bookmarkStart w:id="40" w:name="_Toc424053727"/>
      <w:bookmarkStart w:id="41" w:name="_Toc424052433"/>
      <w:bookmarkStart w:id="42" w:name="_Toc424053728"/>
      <w:bookmarkStart w:id="43" w:name="_Toc424052434"/>
      <w:bookmarkStart w:id="44" w:name="_Toc424053729"/>
      <w:bookmarkStart w:id="45" w:name="_Toc424052435"/>
      <w:bookmarkStart w:id="46" w:name="_Toc424053730"/>
      <w:bookmarkStart w:id="47" w:name="_Toc424052436"/>
      <w:bookmarkStart w:id="48" w:name="_Toc424053731"/>
      <w:bookmarkStart w:id="49" w:name="_Toc424052437"/>
      <w:bookmarkStart w:id="50" w:name="_Toc424053732"/>
      <w:bookmarkStart w:id="51" w:name="_Toc424052438"/>
      <w:bookmarkStart w:id="52" w:name="_Toc424053733"/>
      <w:bookmarkStart w:id="53" w:name="_Toc424052442"/>
      <w:bookmarkStart w:id="54" w:name="_Toc424053737"/>
      <w:bookmarkStart w:id="55" w:name="_Toc424052447"/>
      <w:bookmarkStart w:id="56" w:name="_Toc424053742"/>
      <w:bookmarkStart w:id="57" w:name="_Toc424052450"/>
      <w:bookmarkStart w:id="58" w:name="_Toc424053745"/>
      <w:bookmarkStart w:id="59" w:name="_Toc424052454"/>
      <w:bookmarkStart w:id="60" w:name="_Toc424053749"/>
      <w:bookmarkStart w:id="61" w:name="_Toc424052456"/>
      <w:bookmarkStart w:id="62" w:name="_Toc424053751"/>
      <w:bookmarkStart w:id="63" w:name="_Toc424052459"/>
      <w:bookmarkStart w:id="64" w:name="_Toc424053754"/>
      <w:bookmarkStart w:id="65" w:name="_Toc424052461"/>
      <w:bookmarkStart w:id="66" w:name="_Toc424053756"/>
      <w:bookmarkStart w:id="67" w:name="_Toc424052464"/>
      <w:bookmarkStart w:id="68" w:name="_Toc424053759"/>
      <w:bookmarkStart w:id="69" w:name="_Toc424052467"/>
      <w:bookmarkStart w:id="70" w:name="_Toc424053762"/>
      <w:bookmarkStart w:id="71" w:name="_Hlk536561711"/>
      <w:bookmarkStart w:id="72" w:name="_Hlk5375430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Benchmark</w:t>
      </w:r>
      <w:r w:rsidR="00B76CC1">
        <w:t xml:space="preserve"> models</w:t>
      </w:r>
      <w:r w:rsidR="002176F0">
        <w:t xml:space="preserve"> </w:t>
      </w:r>
      <w:r w:rsidR="006646A7" w:rsidRPr="001C094E">
        <w:t xml:space="preserve">were prepared </w:t>
      </w:r>
      <w:r w:rsidR="00B76CC1">
        <w:t>at</w:t>
      </w:r>
      <w:r w:rsidR="001B2603">
        <w:t xml:space="preserve"> historical (</w:t>
      </w:r>
      <w:r w:rsidR="00B76CC1">
        <w:rPr>
          <w:szCs w:val="24"/>
        </w:rPr>
        <w:t>Benchmark</w:t>
      </w:r>
      <w:r w:rsidR="00B76CC1" w:rsidRPr="001C094E">
        <w:rPr>
          <w:szCs w:val="24"/>
        </w:rPr>
        <w:t xml:space="preserve"> 011</w:t>
      </w:r>
      <w:r w:rsidR="00B76CC1">
        <w:rPr>
          <w:szCs w:val="24"/>
        </w:rPr>
        <w:t>7</w:t>
      </w:r>
      <w:r w:rsidR="00B76CC1" w:rsidRPr="001C094E">
        <w:rPr>
          <w:szCs w:val="24"/>
        </w:rPr>
        <w:t>21</w:t>
      </w:r>
      <w:r w:rsidR="00B76CC1">
        <w:rPr>
          <w:szCs w:val="24"/>
        </w:rPr>
        <w:t xml:space="preserve"> HIST</w:t>
      </w:r>
      <w:r w:rsidR="001B2603">
        <w:t xml:space="preserve">) </w:t>
      </w:r>
      <w:r w:rsidR="00B76CC1">
        <w:t>and</w:t>
      </w:r>
      <w:r w:rsidR="001B2603">
        <w:t xml:space="preserve"> 2035 climate conditions (</w:t>
      </w:r>
      <w:r w:rsidR="00B76CC1">
        <w:rPr>
          <w:szCs w:val="24"/>
        </w:rPr>
        <w:t>Benchmark</w:t>
      </w:r>
      <w:r w:rsidR="00B76CC1" w:rsidRPr="000B74A9">
        <w:rPr>
          <w:szCs w:val="24"/>
        </w:rPr>
        <w:t xml:space="preserve"> 011721</w:t>
      </w:r>
      <w:r w:rsidR="00B76CC1">
        <w:rPr>
          <w:szCs w:val="24"/>
        </w:rPr>
        <w:t xml:space="preserve"> </w:t>
      </w:r>
      <w:r w:rsidR="001B2603">
        <w:t>2035CT)</w:t>
      </w:r>
      <w:bookmarkStart w:id="73" w:name="_Hlk74583695"/>
      <w:r w:rsidR="00B76CC1">
        <w:t>.</w:t>
      </w:r>
    </w:p>
    <w:bookmarkEnd w:id="73"/>
    <w:p w14:paraId="6CB24958" w14:textId="2F28179B" w:rsidR="005503D5" w:rsidRPr="00652A15" w:rsidRDefault="005503D5" w:rsidP="00502024">
      <w:pPr>
        <w:pStyle w:val="BodyText"/>
        <w:spacing w:before="240"/>
      </w:pPr>
      <w:r w:rsidRPr="00652A15">
        <w:t xml:space="preserve">Sections 2 </w:t>
      </w:r>
      <w:r w:rsidR="004D091C">
        <w:t>and 3</w:t>
      </w:r>
      <w:r w:rsidRPr="00652A15">
        <w:t xml:space="preserve"> describe the assumptions used for each model simulation. Section </w:t>
      </w:r>
      <w:r w:rsidR="004D091C">
        <w:t>4</w:t>
      </w:r>
      <w:r w:rsidRPr="00652A15">
        <w:t xml:space="preserve"> lists references cited.</w:t>
      </w:r>
    </w:p>
    <w:p w14:paraId="0989B337" w14:textId="7C97D89B" w:rsidR="00B26420" w:rsidRPr="001C094E" w:rsidRDefault="005503D5" w:rsidP="004D091C">
      <w:pPr>
        <w:pStyle w:val="BodyText"/>
      </w:pPr>
      <w:bookmarkStart w:id="74" w:name="_Hlk536553571"/>
      <w:r w:rsidRPr="00652A15">
        <w:t xml:space="preserve">The assumptions for </w:t>
      </w:r>
      <w:r w:rsidR="004D091C">
        <w:t>the</w:t>
      </w:r>
      <w:r w:rsidRPr="00652A15">
        <w:t xml:space="preserve"> model simulations</w:t>
      </w:r>
      <w:r w:rsidR="004D091C">
        <w:t xml:space="preserve"> for the two </w:t>
      </w:r>
      <w:r w:rsidR="00950D77">
        <w:t>Benchmark</w:t>
      </w:r>
      <w:r w:rsidR="00B76CC1">
        <w:t xml:space="preserve"> models</w:t>
      </w:r>
      <w:r w:rsidR="004D091C">
        <w:t xml:space="preserve"> </w:t>
      </w:r>
      <w:r w:rsidRPr="00652A15">
        <w:t xml:space="preserve">are also summarized </w:t>
      </w:r>
      <w:bookmarkEnd w:id="74"/>
      <w:r w:rsidRPr="00652A15">
        <w:t xml:space="preserve">in table format in </w:t>
      </w:r>
      <w:bookmarkStart w:id="75" w:name="_Hlk536562499"/>
      <w:r w:rsidR="00B26420" w:rsidRPr="001C094E">
        <w:t>Attachment 2 CalSim II Model Assumptions Callouts</w:t>
      </w:r>
      <w:r w:rsidR="004D091C">
        <w:t>.</w:t>
      </w:r>
    </w:p>
    <w:bookmarkEnd w:id="75"/>
    <w:p w14:paraId="47D4C539" w14:textId="63A083C4" w:rsidR="00497FA7" w:rsidRDefault="00721CB7" w:rsidP="00652A15">
      <w:pPr>
        <w:pStyle w:val="BodyText"/>
      </w:pPr>
      <w:r>
        <w:t xml:space="preserve">Detailed tabulation of </w:t>
      </w:r>
      <w:r w:rsidR="005710B5">
        <w:t xml:space="preserve">delivery specifications in CalSim II are provided in Attachment </w:t>
      </w:r>
      <w:r w:rsidR="00AE3BF5">
        <w:t>3</w:t>
      </w:r>
      <w:r w:rsidR="005710B5">
        <w:t xml:space="preserve"> CalSim II Model Delivery Specifications.</w:t>
      </w:r>
    </w:p>
    <w:p w14:paraId="406593F1" w14:textId="1F97EEA2" w:rsidR="00422BB1" w:rsidRPr="00422BB1" w:rsidRDefault="005503D5" w:rsidP="00B76CC1">
      <w:pPr>
        <w:pStyle w:val="BodyText"/>
        <w:keepNext w:val="0"/>
      </w:pPr>
      <w:r w:rsidRPr="001C094E">
        <w:t xml:space="preserve">Any use of results of model simulations should observe limitations of the models used as well as the limitations to the modeled </w:t>
      </w:r>
      <w:r w:rsidR="00B76CC1">
        <w:t>Benchmarks</w:t>
      </w:r>
      <w:r w:rsidRPr="001C094E">
        <w:t xml:space="preserve">. These results should only be used for comparative purposes. More information regarding limitations of the models used as well as the limitations to the modeled </w:t>
      </w:r>
      <w:r w:rsidR="00B76CC1">
        <w:t>Benchmarks</w:t>
      </w:r>
      <w:r w:rsidRPr="001C094E">
        <w:t xml:space="preserve"> is included Attachment </w:t>
      </w:r>
      <w:r w:rsidR="00190D90">
        <w:t>4</w:t>
      </w:r>
      <w:r w:rsidRPr="001C094E">
        <w:t xml:space="preserve"> Model Limitations.</w:t>
      </w:r>
    </w:p>
    <w:bookmarkEnd w:id="71"/>
    <w:p w14:paraId="42FF59FF" w14:textId="14174935" w:rsidR="003E774D" w:rsidRDefault="003E774D" w:rsidP="003E774D">
      <w:pPr>
        <w:pStyle w:val="Heading2"/>
      </w:pPr>
      <w:r>
        <w:t xml:space="preserve">Assumptions for the </w:t>
      </w:r>
      <w:r w:rsidR="00950D77">
        <w:t>Benchmark</w:t>
      </w:r>
      <w:r w:rsidR="00DC6169">
        <w:t xml:space="preserve"> 011721 HIST</w:t>
      </w:r>
    </w:p>
    <w:p w14:paraId="7B9B209A" w14:textId="7D3B2430" w:rsidR="00122663" w:rsidRPr="00C13C7B" w:rsidRDefault="00122663" w:rsidP="00652A15">
      <w:pPr>
        <w:pStyle w:val="BodyText"/>
        <w:rPr>
          <w:highlight w:val="yellow"/>
        </w:rPr>
      </w:pPr>
      <w:r w:rsidRPr="00906ABB">
        <w:t xml:space="preserve">This section presents the assumptions used in developing the CalSim II simulation of the </w:t>
      </w:r>
      <w:r w:rsidR="00950D77">
        <w:t>Benchmark</w:t>
      </w:r>
      <w:r w:rsidR="00DC6169" w:rsidRPr="00DC6169">
        <w:t xml:space="preserve"> 011721 HIST</w:t>
      </w:r>
      <w:r w:rsidRPr="00906ABB">
        <w:t>.</w:t>
      </w:r>
      <w:r w:rsidRPr="00C13C7B">
        <w:rPr>
          <w:highlight w:val="yellow"/>
        </w:rPr>
        <w:t xml:space="preserve"> </w:t>
      </w:r>
    </w:p>
    <w:p w14:paraId="093EA17F" w14:textId="4E9231E9" w:rsidR="00122663" w:rsidRDefault="00122663" w:rsidP="008415AB">
      <w:pPr>
        <w:pStyle w:val="BodyText"/>
        <w:keepNext w:val="0"/>
      </w:pPr>
      <w:r w:rsidRPr="0053248A">
        <w:t xml:space="preserve">The </w:t>
      </w:r>
      <w:r w:rsidR="00950D77">
        <w:t>Benchmark</w:t>
      </w:r>
      <w:r w:rsidR="00DC6169" w:rsidRPr="00DC6169">
        <w:t xml:space="preserve"> 011721 HIST</w:t>
      </w:r>
      <w:r w:rsidRPr="0053248A">
        <w:t xml:space="preserve"> represents CVP and SWP operations to comply with the 2019 Biological Opinions and </w:t>
      </w:r>
      <w:r w:rsidR="00BC769A">
        <w:t xml:space="preserve">the 2020 </w:t>
      </w:r>
      <w:r w:rsidRPr="0053248A">
        <w:t xml:space="preserve">State Water </w:t>
      </w:r>
      <w:r w:rsidR="00BC769A">
        <w:t xml:space="preserve">Project </w:t>
      </w:r>
      <w:r w:rsidRPr="0053248A">
        <w:t xml:space="preserve">Incidental Take Permit regulatory environment as of </w:t>
      </w:r>
      <w:r w:rsidR="009936AC" w:rsidRPr="00502024">
        <w:t>January</w:t>
      </w:r>
      <w:r w:rsidRPr="00502024">
        <w:t xml:space="preserve"> 202</w:t>
      </w:r>
      <w:r w:rsidR="009769A1" w:rsidRPr="00502024">
        <w:t>1</w:t>
      </w:r>
      <w:r w:rsidRPr="00502024">
        <w:t xml:space="preserve"> under current climate conditions. </w:t>
      </w:r>
      <w:r w:rsidR="00DC6169">
        <w:t>This includes</w:t>
      </w:r>
      <w:r w:rsidRPr="00502024">
        <w:t xml:space="preserve"> existing facilities and ongoing programs that existed as of </w:t>
      </w:r>
      <w:r w:rsidR="009936AC" w:rsidRPr="00502024">
        <w:t>January</w:t>
      </w:r>
      <w:r w:rsidR="009769A1" w:rsidRPr="00502024">
        <w:t xml:space="preserve"> 2021</w:t>
      </w:r>
      <w:r w:rsidRPr="00502024">
        <w:t xml:space="preserve">. </w:t>
      </w:r>
      <w:r w:rsidR="00DC6169">
        <w:t>Additionally, this product includes</w:t>
      </w:r>
      <w:r w:rsidRPr="00502024">
        <w:t xml:space="preserve"> facilities and programs that received approvals and permits by </w:t>
      </w:r>
      <w:r w:rsidR="009936AC" w:rsidRPr="00502024">
        <w:t>January</w:t>
      </w:r>
      <w:r w:rsidR="009769A1" w:rsidRPr="00502024">
        <w:t xml:space="preserve"> 2021</w:t>
      </w:r>
      <w:r w:rsidRPr="00502024">
        <w:t xml:space="preserve">. </w:t>
      </w:r>
    </w:p>
    <w:p w14:paraId="599195FA" w14:textId="6CE77312" w:rsidR="00147058" w:rsidRPr="00147058" w:rsidRDefault="00147058" w:rsidP="00147058"/>
    <w:p w14:paraId="06366331" w14:textId="6F8806C5" w:rsidR="00147058" w:rsidRPr="00147058" w:rsidRDefault="00147058" w:rsidP="00147058"/>
    <w:p w14:paraId="5078A7B4" w14:textId="3FC69336" w:rsidR="00147058" w:rsidRPr="00147058" w:rsidRDefault="00147058" w:rsidP="00147058"/>
    <w:p w14:paraId="400A4AE5" w14:textId="65E80995" w:rsidR="00147058" w:rsidRPr="00147058" w:rsidRDefault="00147058" w:rsidP="00147058"/>
    <w:p w14:paraId="11C48388" w14:textId="77777777" w:rsidR="00147058" w:rsidRPr="00147058" w:rsidRDefault="00147058" w:rsidP="00147058">
      <w:pPr>
        <w:jc w:val="right"/>
      </w:pPr>
    </w:p>
    <w:p w14:paraId="14346012" w14:textId="03B91A59" w:rsidR="005E5CB4" w:rsidRDefault="005E5CB4" w:rsidP="0099742B">
      <w:pPr>
        <w:pStyle w:val="Heading3"/>
      </w:pPr>
      <w:bookmarkStart w:id="76" w:name="_Hlk74314231"/>
      <w:r w:rsidRPr="0099742B">
        <w:lastRenderedPageBreak/>
        <w:t>CalSim</w:t>
      </w:r>
      <w:r>
        <w:t xml:space="preserve"> II Assumptions for the </w:t>
      </w:r>
      <w:r w:rsidR="00950D77">
        <w:t>Benchmark</w:t>
      </w:r>
      <w:r w:rsidR="004F41B0" w:rsidRPr="004F41B0">
        <w:t xml:space="preserve"> 011721 HIST</w:t>
      </w:r>
    </w:p>
    <w:p w14:paraId="2168D3B1" w14:textId="2F4C125F" w:rsidR="00806CE5" w:rsidRPr="00697906" w:rsidRDefault="00806CE5" w:rsidP="00806CE5">
      <w:pPr>
        <w:pStyle w:val="BodyText"/>
      </w:pPr>
      <w:r w:rsidRPr="00697906">
        <w:t xml:space="preserve">The following is a description of the </w:t>
      </w:r>
      <w:r>
        <w:t xml:space="preserve">assumptions </w:t>
      </w:r>
      <w:r w:rsidRPr="00B37ACD">
        <w:t xml:space="preserve">listed in Attachment </w:t>
      </w:r>
      <w:r>
        <w:t>2</w:t>
      </w:r>
      <w:r w:rsidRPr="00B37ACD">
        <w:t xml:space="preserve"> </w:t>
      </w:r>
      <w:r w:rsidR="00720906">
        <w:t>CalSim II</w:t>
      </w:r>
      <w:r w:rsidRPr="00B37ACD">
        <w:t xml:space="preserve"> Model Assumptions Callouts.</w:t>
      </w:r>
    </w:p>
    <w:p w14:paraId="1BBC638F" w14:textId="77777777" w:rsidR="00AA1F10" w:rsidRPr="00421095" w:rsidRDefault="00AA1F10" w:rsidP="008415AB">
      <w:pPr>
        <w:pStyle w:val="Heading4"/>
      </w:pPr>
      <w:r w:rsidRPr="00697906">
        <w:t>Hydrology</w:t>
      </w:r>
    </w:p>
    <w:p w14:paraId="254421DE" w14:textId="77777777" w:rsidR="00AA1F10" w:rsidRPr="00697906" w:rsidRDefault="00AA1F10" w:rsidP="008415AB">
      <w:pPr>
        <w:pStyle w:val="Heading5"/>
        <w:keepNext/>
      </w:pPr>
      <w:r w:rsidRPr="00697906">
        <w:t>Inflows/Supplies</w:t>
      </w:r>
    </w:p>
    <w:p w14:paraId="41D40EFA" w14:textId="6784CAE7" w:rsidR="00AA1F10" w:rsidRPr="00697906" w:rsidRDefault="00AA1F10" w:rsidP="00AA1F10">
      <w:pPr>
        <w:pStyle w:val="BodyText"/>
      </w:pPr>
      <w:r w:rsidRPr="00697906">
        <w:t xml:space="preserve">The CalSim II model includes the historical hydrology with projected </w:t>
      </w:r>
      <w:r w:rsidRPr="008C6497">
        <w:t>2020</w:t>
      </w:r>
      <w:r w:rsidRPr="00697906">
        <w:t xml:space="preserve"> modifications for operations upstream of the rim reservoirs.</w:t>
      </w:r>
    </w:p>
    <w:p w14:paraId="7F4F51AD" w14:textId="77777777" w:rsidR="00AA1F10" w:rsidRPr="00697906" w:rsidRDefault="00AA1F10" w:rsidP="0099742B">
      <w:pPr>
        <w:pStyle w:val="Heading5"/>
      </w:pPr>
      <w:r w:rsidRPr="00697906">
        <w:t>Level of Development</w:t>
      </w:r>
    </w:p>
    <w:p w14:paraId="20FD5748" w14:textId="77777777" w:rsidR="00AA1F10" w:rsidRPr="00697906" w:rsidRDefault="00AA1F10" w:rsidP="00AA1F10">
      <w:pPr>
        <w:pStyle w:val="BodyText"/>
      </w:pPr>
      <w:r w:rsidRPr="00697906">
        <w:t>CalSim II uses a hydrology which is the result of an analysis of agricultural and urban land use and population estimates. The assumptions used for Sacramento Valley land use result from aggregation of historical survey and projected data developed for the California Water Plan Update (Bulletin 160-98)</w:t>
      </w:r>
      <w:r>
        <w:t xml:space="preserve">. </w:t>
      </w:r>
      <w:r w:rsidRPr="00697906">
        <w:t>Generally, land use projections are based on Year 2020 estimates (hydrology serial number 2020D09E), however the San Joaquin Valley hydrology reflects draft 2030 land use assumptions developed by Reclamation. Where appropriate Year 2020 projections of demands associated with water rights and CVP and SWP water service contracts have been included</w:t>
      </w:r>
      <w:r>
        <w:t xml:space="preserve">. </w:t>
      </w:r>
      <w:r w:rsidRPr="00697906">
        <w:t>Specifically, projections of full build out are used to describe the American River region demands for water rights and CVP contract supplies, and California Aqueduct and the Delta Mendota Canal SWP/CVP contractor demands are set to full contract amounts</w:t>
      </w:r>
      <w:r>
        <w:t xml:space="preserve">. </w:t>
      </w:r>
    </w:p>
    <w:p w14:paraId="320A1B55" w14:textId="77777777" w:rsidR="00AA1F10" w:rsidRPr="00697906" w:rsidRDefault="00AA1F10" w:rsidP="00AA1F10">
      <w:pPr>
        <w:pStyle w:val="BodyText"/>
      </w:pPr>
      <w:r w:rsidRPr="00697906">
        <w:t>CVP Settlement Contractor Consumptive Use of Applied Water (CUAW) Demands are modified to match historical annual volumes and monthly distributions, based on historical data from 2000 – 2016</w:t>
      </w:r>
      <w:r>
        <w:t xml:space="preserve">. </w:t>
      </w:r>
      <w:r w:rsidRPr="00697906">
        <w:t>The monthly distributions of annual contract amounts were also modified to match the distributions of CUAW demand</w:t>
      </w:r>
      <w:r>
        <w:t xml:space="preserve">. </w:t>
      </w:r>
      <w:r w:rsidRPr="00697906">
        <w:t xml:space="preserve"> </w:t>
      </w:r>
    </w:p>
    <w:p w14:paraId="48C74BDE" w14:textId="77777777" w:rsidR="00AA1F10" w:rsidRPr="00697906" w:rsidRDefault="00AA1F10" w:rsidP="0099742B">
      <w:pPr>
        <w:pStyle w:val="Heading5"/>
      </w:pPr>
      <w:r w:rsidRPr="00697906">
        <w:t>Demands, Water Rights, CVP/SWP Contracts</w:t>
      </w:r>
    </w:p>
    <w:p w14:paraId="20B66223" w14:textId="2B44026A" w:rsidR="00AA1F10" w:rsidRPr="00697906" w:rsidRDefault="00AA1F10" w:rsidP="00AA1F10">
      <w:pPr>
        <w:pStyle w:val="BodyText"/>
      </w:pPr>
      <w:r w:rsidRPr="00697906">
        <w:t>CalSim II demand inputs are preprocessed monthly time series for a specified level of development (e.g. 2020) and according to hydrologic conditions</w:t>
      </w:r>
      <w:r>
        <w:t xml:space="preserve">. </w:t>
      </w:r>
      <w:r w:rsidRPr="00697906">
        <w:t>Demands are classified as CVP</w:t>
      </w:r>
      <w:r w:rsidR="00981899">
        <w:t xml:space="preserve"> </w:t>
      </w:r>
      <w:r w:rsidRPr="00697906">
        <w:t xml:space="preserve">project, SWP project, local </w:t>
      </w:r>
      <w:r w:rsidR="00981943" w:rsidRPr="00697906">
        <w:t>project,</w:t>
      </w:r>
      <w:r w:rsidRPr="00697906">
        <w:t xml:space="preserve"> or non-project</w:t>
      </w:r>
      <w:r>
        <w:t xml:space="preserve">. </w:t>
      </w:r>
      <w:r w:rsidRPr="00697906">
        <w:t>CVP and SWP demands are separated into different classes based on the contract type</w:t>
      </w:r>
      <w:r>
        <w:t xml:space="preserve">. </w:t>
      </w:r>
      <w:r w:rsidRPr="00697906">
        <w:t>A description of various demands and classifications included in CalSim II is provided in the 2008 OCAP BA Appendix D (USBR,</w:t>
      </w:r>
      <w:r w:rsidR="00981899">
        <w:t xml:space="preserve"> </w:t>
      </w:r>
      <w:r w:rsidRPr="00697906">
        <w:t>2008a).</w:t>
      </w:r>
    </w:p>
    <w:p w14:paraId="0FDF8E11" w14:textId="01C4A77E" w:rsidR="00AA1F10" w:rsidRDefault="00AA1F10" w:rsidP="00AA1F10">
      <w:pPr>
        <w:pStyle w:val="BodyText"/>
      </w:pPr>
      <w:r w:rsidRPr="00697906">
        <w:t xml:space="preserve">The detailed listing of CVP and SWP contract amounts and other water rights assumptions are included in the delivery specification tables in Attachment </w:t>
      </w:r>
      <w:r w:rsidR="0012464C">
        <w:t>3</w:t>
      </w:r>
      <w:r w:rsidRPr="00697906">
        <w:t xml:space="preserve"> CalSim II Model Delivery Specifications.</w:t>
      </w:r>
    </w:p>
    <w:p w14:paraId="0E59E23E" w14:textId="77777777" w:rsidR="00AA1F10" w:rsidRPr="0099742B" w:rsidRDefault="00AA1F10" w:rsidP="0099742B">
      <w:pPr>
        <w:pStyle w:val="Heading6"/>
        <w:rPr>
          <w:b/>
          <w:bCs w:val="0"/>
        </w:rPr>
      </w:pPr>
      <w:r w:rsidRPr="0099742B">
        <w:rPr>
          <w:b/>
          <w:bCs w:val="0"/>
        </w:rPr>
        <w:t>CCWD</w:t>
      </w:r>
    </w:p>
    <w:p w14:paraId="2949239D" w14:textId="66FB02E6" w:rsidR="00AA1F10" w:rsidRPr="00697906" w:rsidRDefault="00AA1F10" w:rsidP="002F6516">
      <w:pPr>
        <w:pStyle w:val="BodyText"/>
        <w:keepNext w:val="0"/>
      </w:pPr>
      <w:r w:rsidRPr="0090653F">
        <w:t>Contra Costa Water District’s (CCWD)</w:t>
      </w:r>
      <w:r w:rsidRPr="00A02B93">
        <w:t xml:space="preserve"> </w:t>
      </w:r>
      <w:r>
        <w:t>annual service area demands are met by CVP service contract deliveries and other CCWD diversions</w:t>
      </w:r>
      <w:r w:rsidRPr="00A02B93">
        <w:t>.</w:t>
      </w:r>
      <w:r>
        <w:t xml:space="preserve"> </w:t>
      </w:r>
      <w:r w:rsidRPr="0090653F">
        <w:t>To be consistent with CCWD</w:t>
      </w:r>
      <w:r>
        <w:t>’s</w:t>
      </w:r>
      <w:r w:rsidRPr="0090653F">
        <w:t xml:space="preserve"> latest modeling, the </w:t>
      </w:r>
      <w:r w:rsidR="00950D77">
        <w:t>Benchmark</w:t>
      </w:r>
      <w:r w:rsidR="0012464C" w:rsidRPr="0012464C">
        <w:t xml:space="preserve"> 011721 HIST</w:t>
      </w:r>
      <w:r>
        <w:t xml:space="preserve"> model</w:t>
      </w:r>
      <w:r w:rsidRPr="0090653F">
        <w:t xml:space="preserve"> include</w:t>
      </w:r>
      <w:r>
        <w:t>s</w:t>
      </w:r>
      <w:r w:rsidRPr="0090653F">
        <w:t xml:space="preserve"> in-Delta transfers to meet </w:t>
      </w:r>
      <w:r>
        <w:t xml:space="preserve">CCWD </w:t>
      </w:r>
      <w:r w:rsidRPr="0090653F">
        <w:t>demands</w:t>
      </w:r>
      <w:r>
        <w:t xml:space="preserve"> not otherwise met by CVP service contract deliveries and other CCWD diversions</w:t>
      </w:r>
      <w:r w:rsidRPr="0090653F">
        <w:t>.</w:t>
      </w:r>
    </w:p>
    <w:p w14:paraId="75E815A0" w14:textId="77777777" w:rsidR="00AA1F10" w:rsidRPr="00697906" w:rsidRDefault="00AA1F10" w:rsidP="0099742B">
      <w:pPr>
        <w:pStyle w:val="Heading4"/>
      </w:pPr>
      <w:r w:rsidRPr="00697906">
        <w:lastRenderedPageBreak/>
        <w:t>Facilities</w:t>
      </w:r>
    </w:p>
    <w:p w14:paraId="639281ED" w14:textId="77777777" w:rsidR="00AA1F10" w:rsidRPr="00697906" w:rsidRDefault="00AA1F10" w:rsidP="00AA1F10">
      <w:pPr>
        <w:pStyle w:val="BodyText"/>
      </w:pPr>
      <w:r w:rsidRPr="00697906">
        <w:t>All CVP-SWP existing facilities are simulated based on operations criteria under current regulatory environment.</w:t>
      </w:r>
    </w:p>
    <w:p w14:paraId="068F4308" w14:textId="2C41E1CB" w:rsidR="00AA1F10" w:rsidRPr="00697906" w:rsidRDefault="00AA1F10" w:rsidP="00AA1F10">
      <w:pPr>
        <w:pStyle w:val="BodyText"/>
      </w:pPr>
      <w:r w:rsidRPr="00697906">
        <w:t>CalSim II includes representation of all the existing CVP and SWP storage and conveyance facilities</w:t>
      </w:r>
      <w:r>
        <w:t xml:space="preserve">. </w:t>
      </w:r>
      <w:r w:rsidRPr="00697906">
        <w:t xml:space="preserve">Assumptions regarding selected key facilities are included in the callout tables in Attachment </w:t>
      </w:r>
      <w:r w:rsidR="008160D7">
        <w:t>2</w:t>
      </w:r>
      <w:r w:rsidRPr="00697906">
        <w:t xml:space="preserve"> CalSim II Model Assumptions Callouts. </w:t>
      </w:r>
    </w:p>
    <w:p w14:paraId="410B4CE4" w14:textId="77777777" w:rsidR="00AA1F10" w:rsidRPr="00697906" w:rsidRDefault="00AA1F10" w:rsidP="00AA1F10">
      <w:pPr>
        <w:pStyle w:val="BodyText"/>
      </w:pPr>
      <w:r w:rsidRPr="00697906">
        <w:t>CalSim II also represents the flood control weirs such as the Fremont Weir located along the Sacramento River at the upstream end of the Yolo Bypass (Reclamation, 2017)</w:t>
      </w:r>
      <w:r>
        <w:t xml:space="preserve">. </w:t>
      </w:r>
    </w:p>
    <w:p w14:paraId="6991AF80" w14:textId="6244BDE5" w:rsidR="00AA1F10" w:rsidRPr="00697906" w:rsidRDefault="00AA1F10" w:rsidP="00AA1F10">
      <w:pPr>
        <w:pStyle w:val="BodyText"/>
      </w:pPr>
      <w:r w:rsidRPr="00697906">
        <w:t xml:space="preserve">The </w:t>
      </w:r>
      <w:r w:rsidR="00950D77">
        <w:t>Benchmark</w:t>
      </w:r>
      <w:r w:rsidR="0012464C" w:rsidRPr="0012464C">
        <w:t xml:space="preserve"> 011721 HIST</w:t>
      </w:r>
      <w:r w:rsidR="00554375" w:rsidRPr="00697906">
        <w:t xml:space="preserve"> </w:t>
      </w:r>
      <w:r w:rsidRPr="00697906">
        <w:t>also includes the Freeport Regional Water Project, located along the Sacramento River near Freeport and the City of Stockton Delta Water Supply Project (30 mgd capacity).</w:t>
      </w:r>
    </w:p>
    <w:p w14:paraId="1506B830" w14:textId="1757A0E3" w:rsidR="00AA1F10" w:rsidRPr="00697906" w:rsidRDefault="00AA1F10" w:rsidP="00AA1F10">
      <w:pPr>
        <w:pStyle w:val="BodyText"/>
      </w:pPr>
      <w:r w:rsidRPr="00697906">
        <w:t xml:space="preserve">A brief description of the key export facilities located in the Delta and included under the </w:t>
      </w:r>
      <w:r w:rsidR="00950D77">
        <w:t>Benchmark</w:t>
      </w:r>
      <w:r w:rsidR="0012464C" w:rsidRPr="0012464C">
        <w:t xml:space="preserve"> 011721 HIST</w:t>
      </w:r>
      <w:r w:rsidRPr="00697906">
        <w:t xml:space="preserve"> run is provided below. </w:t>
      </w:r>
    </w:p>
    <w:p w14:paraId="3DD4D87D" w14:textId="77777777" w:rsidR="00AA1F10" w:rsidRPr="00697906" w:rsidRDefault="00AA1F10" w:rsidP="00AA1F10">
      <w:pPr>
        <w:pStyle w:val="BodyText"/>
      </w:pPr>
      <w:r w:rsidRPr="00697906">
        <w:t>The Delta serves as a natural system of channels to transport river flows and reservoir storage to the CVP and SWP facilities in the south Delta, which export water to the projects’ contractors through two pumping plants: CVP’s C.W. Jones Pumping Plant and SWP’s Harvey O. Banks Pumping Plant. Jones and Banks Pumping Plants supply water to agricultural and urban users throughout parts of the San Joaquin Valley, South Lahontan, Southern California, Central Coast, and South San Francisco Bay Area regions.</w:t>
      </w:r>
    </w:p>
    <w:p w14:paraId="2981FF17" w14:textId="77777777" w:rsidR="00AA1F10" w:rsidRPr="00697906" w:rsidRDefault="00AA1F10" w:rsidP="00AA1F10">
      <w:pPr>
        <w:pStyle w:val="BodyText"/>
      </w:pPr>
      <w:r w:rsidRPr="00697906">
        <w:t xml:space="preserve">The Contra Costa Canal and the North Bay Aqueduct supply water to users in the northeastern San Francisco Bay and Napa Valley areas. </w:t>
      </w:r>
    </w:p>
    <w:p w14:paraId="7B23DA5C" w14:textId="77777777" w:rsidR="00AA1F10" w:rsidRPr="00697906" w:rsidRDefault="00AA1F10" w:rsidP="0099742B">
      <w:pPr>
        <w:pStyle w:val="Heading5"/>
      </w:pPr>
      <w:r w:rsidRPr="00697906">
        <w:t>Fremont Weir</w:t>
      </w:r>
    </w:p>
    <w:p w14:paraId="297D06CA" w14:textId="481BA607" w:rsidR="00AA1F10" w:rsidRPr="00697906" w:rsidRDefault="00AA1F10" w:rsidP="00AA1F10">
      <w:pPr>
        <w:pStyle w:val="BodyText"/>
      </w:pPr>
      <w:r w:rsidRPr="00697906">
        <w:t>Fremont Weir is a flood control structure located along the Sacramento River at the head of the Yolo Bypass.</w:t>
      </w:r>
      <w:r>
        <w:t xml:space="preserve"> </w:t>
      </w:r>
      <w:r w:rsidRPr="00697906">
        <w:t xml:space="preserve">To enhance the potential benefits of the Yolo Bypass for various fish species, the Fremont Weir is assumed to be notched to provide increased seasonal floodplain inundation. </w:t>
      </w:r>
      <w:r>
        <w:t>I</w:t>
      </w:r>
      <w:r w:rsidRPr="00697906">
        <w:t>t is assumed that an opening in the existing weir and operable gates are constructed at invert elevation 14 feet along with two smaller openings and operable gates at invert elevation 18 feet</w:t>
      </w:r>
      <w:r>
        <w:t xml:space="preserve">. </w:t>
      </w:r>
      <w:r w:rsidR="002C042F">
        <w:t xml:space="preserve"> This </w:t>
      </w:r>
      <w:r w:rsidR="00C1697B">
        <w:t>structure</w:t>
      </w:r>
      <w:r w:rsidR="002C042F">
        <w:t xml:space="preserve"> is further described in the Yolo Bypass Salmonid Habitat Restoration and Fish Passage EIS/EIR Alternative 1</w:t>
      </w:r>
      <w:r w:rsidR="00C1697B">
        <w:t>.</w:t>
      </w:r>
    </w:p>
    <w:p w14:paraId="3C7A4787" w14:textId="63271374" w:rsidR="00AA1F10" w:rsidRPr="00697906" w:rsidRDefault="00AA1F10" w:rsidP="0099742B">
      <w:pPr>
        <w:pStyle w:val="Heading5"/>
      </w:pPr>
      <w:r w:rsidRPr="00697906">
        <w:t>CVP C.W. Bill Jones Pumping Plant (Tracy PP) Capacity</w:t>
      </w:r>
    </w:p>
    <w:p w14:paraId="3A16DF35" w14:textId="77777777" w:rsidR="00AA1F10" w:rsidRPr="00697906" w:rsidRDefault="00AA1F10" w:rsidP="00AA1F10">
      <w:pPr>
        <w:pStyle w:val="BodyText"/>
      </w:pPr>
      <w:r w:rsidRPr="00697906">
        <w:t>The Jones Pumping Plant consists of six pumps including one rated at 800 cfs, two at 850 cfs, and three at 950 cfs. Maximum pumping capacity is assumed to be 4,600 cfs with the 400 cfs Delta Mendota Canal (DMC) –California Aqueduct Intertie that became operational in July 2012.</w:t>
      </w:r>
    </w:p>
    <w:p w14:paraId="1A7DD3F1" w14:textId="77777777" w:rsidR="00AA1F10" w:rsidRPr="00697906" w:rsidRDefault="00AA1F10" w:rsidP="0099742B">
      <w:pPr>
        <w:pStyle w:val="Heading5"/>
      </w:pPr>
      <w:r w:rsidRPr="00697906">
        <w:t>SWP Banks Pumping Plant Capacity</w:t>
      </w:r>
    </w:p>
    <w:p w14:paraId="6838764D" w14:textId="5BFE7644" w:rsidR="00AA1F10" w:rsidRPr="00697906" w:rsidRDefault="00AA1F10" w:rsidP="00AA1F10">
      <w:pPr>
        <w:pStyle w:val="BodyText"/>
      </w:pPr>
      <w:r w:rsidRPr="00697906">
        <w:t xml:space="preserve">SWP Banks pumping plant has an installed capacity of about 10,300 cfs. The SWP water rights for diversions specify a maximum of 10,300 cfs, but the U. S. Army Corps’ of Engineers </w:t>
      </w:r>
      <w:r w:rsidRPr="00697906">
        <w:lastRenderedPageBreak/>
        <w:t>(ACOE) permit for SWP Banks Pumping Plant allows a maximum pumping of 6,680 cfs. With additional diversions depending on Vernalis flows the total diversion can go up to 10,300 cfs during December 15 – March 15</w:t>
      </w:r>
      <w:r>
        <w:t xml:space="preserve">. </w:t>
      </w:r>
      <w:r w:rsidRPr="00697906">
        <w:t xml:space="preserve">Additional capacity of 500 cfs (pumping limit up to 7,180 cfs) is allowed to reduce impact of </w:t>
      </w:r>
      <w:r w:rsidR="00272F93">
        <w:t xml:space="preserve">2020 SWP ITP Spring Outflow </w:t>
      </w:r>
      <w:r w:rsidR="00272F93" w:rsidRPr="00272F93">
        <w:t>Action</w:t>
      </w:r>
      <w:r w:rsidR="00074D33" w:rsidRPr="00272F93">
        <w:t xml:space="preserve"> </w:t>
      </w:r>
      <w:r w:rsidRPr="00272F93">
        <w:t>on t</w:t>
      </w:r>
      <w:r w:rsidRPr="00697906">
        <w:t xml:space="preserve">he SWP. </w:t>
      </w:r>
    </w:p>
    <w:p w14:paraId="591F5930" w14:textId="77777777" w:rsidR="00AA1F10" w:rsidRPr="00697906" w:rsidRDefault="00AA1F10" w:rsidP="0099742B">
      <w:pPr>
        <w:pStyle w:val="Heading5"/>
      </w:pPr>
      <w:r w:rsidRPr="00697906">
        <w:t>CCWD Intakes</w:t>
      </w:r>
    </w:p>
    <w:p w14:paraId="22AD71E3" w14:textId="77777777" w:rsidR="00AA1F10" w:rsidRDefault="00AA1F10" w:rsidP="00AA1F10">
      <w:pPr>
        <w:pStyle w:val="BodyText"/>
      </w:pPr>
      <w:r w:rsidRPr="00697906">
        <w:t>The Contra Costa Canal originates at Rock Slough, about four miles southeast of Oakley, and terminates after 47.7 miles at Martinez Reservoir. Historically, diversions at the unscreened Rock Slough facility (Contra Costa Canal Pumping Plant No. 1) have ranged from about 50 to 250 cfs. The canal and associated facilities are part of the CVP; but are operated and maintained by the Contra Costa Water District (CCWD). CCWD also operates a diversion on Old River and the Alternative Intake Project (AIP), the new drinking water intake at Victoria Canal, about 2.5 miles east of Contra Costa Water District’s (CCWD) intake on the Old River. CCWD can divert water to the Los Vaqueros Reservoir to store good quality water when available and supply to its customers</w:t>
      </w:r>
      <w:r>
        <w:t xml:space="preserve">. </w:t>
      </w:r>
    </w:p>
    <w:p w14:paraId="72F6D712" w14:textId="12A22341" w:rsidR="00AA1F10" w:rsidRDefault="00AA1F10" w:rsidP="00AA1F10">
      <w:pPr>
        <w:pStyle w:val="BodyText"/>
      </w:pPr>
      <w:r w:rsidRPr="00A02B93">
        <w:t xml:space="preserve">To be consistent with CCWD’s latest </w:t>
      </w:r>
      <w:r>
        <w:t xml:space="preserve">Los Vaqueros </w:t>
      </w:r>
      <w:r w:rsidRPr="00A02B93">
        <w:t xml:space="preserve">modeling, the </w:t>
      </w:r>
      <w:r w:rsidR="00B76CC1">
        <w:t>Benchmark</w:t>
      </w:r>
      <w:r>
        <w:t xml:space="preserve"> model</w:t>
      </w:r>
      <w:r w:rsidRPr="006756C4">
        <w:t xml:space="preserve"> include</w:t>
      </w:r>
      <w:r>
        <w:t>s</w:t>
      </w:r>
      <w:r w:rsidRPr="006756C4">
        <w:t xml:space="preserve"> updated </w:t>
      </w:r>
      <w:r w:rsidRPr="00615D23">
        <w:t xml:space="preserve">local inflow, </w:t>
      </w:r>
      <w:r w:rsidR="00D572E5" w:rsidRPr="00615D23">
        <w:t>precipitation,</w:t>
      </w:r>
      <w:r w:rsidRPr="00615D23">
        <w:t xml:space="preserve"> and evaporation values for Los Vaqueros Reservoir.</w:t>
      </w:r>
    </w:p>
    <w:p w14:paraId="02A5C3EE" w14:textId="77777777" w:rsidR="00AA1F10" w:rsidRPr="00697906" w:rsidRDefault="00AA1F10" w:rsidP="0099742B">
      <w:pPr>
        <w:pStyle w:val="Heading5"/>
      </w:pPr>
      <w:r>
        <w:t>Suisun March</w:t>
      </w:r>
      <w:r w:rsidRPr="00F41AEA">
        <w:t xml:space="preserve"> Salinity Control Gates</w:t>
      </w:r>
    </w:p>
    <w:p w14:paraId="2C5A34A3" w14:textId="1919EF7B" w:rsidR="00AA1F10" w:rsidRDefault="00AA1F10" w:rsidP="00985CF5">
      <w:pPr>
        <w:pStyle w:val="BodyText"/>
        <w:keepNext w:val="0"/>
      </w:pPr>
      <w:r>
        <w:t xml:space="preserve">The Suisun Marsh </w:t>
      </w:r>
      <w:r w:rsidRPr="008366C7">
        <w:t>Salinity Control Gates</w:t>
      </w:r>
      <w:r>
        <w:t xml:space="preserve"> (SMSCG) are located on Montezuma Slough about 2 miles downstream from the confluence of the Sacramento and San Joaquin Rivers, near Collinsville. The objective of the SMSCG operation is to decrease the salinity of the water in Montezuma Slough. The gates control salinity by restricting the flow of higher salinity water from Grizzly Bay into Montezuma Slough during incoming tides and retaining lower salinity Sacramento River water from the previous ebb tide. Operation of the gates in this fashion lowers salinity in Suisun Marsh channels and results in a net movement of water from east to west through Suisun Marsh.</w:t>
      </w:r>
    </w:p>
    <w:p w14:paraId="10B89DD9" w14:textId="77777777" w:rsidR="006851B1" w:rsidRDefault="006851B1" w:rsidP="00985CF5">
      <w:pPr>
        <w:pStyle w:val="Heading5"/>
        <w:keepNext/>
      </w:pPr>
      <w:r>
        <w:t>Red Bluff Pumping Plant</w:t>
      </w:r>
    </w:p>
    <w:p w14:paraId="158C47FB" w14:textId="0AC1B54C" w:rsidR="006851B1" w:rsidRDefault="00950D77" w:rsidP="008415AB">
      <w:pPr>
        <w:pStyle w:val="BodyText"/>
        <w:keepNext w:val="0"/>
      </w:pPr>
      <w:r>
        <w:t>Benchmark</w:t>
      </w:r>
      <w:r w:rsidR="0012464C" w:rsidRPr="0012464C">
        <w:t xml:space="preserve"> 011721 HIST</w:t>
      </w:r>
      <w:r w:rsidR="006851B1">
        <w:t xml:space="preserve"> assumes that the pumping capacity at Red Bluff Pumping Plant is 2,</w:t>
      </w:r>
      <w:r w:rsidR="001B4A3F">
        <w:t>0</w:t>
      </w:r>
      <w:r w:rsidR="006851B1">
        <w:t xml:space="preserve">00 cfs. </w:t>
      </w:r>
    </w:p>
    <w:p w14:paraId="41B219DC" w14:textId="446B724B" w:rsidR="006851B1" w:rsidRDefault="006851B1" w:rsidP="008415AB">
      <w:pPr>
        <w:pStyle w:val="Heading5"/>
        <w:keepNext/>
      </w:pPr>
      <w:r>
        <w:t>Hamilton City Pump Station</w:t>
      </w:r>
    </w:p>
    <w:p w14:paraId="1305136F" w14:textId="563BFA9E" w:rsidR="006851B1" w:rsidRDefault="00950D77" w:rsidP="008415AB">
      <w:pPr>
        <w:pStyle w:val="BodyText"/>
        <w:keepNext w:val="0"/>
      </w:pPr>
      <w:r>
        <w:t>Benchmark</w:t>
      </w:r>
      <w:r w:rsidR="0012464C" w:rsidRPr="0012464C">
        <w:t xml:space="preserve"> 011721 HIST</w:t>
      </w:r>
      <w:r w:rsidR="006851B1">
        <w:t xml:space="preserve"> assumes that the pumping capacity at Hamilton City Pump Station is </w:t>
      </w:r>
      <w:r w:rsidR="00E43B57">
        <w:t>3</w:t>
      </w:r>
      <w:r w:rsidR="006851B1">
        <w:t>,</w:t>
      </w:r>
      <w:r w:rsidR="00E43B57">
        <w:t>0</w:t>
      </w:r>
      <w:r w:rsidR="006851B1">
        <w:t>00 cfs.</w:t>
      </w:r>
    </w:p>
    <w:p w14:paraId="1BA22D62" w14:textId="77777777" w:rsidR="00AA1F10" w:rsidRPr="00697906" w:rsidRDefault="00AA1F10" w:rsidP="0099742B">
      <w:pPr>
        <w:pStyle w:val="Heading4"/>
      </w:pPr>
      <w:r w:rsidRPr="00697906">
        <w:t>Regulatory Standards</w:t>
      </w:r>
    </w:p>
    <w:p w14:paraId="37B3BCC1" w14:textId="1DDACD44" w:rsidR="00AA1F10" w:rsidRPr="00697906" w:rsidRDefault="00AA1F10" w:rsidP="00AA1F10">
      <w:pPr>
        <w:pStyle w:val="BodyText"/>
      </w:pPr>
      <w:r w:rsidRPr="00697906">
        <w:t xml:space="preserve">The regulatory standards that govern the operations of the CVP and SWP facilities under the </w:t>
      </w:r>
      <w:r w:rsidR="00950D77">
        <w:t>Benchmark</w:t>
      </w:r>
      <w:r w:rsidR="0012464C" w:rsidRPr="0012464C">
        <w:t xml:space="preserve"> 011721 HIST</w:t>
      </w:r>
      <w:r w:rsidRPr="00697906">
        <w:t xml:space="preserve"> are briefly described below. Specific assumptions related to key regulatory standards are also outlined below.</w:t>
      </w:r>
    </w:p>
    <w:p w14:paraId="055CFBC7" w14:textId="77777777" w:rsidR="00AA1F10" w:rsidRPr="00697906" w:rsidRDefault="00AA1F10" w:rsidP="0099742B">
      <w:pPr>
        <w:pStyle w:val="Heading5"/>
      </w:pPr>
      <w:r w:rsidRPr="00697906">
        <w:t>D-1641 Operations</w:t>
      </w:r>
    </w:p>
    <w:p w14:paraId="5B33B597" w14:textId="77777777" w:rsidR="00AA1F10" w:rsidRPr="00697906" w:rsidRDefault="00AA1F10" w:rsidP="00AA1F10">
      <w:pPr>
        <w:pStyle w:val="BodyText"/>
      </w:pPr>
      <w:r w:rsidRPr="00697906">
        <w:lastRenderedPageBreak/>
        <w:t>The SWRCB Water Quality Control Plan (WQCP) and other applicable water rights decisions, as well as other agreements are important factors in determining the operations of both the Central Valley Project (CVP) and the State Water Project (SWP).</w:t>
      </w:r>
    </w:p>
    <w:p w14:paraId="69CA59D0" w14:textId="77777777" w:rsidR="00AA1F10" w:rsidRDefault="00AA1F10" w:rsidP="00AA1F10">
      <w:pPr>
        <w:pStyle w:val="BodyText"/>
      </w:pPr>
      <w:r w:rsidRPr="00697906">
        <w:t>The December 1994 Accord committed the CVP and SWP to a set of Delta habitat protective objectives that were incorporated into the 1995 WQCP and later, were implemented by D-1641. Significant elements in D-1641 include X2 standards, export/inflow (E/I) ratios, Delta water quality standards, real-time Delta Cross Channel operation, and San Joaquin flow standards.</w:t>
      </w:r>
    </w:p>
    <w:p w14:paraId="12E4795A" w14:textId="77777777" w:rsidR="00AA1F10" w:rsidRPr="00697906" w:rsidRDefault="00AA1F10" w:rsidP="0099742B">
      <w:pPr>
        <w:pStyle w:val="Heading5"/>
      </w:pPr>
      <w:r w:rsidRPr="00697906">
        <w:t>Coordinated Operations Agreement (COA)</w:t>
      </w:r>
    </w:p>
    <w:p w14:paraId="62101DAD" w14:textId="77777777" w:rsidR="00AA1F10" w:rsidRPr="00697906" w:rsidRDefault="00AA1F10" w:rsidP="00AA1F10">
      <w:pPr>
        <w:pStyle w:val="BodyText"/>
      </w:pPr>
      <w:r w:rsidRPr="00697906">
        <w:t>The CVP and SWP use a common water supply in the Central Valley of California. Reclamation and DWR have built water conservation and water delivery facilities in the Central Valley in order to deliver water supplies to project contractors. The water rights of the projects are conditioned by the SWRCB to protect the beneficial uses of water within each respective project and jointly for the protection of beneficial uses in the Sacramento Valley and the Sacramento-San Joaquin Delta Estuary. The agencies coordinate and operate the CVP and SWP to meet the joint water right requirements in the Delta.</w:t>
      </w:r>
    </w:p>
    <w:p w14:paraId="1F4F6797" w14:textId="77777777" w:rsidR="00AA1F10" w:rsidRPr="00697906" w:rsidRDefault="00AA1F10" w:rsidP="00AA1F10">
      <w:pPr>
        <w:pStyle w:val="BodyText"/>
      </w:pPr>
      <w:r w:rsidRPr="00697906">
        <w:t>The Coordinated Operations Agreement (COA), signed in 1986, defines the project facilities and their water supplies, sets forth procedures for coordination of operations, identifies formulas for sharing joint responsibilities for meeting Delta standards as they existed in SWRCB Decision 1485 (D-1485), identifies how unstored flow will be shared, sets up a framework for exchange of water and services between the Projects, and provides for periodic review of the agreement.</w:t>
      </w:r>
    </w:p>
    <w:p w14:paraId="4445DB5B" w14:textId="1AB962D8" w:rsidR="00AA1F10" w:rsidRPr="00697906" w:rsidRDefault="00AA1F10" w:rsidP="00985CF5">
      <w:pPr>
        <w:pStyle w:val="BodyText"/>
        <w:keepNext w:val="0"/>
      </w:pPr>
      <w:r w:rsidRPr="00697906">
        <w:t>Reclamation and DWR re-negotiated COA in 2018</w:t>
      </w:r>
      <w:r>
        <w:t>.</w:t>
      </w:r>
      <w:r w:rsidRPr="00697906">
        <w:t xml:space="preserve"> </w:t>
      </w:r>
      <w:r>
        <w:t>T</w:t>
      </w:r>
      <w:r w:rsidRPr="00697906">
        <w:t xml:space="preserve">his </w:t>
      </w:r>
      <w:r>
        <w:t>model</w:t>
      </w:r>
      <w:r w:rsidRPr="00697906">
        <w:t xml:space="preserve"> includes the new COA. The amendment stipulates a change in responsibility for making storage withdrawals to meet in-basin use (as noted in</w:t>
      </w:r>
      <w:r>
        <w:t xml:space="preserve"> </w:t>
      </w:r>
      <w:r>
        <w:rPr>
          <w:highlight w:val="yellow"/>
        </w:rPr>
        <w:fldChar w:fldCharType="begin"/>
      </w:r>
      <w:r>
        <w:instrText xml:space="preserve"> REF _Ref63169856 \h </w:instrText>
      </w:r>
      <w:r>
        <w:rPr>
          <w:highlight w:val="yellow"/>
        </w:rPr>
      </w:r>
      <w:r>
        <w:rPr>
          <w:highlight w:val="yellow"/>
        </w:rPr>
        <w:fldChar w:fldCharType="separate"/>
      </w:r>
      <w:r>
        <w:t xml:space="preserve">Table </w:t>
      </w:r>
      <w:r w:rsidR="0060279E">
        <w:t>1</w:t>
      </w:r>
      <w:r w:rsidR="00207152">
        <w:t>-</w:t>
      </w:r>
      <w:r>
        <w:rPr>
          <w:noProof/>
        </w:rPr>
        <w:t>1</w:t>
      </w:r>
      <w:r>
        <w:rPr>
          <w:highlight w:val="yellow"/>
        </w:rPr>
        <w:fldChar w:fldCharType="end"/>
      </w:r>
      <w:r w:rsidRPr="00697906">
        <w:t>) and a change in export capacity when exports are constrained (</w:t>
      </w:r>
      <w:r>
        <w:fldChar w:fldCharType="begin"/>
      </w:r>
      <w:r>
        <w:instrText xml:space="preserve"> REF _Ref63169906 \h </w:instrText>
      </w:r>
      <w:r>
        <w:fldChar w:fldCharType="separate"/>
      </w:r>
      <w:r>
        <w:t xml:space="preserve">Table </w:t>
      </w:r>
      <w:bookmarkStart w:id="77" w:name="_Hlk75175766"/>
      <w:r w:rsidR="0060279E">
        <w:t>1</w:t>
      </w:r>
      <w:r w:rsidR="00207152">
        <w:t>-</w:t>
      </w:r>
      <w:bookmarkEnd w:id="77"/>
      <w:r>
        <w:rPr>
          <w:noProof/>
        </w:rPr>
        <w:t>2</w:t>
      </w:r>
      <w:r>
        <w:fldChar w:fldCharType="end"/>
      </w:r>
      <w:r w:rsidRPr="00697906">
        <w:t>).</w:t>
      </w:r>
    </w:p>
    <w:p w14:paraId="46FD012F" w14:textId="6C80CF90" w:rsidR="00AA1F10" w:rsidRPr="002E6486" w:rsidRDefault="00AA1F10" w:rsidP="00CC639A">
      <w:pPr>
        <w:pStyle w:val="Caption"/>
        <w:keepNext/>
        <w:spacing w:after="0"/>
      </w:pPr>
      <w:bookmarkStart w:id="78" w:name="_Ref63169856"/>
      <w:r>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1</w:t>
      </w:r>
      <w:r w:rsidR="001917C5">
        <w:rPr>
          <w:noProof/>
        </w:rPr>
        <w:fldChar w:fldCharType="end"/>
      </w:r>
      <w:bookmarkEnd w:id="78"/>
      <w:r>
        <w:t>. Sharing of Responsibility of Meeting In-basin</w:t>
      </w:r>
      <w:r w:rsidRPr="002E6486">
        <w:t xml:space="preserve"> Use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0"/>
        <w:gridCol w:w="2923"/>
        <w:gridCol w:w="3047"/>
      </w:tblGrid>
      <w:tr w:rsidR="00AA1F10" w:rsidRPr="007F17CA" w14:paraId="30A20173" w14:textId="77777777" w:rsidTr="005E5CB4">
        <w:tc>
          <w:tcPr>
            <w:tcW w:w="2704" w:type="dxa"/>
          </w:tcPr>
          <w:p w14:paraId="73233AB8" w14:textId="77777777" w:rsidR="00AA1F10" w:rsidRPr="007F17CA" w:rsidRDefault="00AA1F10" w:rsidP="005E5CB4">
            <w:pPr>
              <w:pStyle w:val="TableText"/>
              <w:rPr>
                <w:b/>
              </w:rPr>
            </w:pPr>
          </w:p>
        </w:tc>
        <w:tc>
          <w:tcPr>
            <w:tcW w:w="2331" w:type="dxa"/>
          </w:tcPr>
          <w:p w14:paraId="29908C19" w14:textId="77777777" w:rsidR="00AA1F10" w:rsidRPr="007F17CA" w:rsidRDefault="00AA1F10" w:rsidP="005E5CB4">
            <w:pPr>
              <w:pStyle w:val="TableText"/>
              <w:rPr>
                <w:b/>
              </w:rPr>
            </w:pPr>
            <w:r w:rsidRPr="007F17CA">
              <w:rPr>
                <w:b/>
              </w:rPr>
              <w:t>CVP</w:t>
            </w:r>
          </w:p>
        </w:tc>
        <w:tc>
          <w:tcPr>
            <w:tcW w:w="2430" w:type="dxa"/>
          </w:tcPr>
          <w:p w14:paraId="295B5A40" w14:textId="77777777" w:rsidR="00AA1F10" w:rsidRPr="007F17CA" w:rsidRDefault="00AA1F10" w:rsidP="005E5CB4">
            <w:pPr>
              <w:pStyle w:val="TableText"/>
              <w:rPr>
                <w:b/>
              </w:rPr>
            </w:pPr>
            <w:r w:rsidRPr="007F17CA">
              <w:rPr>
                <w:b/>
              </w:rPr>
              <w:t>SWP</w:t>
            </w:r>
          </w:p>
        </w:tc>
      </w:tr>
      <w:tr w:rsidR="00AA1F10" w:rsidRPr="00697906" w14:paraId="071778E0" w14:textId="77777777" w:rsidTr="005E5CB4">
        <w:tc>
          <w:tcPr>
            <w:tcW w:w="2704" w:type="dxa"/>
          </w:tcPr>
          <w:p w14:paraId="521E5518" w14:textId="77777777" w:rsidR="00AA1F10" w:rsidRPr="00697906" w:rsidRDefault="00AA1F10" w:rsidP="005E5CB4">
            <w:pPr>
              <w:pStyle w:val="TableText"/>
            </w:pPr>
            <w:r w:rsidRPr="00697906">
              <w:t>W</w:t>
            </w:r>
          </w:p>
        </w:tc>
        <w:tc>
          <w:tcPr>
            <w:tcW w:w="2331" w:type="dxa"/>
          </w:tcPr>
          <w:p w14:paraId="70B35C06" w14:textId="77777777" w:rsidR="00AA1F10" w:rsidRPr="00697906" w:rsidRDefault="00AA1F10" w:rsidP="005E5CB4">
            <w:pPr>
              <w:pStyle w:val="TableText"/>
            </w:pPr>
            <w:r w:rsidRPr="00697906">
              <w:t>80%</w:t>
            </w:r>
          </w:p>
        </w:tc>
        <w:tc>
          <w:tcPr>
            <w:tcW w:w="2430" w:type="dxa"/>
          </w:tcPr>
          <w:p w14:paraId="2BDE3802" w14:textId="77777777" w:rsidR="00AA1F10" w:rsidRPr="00697906" w:rsidRDefault="00AA1F10" w:rsidP="005E5CB4">
            <w:pPr>
              <w:pStyle w:val="TableText"/>
            </w:pPr>
            <w:r w:rsidRPr="00697906">
              <w:t>20%</w:t>
            </w:r>
          </w:p>
        </w:tc>
      </w:tr>
      <w:tr w:rsidR="00AA1F10" w:rsidRPr="00697906" w14:paraId="194F0A09" w14:textId="77777777" w:rsidTr="005E5CB4">
        <w:tc>
          <w:tcPr>
            <w:tcW w:w="2704" w:type="dxa"/>
          </w:tcPr>
          <w:p w14:paraId="2A84DC2E" w14:textId="77777777" w:rsidR="00AA1F10" w:rsidRPr="00697906" w:rsidRDefault="00AA1F10" w:rsidP="005E5CB4">
            <w:pPr>
              <w:pStyle w:val="TableText"/>
            </w:pPr>
            <w:r w:rsidRPr="00697906">
              <w:t>AN</w:t>
            </w:r>
          </w:p>
        </w:tc>
        <w:tc>
          <w:tcPr>
            <w:tcW w:w="2331" w:type="dxa"/>
          </w:tcPr>
          <w:p w14:paraId="45FF8A08" w14:textId="77777777" w:rsidR="00AA1F10" w:rsidRPr="00697906" w:rsidRDefault="00AA1F10" w:rsidP="005E5CB4">
            <w:pPr>
              <w:pStyle w:val="TableText"/>
            </w:pPr>
            <w:r w:rsidRPr="00697906">
              <w:t>80%</w:t>
            </w:r>
          </w:p>
        </w:tc>
        <w:tc>
          <w:tcPr>
            <w:tcW w:w="2430" w:type="dxa"/>
          </w:tcPr>
          <w:p w14:paraId="775F2D05" w14:textId="77777777" w:rsidR="00AA1F10" w:rsidRPr="00697906" w:rsidRDefault="00AA1F10" w:rsidP="005E5CB4">
            <w:pPr>
              <w:pStyle w:val="TableText"/>
            </w:pPr>
            <w:r w:rsidRPr="00697906">
              <w:t>20%</w:t>
            </w:r>
          </w:p>
        </w:tc>
      </w:tr>
      <w:tr w:rsidR="00AA1F10" w:rsidRPr="00697906" w14:paraId="0DBCCD30" w14:textId="77777777" w:rsidTr="005E5CB4">
        <w:tc>
          <w:tcPr>
            <w:tcW w:w="2704" w:type="dxa"/>
          </w:tcPr>
          <w:p w14:paraId="0840C06F" w14:textId="77777777" w:rsidR="00AA1F10" w:rsidRPr="00697906" w:rsidRDefault="00AA1F10" w:rsidP="005E5CB4">
            <w:pPr>
              <w:pStyle w:val="TableText"/>
            </w:pPr>
            <w:r w:rsidRPr="00697906">
              <w:t>BN</w:t>
            </w:r>
          </w:p>
        </w:tc>
        <w:tc>
          <w:tcPr>
            <w:tcW w:w="2331" w:type="dxa"/>
          </w:tcPr>
          <w:p w14:paraId="3723088A" w14:textId="77777777" w:rsidR="00AA1F10" w:rsidRPr="00697906" w:rsidRDefault="00AA1F10" w:rsidP="005E5CB4">
            <w:pPr>
              <w:pStyle w:val="TableText"/>
            </w:pPr>
            <w:r w:rsidRPr="00697906">
              <w:t>75%</w:t>
            </w:r>
          </w:p>
        </w:tc>
        <w:tc>
          <w:tcPr>
            <w:tcW w:w="2430" w:type="dxa"/>
          </w:tcPr>
          <w:p w14:paraId="560B6209" w14:textId="77777777" w:rsidR="00AA1F10" w:rsidRPr="00697906" w:rsidRDefault="00AA1F10" w:rsidP="005E5CB4">
            <w:pPr>
              <w:pStyle w:val="TableText"/>
            </w:pPr>
            <w:r w:rsidRPr="00697906">
              <w:t>25%</w:t>
            </w:r>
          </w:p>
        </w:tc>
      </w:tr>
      <w:tr w:rsidR="00AA1F10" w:rsidRPr="00697906" w14:paraId="261EDDEE" w14:textId="77777777" w:rsidTr="005E5CB4">
        <w:tc>
          <w:tcPr>
            <w:tcW w:w="2704" w:type="dxa"/>
          </w:tcPr>
          <w:p w14:paraId="1F185CB7" w14:textId="77777777" w:rsidR="00AA1F10" w:rsidRPr="00697906" w:rsidRDefault="00AA1F10" w:rsidP="005E5CB4">
            <w:pPr>
              <w:pStyle w:val="TableText"/>
            </w:pPr>
            <w:r w:rsidRPr="00697906">
              <w:t>D</w:t>
            </w:r>
          </w:p>
        </w:tc>
        <w:tc>
          <w:tcPr>
            <w:tcW w:w="2331" w:type="dxa"/>
          </w:tcPr>
          <w:p w14:paraId="04A9ADC1" w14:textId="77777777" w:rsidR="00AA1F10" w:rsidRPr="00697906" w:rsidRDefault="00AA1F10" w:rsidP="005E5CB4">
            <w:pPr>
              <w:pStyle w:val="TableText"/>
            </w:pPr>
            <w:r w:rsidRPr="00697906">
              <w:t>65%</w:t>
            </w:r>
          </w:p>
        </w:tc>
        <w:tc>
          <w:tcPr>
            <w:tcW w:w="2430" w:type="dxa"/>
          </w:tcPr>
          <w:p w14:paraId="7C7B6D59" w14:textId="77777777" w:rsidR="00AA1F10" w:rsidRPr="00697906" w:rsidRDefault="00AA1F10" w:rsidP="005E5CB4">
            <w:pPr>
              <w:pStyle w:val="TableText"/>
            </w:pPr>
            <w:r w:rsidRPr="00697906">
              <w:t>35%</w:t>
            </w:r>
          </w:p>
        </w:tc>
      </w:tr>
      <w:tr w:rsidR="00AA1F10" w:rsidRPr="00697906" w14:paraId="29F048D5" w14:textId="77777777" w:rsidTr="005E5CB4">
        <w:tc>
          <w:tcPr>
            <w:tcW w:w="2704" w:type="dxa"/>
          </w:tcPr>
          <w:p w14:paraId="0934AAD6" w14:textId="77777777" w:rsidR="00AA1F10" w:rsidRPr="00697906" w:rsidRDefault="00AA1F10" w:rsidP="005E5CB4">
            <w:pPr>
              <w:pStyle w:val="TableText"/>
            </w:pPr>
            <w:r w:rsidRPr="00697906">
              <w:t>C</w:t>
            </w:r>
          </w:p>
        </w:tc>
        <w:tc>
          <w:tcPr>
            <w:tcW w:w="2331" w:type="dxa"/>
          </w:tcPr>
          <w:p w14:paraId="448A9022" w14:textId="77777777" w:rsidR="00AA1F10" w:rsidRPr="00697906" w:rsidRDefault="00AA1F10" w:rsidP="005E5CB4">
            <w:pPr>
              <w:pStyle w:val="TableText"/>
            </w:pPr>
            <w:r w:rsidRPr="00697906">
              <w:t>60%</w:t>
            </w:r>
          </w:p>
        </w:tc>
        <w:tc>
          <w:tcPr>
            <w:tcW w:w="2430" w:type="dxa"/>
          </w:tcPr>
          <w:p w14:paraId="12C851A1" w14:textId="77777777" w:rsidR="00AA1F10" w:rsidRPr="00697906" w:rsidRDefault="00AA1F10" w:rsidP="005E5CB4">
            <w:pPr>
              <w:pStyle w:val="TableText"/>
            </w:pPr>
            <w:r w:rsidRPr="00697906">
              <w:t>40%</w:t>
            </w:r>
          </w:p>
        </w:tc>
      </w:tr>
    </w:tbl>
    <w:p w14:paraId="0226E7D4" w14:textId="77777777" w:rsidR="00AA1F10" w:rsidRDefault="00AA1F10" w:rsidP="00AA1F10"/>
    <w:p w14:paraId="29985854" w14:textId="21EFCDCF" w:rsidR="00AA1F10" w:rsidRPr="002E6486" w:rsidRDefault="00AA1F10" w:rsidP="00AA1F10">
      <w:pPr>
        <w:pStyle w:val="Caption"/>
        <w:spacing w:after="0"/>
      </w:pPr>
      <w:r w:rsidRPr="002E6486">
        <w:t xml:space="preserve"> </w:t>
      </w:r>
      <w:bookmarkStart w:id="79" w:name="_Ref63169906"/>
      <w:r>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2</w:t>
      </w:r>
      <w:r w:rsidR="001917C5">
        <w:rPr>
          <w:noProof/>
        </w:rPr>
        <w:fldChar w:fldCharType="end"/>
      </w:r>
      <w:bookmarkEnd w:id="79"/>
      <w:r>
        <w:t xml:space="preserve">. </w:t>
      </w:r>
      <w:r w:rsidRPr="00AE6141">
        <w:t>Sharing of Applicable Export Capacity When Exports Are Constrained</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2945"/>
        <w:gridCol w:w="3036"/>
      </w:tblGrid>
      <w:tr w:rsidR="00AA1F10" w:rsidRPr="007F17CA" w14:paraId="4758DD05" w14:textId="77777777" w:rsidTr="005E5CB4">
        <w:tc>
          <w:tcPr>
            <w:tcW w:w="2695" w:type="dxa"/>
          </w:tcPr>
          <w:p w14:paraId="54815DB7" w14:textId="77777777" w:rsidR="00AA1F10" w:rsidRPr="007F17CA" w:rsidRDefault="00AA1F10" w:rsidP="005E5CB4">
            <w:pPr>
              <w:pStyle w:val="TableText"/>
              <w:rPr>
                <w:b/>
              </w:rPr>
            </w:pPr>
          </w:p>
        </w:tc>
        <w:tc>
          <w:tcPr>
            <w:tcW w:w="2349" w:type="dxa"/>
          </w:tcPr>
          <w:p w14:paraId="01F5261A" w14:textId="77777777" w:rsidR="00AA1F10" w:rsidRPr="007F17CA" w:rsidRDefault="00AA1F10" w:rsidP="005E5CB4">
            <w:pPr>
              <w:pStyle w:val="TableText"/>
              <w:rPr>
                <w:b/>
              </w:rPr>
            </w:pPr>
            <w:r w:rsidRPr="007F17CA">
              <w:rPr>
                <w:b/>
              </w:rPr>
              <w:t>CVP</w:t>
            </w:r>
          </w:p>
        </w:tc>
        <w:tc>
          <w:tcPr>
            <w:tcW w:w="2421" w:type="dxa"/>
          </w:tcPr>
          <w:p w14:paraId="34C36726" w14:textId="77777777" w:rsidR="00AA1F10" w:rsidRPr="007F17CA" w:rsidRDefault="00AA1F10" w:rsidP="005E5CB4">
            <w:pPr>
              <w:pStyle w:val="TableText"/>
              <w:rPr>
                <w:b/>
              </w:rPr>
            </w:pPr>
            <w:r w:rsidRPr="007F17CA">
              <w:rPr>
                <w:b/>
              </w:rPr>
              <w:t>SWP</w:t>
            </w:r>
          </w:p>
        </w:tc>
      </w:tr>
      <w:tr w:rsidR="00AA1F10" w:rsidRPr="00697906" w14:paraId="63F68488" w14:textId="77777777" w:rsidTr="005E5CB4">
        <w:tc>
          <w:tcPr>
            <w:tcW w:w="2695" w:type="dxa"/>
          </w:tcPr>
          <w:p w14:paraId="3723ECD9" w14:textId="77777777" w:rsidR="00AA1F10" w:rsidRPr="00697906" w:rsidRDefault="00AA1F10" w:rsidP="005E5CB4">
            <w:pPr>
              <w:pStyle w:val="TableText"/>
            </w:pPr>
            <w:r w:rsidRPr="00697906">
              <w:t>Balanced Water Conditions</w:t>
            </w:r>
          </w:p>
        </w:tc>
        <w:tc>
          <w:tcPr>
            <w:tcW w:w="2349" w:type="dxa"/>
          </w:tcPr>
          <w:p w14:paraId="7842071D" w14:textId="77777777" w:rsidR="00AA1F10" w:rsidRPr="00697906" w:rsidRDefault="00AA1F10" w:rsidP="005E5CB4">
            <w:pPr>
              <w:pStyle w:val="TableText"/>
            </w:pPr>
            <w:r w:rsidRPr="00697906">
              <w:t>65%</w:t>
            </w:r>
          </w:p>
        </w:tc>
        <w:tc>
          <w:tcPr>
            <w:tcW w:w="2421" w:type="dxa"/>
          </w:tcPr>
          <w:p w14:paraId="1817CBEA" w14:textId="77777777" w:rsidR="00AA1F10" w:rsidRPr="00697906" w:rsidRDefault="00AA1F10" w:rsidP="005E5CB4">
            <w:pPr>
              <w:pStyle w:val="TableText"/>
            </w:pPr>
            <w:r w:rsidRPr="00697906">
              <w:t>35%</w:t>
            </w:r>
          </w:p>
        </w:tc>
      </w:tr>
      <w:tr w:rsidR="00AA1F10" w:rsidRPr="00697906" w14:paraId="15C8691B" w14:textId="77777777" w:rsidTr="005E5CB4">
        <w:tc>
          <w:tcPr>
            <w:tcW w:w="2695" w:type="dxa"/>
          </w:tcPr>
          <w:p w14:paraId="03473BEA" w14:textId="77777777" w:rsidR="00AA1F10" w:rsidRPr="00697906" w:rsidRDefault="00AA1F10" w:rsidP="005E5CB4">
            <w:pPr>
              <w:pStyle w:val="TableText"/>
            </w:pPr>
            <w:r w:rsidRPr="00697906">
              <w:t>Excess Water Conditions</w:t>
            </w:r>
          </w:p>
        </w:tc>
        <w:tc>
          <w:tcPr>
            <w:tcW w:w="2349" w:type="dxa"/>
          </w:tcPr>
          <w:p w14:paraId="5ED21FB3" w14:textId="77777777" w:rsidR="00AA1F10" w:rsidRPr="00697906" w:rsidRDefault="00AA1F10" w:rsidP="005E5CB4">
            <w:pPr>
              <w:pStyle w:val="TableText"/>
            </w:pPr>
            <w:r w:rsidRPr="00697906">
              <w:t>60%</w:t>
            </w:r>
          </w:p>
        </w:tc>
        <w:tc>
          <w:tcPr>
            <w:tcW w:w="2421" w:type="dxa"/>
          </w:tcPr>
          <w:p w14:paraId="3E170FDD" w14:textId="77777777" w:rsidR="00AA1F10" w:rsidRPr="00697906" w:rsidRDefault="00AA1F10" w:rsidP="005E5CB4">
            <w:pPr>
              <w:pStyle w:val="TableText"/>
            </w:pPr>
            <w:r w:rsidRPr="00697906">
              <w:t>40%</w:t>
            </w:r>
          </w:p>
        </w:tc>
      </w:tr>
    </w:tbl>
    <w:p w14:paraId="4474DFCA" w14:textId="77777777" w:rsidR="00AA1F10" w:rsidRPr="00697906" w:rsidRDefault="00AA1F10" w:rsidP="00AA1F10"/>
    <w:p w14:paraId="52BA1DF3" w14:textId="77777777" w:rsidR="00AA1F10" w:rsidRPr="00697906" w:rsidRDefault="00AA1F10" w:rsidP="0099742B">
      <w:pPr>
        <w:pStyle w:val="Heading5"/>
      </w:pPr>
      <w:r w:rsidRPr="00697906">
        <w:t>CVPIA (b)(2) Assumptions</w:t>
      </w:r>
    </w:p>
    <w:p w14:paraId="491BDDC0" w14:textId="68D511E9" w:rsidR="00AA1F10" w:rsidRDefault="00AA1F10" w:rsidP="00AA1F10">
      <w:pPr>
        <w:pStyle w:val="BodyText"/>
      </w:pPr>
      <w:r>
        <w:t>Reclamation releases flows for</w:t>
      </w:r>
      <w:r w:rsidRPr="00697906">
        <w:t xml:space="preserve"> Central Valley Project Improvement Act (CVPIA) 3406(b)(2) water allocation, </w:t>
      </w:r>
      <w:r w:rsidR="00D572E5" w:rsidRPr="00697906">
        <w:t>management,</w:t>
      </w:r>
      <w:r w:rsidRPr="00697906">
        <w:t xml:space="preserve"> and related actions (B2)</w:t>
      </w:r>
      <w:r>
        <w:t xml:space="preserve">. </w:t>
      </w:r>
      <w:r w:rsidRPr="00697906">
        <w:t>The selection of discretionary actions for use of B2 water in each year was based on a May 2003 Department of the Interior policy decision</w:t>
      </w:r>
      <w:r w:rsidRPr="00600CDD">
        <w:t xml:space="preserve">. CalSim II does not dynamically account for the use of (b)(2) water, but rather assumes (b)(2) actions are achieved through </w:t>
      </w:r>
      <w:r w:rsidR="002470A7" w:rsidRPr="00600CDD">
        <w:t>NMFS BO (2019)</w:t>
      </w:r>
      <w:r w:rsidRPr="00600CDD">
        <w:t xml:space="preserve"> actions.</w:t>
      </w:r>
    </w:p>
    <w:p w14:paraId="4D16ECDC" w14:textId="77777777" w:rsidR="00AA1F10" w:rsidRPr="00BB5DDB" w:rsidRDefault="00AA1F10" w:rsidP="0099742B">
      <w:pPr>
        <w:pStyle w:val="Heading5"/>
      </w:pPr>
      <w:r w:rsidRPr="00BB5DDB">
        <w:t>Clear Creek Flows</w:t>
      </w:r>
    </w:p>
    <w:p w14:paraId="03899329" w14:textId="77777777" w:rsidR="00AA1F10" w:rsidRDefault="00AA1F10" w:rsidP="00AA1F10">
      <w:pPr>
        <w:pStyle w:val="BodyText"/>
      </w:pPr>
      <w:r>
        <w:t xml:space="preserve">Reclamation releases Clear Creek flows in accordance with the 1960 Memorandum of Agreement (MOA) with CDFW, and the April 15, 2002 SWRCB permit, which established minimum flows to be released to Clear Creek at Whiskeytown Dam. Reclamation operations to a minimum baseflow in Clear Creek of 200 cfs from October through May, and 150 cfs from June through September in all year types except Critical year types. In Critical years, Clear Creek base flows would be reduced below 150 cfs based on available water from Trinity Reservoir. Additional flow may be required for temperature management during the fall. A ramping rate of no more than 25 cfs per hour during nocturnal hours will be used to reduce potential stranding risks to juvenile salmonids during Whiskeytown controlled flow reductions. </w:t>
      </w:r>
    </w:p>
    <w:p w14:paraId="4FDF3A33" w14:textId="77777777" w:rsidR="00AA1F10" w:rsidRDefault="00AA1F10" w:rsidP="00AA1F10">
      <w:pPr>
        <w:pStyle w:val="BodyText"/>
      </w:pPr>
      <w:r>
        <w:t xml:space="preserve">In addition, Reclamation creates pulse flows for both channel maintenance and spring attraction flows. For spring attraction flows, Reclamation releases 10 Thousand Acre-Feet (TAF) (measured at the release), with daily release up to the safe release capacity (approximately 900 cfs, depending on reservoir elevation and downstream capacity), in all year-types except for Critical year-types to be shaped by the Clear Creek Implementation Team in coordination with CVO. For channel maintenance flows, Reclamation would release 10 TAF from Whiskeytown, with a daily release up to the safe release capacity, in all year-types except for Dry and Critical year-types (based on the Sacramento Valley index) to be shaped by the Clear Creek Implementation Team in coordination with CVO. Pulses would be scheduled with CVO. No channel maintenance flows would be scheduled before January 1. For each storm event that results in a Whiskeytown Gloryhole spill of at least 3,000 cfs for 3 days, Reclamation will reduce the channel maintenance flow volume for this year or the following year by 5,000 acre-feet. If two Gloryhole spills occur that meet this criterion in a year, additional channel maintenance flows would not be released in that year. In Critical years, Reclamation would release one spring attraction flow of up to the safe release capacity (approximately 900 cfs) for up to 3 days and would not release any channel maintenance flows. Reclamation could instead, or in addition, use </w:t>
      </w:r>
      <w:r>
        <w:lastRenderedPageBreak/>
        <w:t>mechanical methods to mobilize gravel or shape the channel if needed to meet biological objectives.</w:t>
      </w:r>
    </w:p>
    <w:p w14:paraId="41C89A1B" w14:textId="77777777" w:rsidR="00AA1F10" w:rsidRDefault="00AA1F10" w:rsidP="00AA1F10">
      <w:pPr>
        <w:pStyle w:val="BodyText"/>
      </w:pPr>
      <w:r>
        <w:t>The Clear Creek operations, for CalSim II modeling purposes, are assumed as follows:</w:t>
      </w:r>
    </w:p>
    <w:p w14:paraId="47CCE702" w14:textId="77777777" w:rsidR="00AA1F10" w:rsidRDefault="00AA1F10" w:rsidP="00BC616F">
      <w:pPr>
        <w:pStyle w:val="BodyText"/>
        <w:keepNext w:val="0"/>
        <w:numPr>
          <w:ilvl w:val="0"/>
          <w:numId w:val="31"/>
        </w:numPr>
        <w:tabs>
          <w:tab w:val="clear" w:pos="8415"/>
        </w:tabs>
        <w:spacing w:before="240" w:after="120"/>
      </w:pPr>
      <w:r>
        <w:t>Minimum flow of 200 CFS from October through May and 150 CFS from June through September in all years except critical years. Minimum flow of 150 CFS in all months in critical years (water-year type based on SWRCB D-1641 40-30-30 index).</w:t>
      </w:r>
    </w:p>
    <w:p w14:paraId="1AC71278" w14:textId="77777777" w:rsidR="00AA1F10" w:rsidRDefault="00AA1F10" w:rsidP="00BC616F">
      <w:pPr>
        <w:pStyle w:val="BodyText"/>
        <w:keepNext w:val="0"/>
        <w:numPr>
          <w:ilvl w:val="0"/>
          <w:numId w:val="31"/>
        </w:numPr>
        <w:tabs>
          <w:tab w:val="clear" w:pos="8415"/>
        </w:tabs>
        <w:spacing w:before="240" w:after="120"/>
      </w:pPr>
      <w:r>
        <w:t xml:space="preserve">Spring pulse flow totaling a volume of 10 TAF in June of non-critical years.  Pulse flows are </w:t>
      </w:r>
      <w:bookmarkStart w:id="80" w:name="_Hlk25934316"/>
      <w:r>
        <w:t>in addition to minimum flow and are distributed to the whole month's average flow rate</w:t>
      </w:r>
      <w:bookmarkEnd w:id="80"/>
      <w:r>
        <w:t>.</w:t>
      </w:r>
    </w:p>
    <w:p w14:paraId="621C37CB" w14:textId="77777777" w:rsidR="00AA1F10" w:rsidRDefault="00AA1F10" w:rsidP="00BC616F">
      <w:pPr>
        <w:pStyle w:val="BodyText"/>
        <w:keepNext w:val="0"/>
        <w:numPr>
          <w:ilvl w:val="0"/>
          <w:numId w:val="31"/>
        </w:numPr>
        <w:tabs>
          <w:tab w:val="clear" w:pos="8415"/>
        </w:tabs>
        <w:spacing w:before="240" w:after="120"/>
      </w:pPr>
      <w:r>
        <w:t>3-day Spring pulse of 900 cfs in Critical years; the other 27 days are at the base flow.</w:t>
      </w:r>
    </w:p>
    <w:p w14:paraId="6F955B68" w14:textId="77777777" w:rsidR="00AA1F10" w:rsidRDefault="00AA1F10" w:rsidP="00BC616F">
      <w:pPr>
        <w:pStyle w:val="BodyText"/>
        <w:keepNext w:val="0"/>
        <w:numPr>
          <w:ilvl w:val="0"/>
          <w:numId w:val="31"/>
        </w:numPr>
        <w:tabs>
          <w:tab w:val="clear" w:pos="8415"/>
        </w:tabs>
        <w:spacing w:before="240" w:after="120"/>
      </w:pPr>
      <w:r>
        <w:t>Channel maintenance flow totaling a volume of 10 TAF in February of all years except dry and critically dry years (volume in addition to minimum flow; distributed to the whole month's average flow rate).</w:t>
      </w:r>
    </w:p>
    <w:p w14:paraId="4FE09DDD" w14:textId="77777777" w:rsidR="00AA1F10" w:rsidRDefault="00AA1F10" w:rsidP="00AA1F10">
      <w:pPr>
        <w:pStyle w:val="BodyText"/>
      </w:pPr>
      <w:r>
        <w:t>As CalSim II is a monthly model, ramping rates and release capacity limitations that constrain actual operations are not included. Other flow adjustments for consideration of actual storage and temperature operations are not included.</w:t>
      </w:r>
    </w:p>
    <w:p w14:paraId="77151580" w14:textId="77777777" w:rsidR="00AA1F10" w:rsidRDefault="00AA1F10" w:rsidP="00AA1F10">
      <w:pPr>
        <w:pStyle w:val="BodyText"/>
      </w:pPr>
      <w:r>
        <w:t>Previously modeled Clear Creek operations were removed from the CalSim II model, including CVPIA 3406(b)(2) related flows pre-processed from 2008 OCAP BA model studies and the 2009 NMFS RPA Action 1.1.1 pulse flows.</w:t>
      </w:r>
    </w:p>
    <w:p w14:paraId="7EE6D71E" w14:textId="77777777" w:rsidR="00AA1F10" w:rsidRDefault="00AA1F10" w:rsidP="0099742B">
      <w:pPr>
        <w:pStyle w:val="Heading5"/>
      </w:pPr>
      <w:r>
        <w:t>Upper Sacramento River</w:t>
      </w:r>
    </w:p>
    <w:p w14:paraId="78D79168" w14:textId="30388463" w:rsidR="00AA1F10" w:rsidRDefault="00AA1F10" w:rsidP="002C042F">
      <w:pPr>
        <w:pStyle w:val="BodyText"/>
        <w:keepNext w:val="0"/>
      </w:pPr>
      <w:r>
        <w:t xml:space="preserve">In the </w:t>
      </w:r>
      <w:r w:rsidR="00950D77">
        <w:t>Benchmark</w:t>
      </w:r>
      <w:r w:rsidR="002176F0" w:rsidRPr="002176F0">
        <w:t xml:space="preserve"> 011721 HIST</w:t>
      </w:r>
      <w:r>
        <w:t xml:space="preserve">, SWRCB WR 90-5 requirements are included. In addition, seasonal operations for Fall flows and Spring pulse flows are included. </w:t>
      </w:r>
    </w:p>
    <w:p w14:paraId="00F23833" w14:textId="77777777" w:rsidR="00AA1F10" w:rsidRPr="0099742B" w:rsidRDefault="00AA1F10" w:rsidP="002C042F">
      <w:pPr>
        <w:pStyle w:val="Heading6"/>
        <w:keepNext/>
        <w:rPr>
          <w:b/>
          <w:bCs w:val="0"/>
        </w:rPr>
      </w:pPr>
      <w:r w:rsidRPr="0099742B">
        <w:rPr>
          <w:b/>
          <w:bCs w:val="0"/>
        </w:rPr>
        <w:t>Fall flows</w:t>
      </w:r>
    </w:p>
    <w:p w14:paraId="6762A1EA" w14:textId="77777777" w:rsidR="00AA1F10" w:rsidRDefault="00AA1F10" w:rsidP="00AA1F10">
      <w:pPr>
        <w:pStyle w:val="BodyText"/>
      </w:pPr>
      <w:r>
        <w:t xml:space="preserve">Reclamation rebuilds storage and cold water pool for the subsequent year. Maintaining releases to keep late spawning Winter-Run Chinook Salmon redds underwater may drawdown storage necessary for temperature management in a subsequent year. </w:t>
      </w:r>
    </w:p>
    <w:p w14:paraId="4DEA8059" w14:textId="63622A00" w:rsidR="00AA1F10" w:rsidRDefault="00AA1F10" w:rsidP="008415AB">
      <w:pPr>
        <w:pStyle w:val="BodyText"/>
        <w:keepNext w:val="0"/>
      </w:pPr>
      <w:r>
        <w:rPr>
          <w:noProof/>
        </w:rPr>
        <mc:AlternateContent>
          <mc:Choice Requires="wps">
            <w:drawing>
              <wp:anchor distT="0" distB="0" distL="114300" distR="114300" simplePos="0" relativeHeight="251659264" behindDoc="1" locked="0" layoutInCell="1" allowOverlap="1" wp14:anchorId="0F1FCE2A" wp14:editId="5234D841">
                <wp:simplePos x="0" y="0"/>
                <wp:positionH relativeFrom="page">
                  <wp:posOffset>2392680</wp:posOffset>
                </wp:positionH>
                <wp:positionV relativeFrom="paragraph">
                  <wp:posOffset>415925</wp:posOffset>
                </wp:positionV>
                <wp:extent cx="34290" cy="698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797F066" id="Rectangle 2" o:spid="_x0000_s1026" style="position:absolute;margin-left:188.4pt;margin-top:32.75pt;width:2.7pt;height:.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" fillcolor="black" stroked="f">
                <w10:wrap anchorx="page"/>
              </v:rect>
            </w:pict>
          </mc:Fallback>
        </mc:AlternateContent>
      </w:r>
      <w:r>
        <w:t xml:space="preserve">If Reclamation determines reduced releases are needed to rebuild storage, targets for winter base flows (December 1 through the end of February) from Keswick would be set in October based on Shasta Reservoir end-of-September storage. </w:t>
      </w:r>
      <w:r>
        <w:fldChar w:fldCharType="begin"/>
      </w:r>
      <w:r>
        <w:instrText xml:space="preserve"> REF _Ref63170081 \h </w:instrText>
      </w:r>
      <w:r>
        <w:fldChar w:fldCharType="separate"/>
      </w:r>
      <w:r>
        <w:t xml:space="preserve">Table </w:t>
      </w:r>
      <w:r w:rsidR="0060279E">
        <w:t>1</w:t>
      </w:r>
      <w:r w:rsidR="00207152">
        <w:t>-</w:t>
      </w:r>
      <w:r>
        <w:rPr>
          <w:noProof/>
        </w:rPr>
        <w:t>3</w:t>
      </w:r>
      <w:r>
        <w:fldChar w:fldCharType="end"/>
      </w:r>
      <w:r>
        <w:t xml:space="preserve"> shows the initial schedule for Keswick Releases based on Shasta Reservoir storage condition; these would be refined through future modeling efforts as part of the seasonal operations planning.</w:t>
      </w:r>
    </w:p>
    <w:p w14:paraId="384AC2AE" w14:textId="15FC0243" w:rsidR="00AA1F10" w:rsidRDefault="00AA1F10" w:rsidP="008415AB">
      <w:pPr>
        <w:pStyle w:val="Caption"/>
        <w:keepNext/>
      </w:pPr>
      <w:bookmarkStart w:id="81" w:name="_Ref63170081"/>
      <w:r>
        <w:lastRenderedPageBreak/>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3</w:t>
      </w:r>
      <w:r w:rsidR="001917C5">
        <w:rPr>
          <w:noProof/>
        </w:rPr>
        <w:fldChar w:fldCharType="end"/>
      </w:r>
      <w:bookmarkEnd w:id="81"/>
      <w:r>
        <w:t xml:space="preserve"> </w:t>
      </w:r>
      <w:r w:rsidRPr="00DF09D1">
        <w:t>Keswick Dam Release Target Schedule based on Shasta Reservoir End-of-September Storage</w:t>
      </w:r>
    </w:p>
    <w:tbl>
      <w:tblPr>
        <w:tblW w:w="6750" w:type="dxa"/>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5"/>
        <w:gridCol w:w="3375"/>
      </w:tblGrid>
      <w:tr w:rsidR="00AA1F10" w14:paraId="3C2A6E8B" w14:textId="77777777" w:rsidTr="005E5CB4">
        <w:trPr>
          <w:trHeight w:val="20"/>
        </w:trPr>
        <w:tc>
          <w:tcPr>
            <w:tcW w:w="3376" w:type="dxa"/>
            <w:tcBorders>
              <w:top w:val="single" w:sz="4" w:space="0" w:color="000000"/>
              <w:left w:val="single" w:sz="4" w:space="0" w:color="000000"/>
              <w:bottom w:val="single" w:sz="4" w:space="0" w:color="000000"/>
              <w:right w:val="single" w:sz="4" w:space="0" w:color="000000"/>
            </w:tcBorders>
            <w:hideMark/>
          </w:tcPr>
          <w:p w14:paraId="271B59B7" w14:textId="77777777" w:rsidR="00AA1F10" w:rsidRDefault="00AA1F10" w:rsidP="005E5CB4">
            <w:pPr>
              <w:pStyle w:val="BodyText"/>
              <w:spacing w:after="0" w:line="276" w:lineRule="auto"/>
              <w:jc w:val="center"/>
            </w:pPr>
            <w:r>
              <w:t xml:space="preserve">Shasta Reservoir </w:t>
            </w:r>
            <w:r>
              <w:br/>
              <w:t>End-of-September Storage</w:t>
            </w:r>
          </w:p>
        </w:tc>
        <w:tc>
          <w:tcPr>
            <w:tcW w:w="3376" w:type="dxa"/>
            <w:tcBorders>
              <w:top w:val="single" w:sz="4" w:space="0" w:color="000000"/>
              <w:left w:val="single" w:sz="4" w:space="0" w:color="000000"/>
              <w:bottom w:val="single" w:sz="4" w:space="0" w:color="000000"/>
              <w:right w:val="single" w:sz="4" w:space="0" w:color="000000"/>
            </w:tcBorders>
            <w:hideMark/>
          </w:tcPr>
          <w:p w14:paraId="5F4D866A" w14:textId="77777777" w:rsidR="00AA1F10" w:rsidRDefault="00AA1F10" w:rsidP="005E5CB4">
            <w:pPr>
              <w:pStyle w:val="BodyText"/>
              <w:spacing w:after="0" w:line="276" w:lineRule="auto"/>
              <w:jc w:val="center"/>
            </w:pPr>
            <w:r>
              <w:t>Keswick Dam</w:t>
            </w:r>
            <w:r>
              <w:br/>
              <w:t>Release Target</w:t>
            </w:r>
          </w:p>
        </w:tc>
      </w:tr>
      <w:tr w:rsidR="00AA1F10" w14:paraId="322362B2" w14:textId="77777777" w:rsidTr="005E5CB4">
        <w:trPr>
          <w:trHeight w:val="179"/>
        </w:trPr>
        <w:tc>
          <w:tcPr>
            <w:tcW w:w="3376" w:type="dxa"/>
            <w:tcBorders>
              <w:top w:val="single" w:sz="4" w:space="0" w:color="000000"/>
              <w:left w:val="single" w:sz="4" w:space="0" w:color="000000"/>
              <w:bottom w:val="single" w:sz="4" w:space="0" w:color="000000"/>
              <w:right w:val="single" w:sz="4" w:space="0" w:color="000000"/>
            </w:tcBorders>
            <w:hideMark/>
          </w:tcPr>
          <w:p w14:paraId="42DFA2C3" w14:textId="77777777" w:rsidR="00AA1F10" w:rsidRDefault="00AA1F10" w:rsidP="005E5CB4">
            <w:pPr>
              <w:pStyle w:val="BodyText"/>
              <w:spacing w:after="0" w:line="276" w:lineRule="auto"/>
              <w:jc w:val="center"/>
            </w:pPr>
            <w:r>
              <w:t>≤ 2.2 MAF</w:t>
            </w:r>
          </w:p>
        </w:tc>
        <w:tc>
          <w:tcPr>
            <w:tcW w:w="3376" w:type="dxa"/>
            <w:tcBorders>
              <w:top w:val="single" w:sz="4" w:space="0" w:color="000000"/>
              <w:left w:val="single" w:sz="4" w:space="0" w:color="000000"/>
              <w:bottom w:val="single" w:sz="4" w:space="0" w:color="000000"/>
              <w:right w:val="single" w:sz="4" w:space="0" w:color="000000"/>
            </w:tcBorders>
            <w:hideMark/>
          </w:tcPr>
          <w:p w14:paraId="1873EBA2" w14:textId="77777777" w:rsidR="00AA1F10" w:rsidRDefault="00AA1F10" w:rsidP="005E5CB4">
            <w:pPr>
              <w:pStyle w:val="BodyText"/>
              <w:spacing w:after="0" w:line="276" w:lineRule="auto"/>
              <w:jc w:val="center"/>
            </w:pPr>
            <w:r>
              <w:t>3,250 CFS</w:t>
            </w:r>
          </w:p>
        </w:tc>
      </w:tr>
      <w:tr w:rsidR="00AA1F10" w14:paraId="1B26C397" w14:textId="77777777" w:rsidTr="005E5CB4">
        <w:trPr>
          <w:trHeight w:val="20"/>
        </w:trPr>
        <w:tc>
          <w:tcPr>
            <w:tcW w:w="3376" w:type="dxa"/>
            <w:tcBorders>
              <w:top w:val="single" w:sz="4" w:space="0" w:color="000000"/>
              <w:left w:val="single" w:sz="4" w:space="0" w:color="000000"/>
              <w:bottom w:val="single" w:sz="4" w:space="0" w:color="000000"/>
              <w:right w:val="single" w:sz="4" w:space="0" w:color="000000"/>
            </w:tcBorders>
            <w:hideMark/>
          </w:tcPr>
          <w:p w14:paraId="128E0D06" w14:textId="77777777" w:rsidR="00AA1F10" w:rsidRDefault="00AA1F10" w:rsidP="005E5CB4">
            <w:pPr>
              <w:pStyle w:val="BodyText"/>
              <w:spacing w:after="0" w:line="276" w:lineRule="auto"/>
              <w:jc w:val="center"/>
            </w:pPr>
            <w:r>
              <w:t>≤ 2.8 MAF</w:t>
            </w:r>
          </w:p>
        </w:tc>
        <w:tc>
          <w:tcPr>
            <w:tcW w:w="3376" w:type="dxa"/>
            <w:tcBorders>
              <w:top w:val="single" w:sz="4" w:space="0" w:color="000000"/>
              <w:left w:val="single" w:sz="4" w:space="0" w:color="000000"/>
              <w:bottom w:val="single" w:sz="4" w:space="0" w:color="000000"/>
              <w:right w:val="single" w:sz="4" w:space="0" w:color="000000"/>
            </w:tcBorders>
            <w:hideMark/>
          </w:tcPr>
          <w:p w14:paraId="6E966828" w14:textId="77777777" w:rsidR="00AA1F10" w:rsidRDefault="00AA1F10" w:rsidP="005E5CB4">
            <w:pPr>
              <w:pStyle w:val="BodyText"/>
              <w:spacing w:after="0" w:line="276" w:lineRule="auto"/>
              <w:jc w:val="center"/>
            </w:pPr>
            <w:r>
              <w:t>4,000 CFS</w:t>
            </w:r>
          </w:p>
        </w:tc>
      </w:tr>
      <w:tr w:rsidR="00AA1F10" w14:paraId="29E73EA6" w14:textId="77777777" w:rsidTr="005E5CB4">
        <w:trPr>
          <w:trHeight w:val="20"/>
        </w:trPr>
        <w:tc>
          <w:tcPr>
            <w:tcW w:w="3376" w:type="dxa"/>
            <w:tcBorders>
              <w:top w:val="single" w:sz="4" w:space="0" w:color="000000"/>
              <w:left w:val="single" w:sz="4" w:space="0" w:color="000000"/>
              <w:bottom w:val="single" w:sz="4" w:space="0" w:color="000000"/>
              <w:right w:val="single" w:sz="4" w:space="0" w:color="000000"/>
            </w:tcBorders>
            <w:hideMark/>
          </w:tcPr>
          <w:p w14:paraId="392A317A" w14:textId="77777777" w:rsidR="00AA1F10" w:rsidRDefault="00AA1F10" w:rsidP="005E5CB4">
            <w:pPr>
              <w:pStyle w:val="BodyText"/>
              <w:spacing w:after="0" w:line="276" w:lineRule="auto"/>
              <w:jc w:val="center"/>
            </w:pPr>
            <w:r>
              <w:t>≤ 3.2 MAF</w:t>
            </w:r>
          </w:p>
        </w:tc>
        <w:tc>
          <w:tcPr>
            <w:tcW w:w="3376" w:type="dxa"/>
            <w:tcBorders>
              <w:top w:val="single" w:sz="4" w:space="0" w:color="000000"/>
              <w:left w:val="single" w:sz="4" w:space="0" w:color="000000"/>
              <w:bottom w:val="single" w:sz="4" w:space="0" w:color="000000"/>
              <w:right w:val="single" w:sz="4" w:space="0" w:color="000000"/>
            </w:tcBorders>
            <w:hideMark/>
          </w:tcPr>
          <w:p w14:paraId="22B8E2F3" w14:textId="77777777" w:rsidR="00AA1F10" w:rsidRDefault="00AA1F10" w:rsidP="005E5CB4">
            <w:pPr>
              <w:pStyle w:val="BodyText"/>
              <w:spacing w:after="0" w:line="276" w:lineRule="auto"/>
              <w:jc w:val="center"/>
            </w:pPr>
            <w:r>
              <w:t>4,500 CFS</w:t>
            </w:r>
          </w:p>
        </w:tc>
      </w:tr>
      <w:tr w:rsidR="00AA1F10" w14:paraId="7ABFED05" w14:textId="77777777" w:rsidTr="005E5CB4">
        <w:trPr>
          <w:trHeight w:val="20"/>
        </w:trPr>
        <w:tc>
          <w:tcPr>
            <w:tcW w:w="3376" w:type="dxa"/>
            <w:tcBorders>
              <w:top w:val="single" w:sz="4" w:space="0" w:color="000000"/>
              <w:left w:val="single" w:sz="4" w:space="0" w:color="000000"/>
              <w:bottom w:val="single" w:sz="4" w:space="0" w:color="000000"/>
              <w:right w:val="single" w:sz="4" w:space="0" w:color="000000"/>
            </w:tcBorders>
            <w:hideMark/>
          </w:tcPr>
          <w:p w14:paraId="275B2CE4" w14:textId="77777777" w:rsidR="00AA1F10" w:rsidRDefault="00AA1F10" w:rsidP="005E5CB4">
            <w:pPr>
              <w:pStyle w:val="BodyText"/>
              <w:spacing w:after="0" w:line="276" w:lineRule="auto"/>
              <w:jc w:val="center"/>
            </w:pPr>
            <w:r>
              <w:t>&gt; 3.2 MAF</w:t>
            </w:r>
          </w:p>
        </w:tc>
        <w:tc>
          <w:tcPr>
            <w:tcW w:w="3376" w:type="dxa"/>
            <w:tcBorders>
              <w:top w:val="single" w:sz="4" w:space="0" w:color="000000"/>
              <w:left w:val="single" w:sz="4" w:space="0" w:color="000000"/>
              <w:bottom w:val="single" w:sz="4" w:space="0" w:color="000000"/>
              <w:right w:val="single" w:sz="4" w:space="0" w:color="000000"/>
            </w:tcBorders>
            <w:hideMark/>
          </w:tcPr>
          <w:p w14:paraId="6FD5DE59" w14:textId="77777777" w:rsidR="00AA1F10" w:rsidRDefault="00AA1F10" w:rsidP="005E5CB4">
            <w:pPr>
              <w:pStyle w:val="BodyText"/>
              <w:spacing w:after="0" w:line="276" w:lineRule="auto"/>
              <w:jc w:val="center"/>
            </w:pPr>
            <w:r>
              <w:t>5,000 CFS</w:t>
            </w:r>
          </w:p>
        </w:tc>
      </w:tr>
    </w:tbl>
    <w:p w14:paraId="2FF4E037" w14:textId="77777777" w:rsidR="00AA1F10" w:rsidRDefault="00AA1F10" w:rsidP="0004494E">
      <w:pPr>
        <w:pStyle w:val="BodyText"/>
        <w:spacing w:before="240"/>
      </w:pPr>
      <w:r>
        <w:t>For CalSim II modeling purposes, the Keswick Dam release targets were specified as weighted goals. The weighted goals cause the model to increase or decrease the flow release as the model is able to meet the target flow. The selected weights for the goals would not prevent the model from releasing water from Shasta Reservoir for CVP project regulatory environmental, flood control or water supply purposes.</w:t>
      </w:r>
    </w:p>
    <w:p w14:paraId="604A5A25" w14:textId="77777777" w:rsidR="00AA1F10" w:rsidRPr="0099742B" w:rsidRDefault="00AA1F10" w:rsidP="0099742B">
      <w:pPr>
        <w:pStyle w:val="Heading6"/>
        <w:rPr>
          <w:b/>
          <w:bCs w:val="0"/>
        </w:rPr>
      </w:pPr>
      <w:bookmarkStart w:id="82" w:name="_Hlk54865507"/>
      <w:r w:rsidRPr="0099742B">
        <w:rPr>
          <w:b/>
          <w:bCs w:val="0"/>
        </w:rPr>
        <w:t xml:space="preserve">Shasta Spring pulse flows </w:t>
      </w:r>
    </w:p>
    <w:p w14:paraId="1F71382D" w14:textId="1DBD05E1" w:rsidR="00AA1F10" w:rsidRDefault="00AA1F10" w:rsidP="00AA1F10">
      <w:pPr>
        <w:pStyle w:val="BodyText"/>
      </w:pPr>
      <w:r>
        <w:t>Reclamation would release spring pulse flows of up to 150 TAF in coordination with the Upper Sacramento Scheduling Team when the projected total May 1</w:t>
      </w:r>
      <w:r>
        <w:rPr>
          <w:vertAlign w:val="superscript"/>
        </w:rPr>
        <w:t>st</w:t>
      </w:r>
      <w:r>
        <w:t xml:space="preserve"> Shasta Reservoir storage indicates a likelihood of sufficient cold water to support summer cold water pool management, and the pulse does not interfere with the ability to meet performance objectives or other anticipated operations of the reservoir. Reclamation would evaluate the projected May 1</w:t>
      </w:r>
      <w:r>
        <w:rPr>
          <w:vertAlign w:val="superscript"/>
        </w:rPr>
        <w:t>st</w:t>
      </w:r>
      <w:r>
        <w:t xml:space="preserve"> Shasta Reservoir storage at the time of the February forecast to determine whether a spring pulse would be allowed in March and would evaluate the projected May 1</w:t>
      </w:r>
      <w:r>
        <w:rPr>
          <w:vertAlign w:val="superscript"/>
        </w:rPr>
        <w:t>st</w:t>
      </w:r>
      <w:r>
        <w:t xml:space="preserve"> Shasta Reservoir storage at the time of the March forecast to determine whether a spring pulse would be allowed in April. Reclamation anticipates that a projected May 1</w:t>
      </w:r>
      <w:r>
        <w:rPr>
          <w:vertAlign w:val="superscript"/>
        </w:rPr>
        <w:t>st</w:t>
      </w:r>
      <w:r>
        <w:t xml:space="preserve"> storage greater than 4 MAF provides sufficient cold water pool management for Tier 1 and may release the spring pulse if it does not impact the ability to meet project objectives. Reclamation could also determine, in coordination with the Upper Sacramento scheduling team, that while the reservoir is less than 4 MAF, there is sufficient water to do a pulse of up to 150 TAF. The Upper Sacramento Scheduling Team would determine the timing, duration, and frequency of the spring pulse within the 150 TAF volume. Wet hydrology downstream of Keswick Dam may meet the need for pulse flows without increased releases.</w:t>
      </w:r>
    </w:p>
    <w:p w14:paraId="77974D4B" w14:textId="511D1347" w:rsidR="00923A4B" w:rsidRPr="005D2813" w:rsidRDefault="006A499E" w:rsidP="00AA1F10">
      <w:pPr>
        <w:pStyle w:val="BodyText"/>
        <w:rPr>
          <w:sz w:val="28"/>
          <w:szCs w:val="24"/>
        </w:rPr>
      </w:pPr>
      <w:r>
        <w:rPr>
          <w:szCs w:val="24"/>
        </w:rPr>
        <w:t>T</w:t>
      </w:r>
      <w:r w:rsidR="00923A4B" w:rsidRPr="005D2813">
        <w:rPr>
          <w:szCs w:val="24"/>
        </w:rPr>
        <w:t xml:space="preserve">he spring pulse could be 0 to 2 pulses of 10,000 cfs at </w:t>
      </w:r>
      <w:r>
        <w:rPr>
          <w:szCs w:val="24"/>
        </w:rPr>
        <w:t xml:space="preserve">Sacramento River at </w:t>
      </w:r>
      <w:r w:rsidR="00923A4B" w:rsidRPr="005D2813">
        <w:rPr>
          <w:szCs w:val="24"/>
        </w:rPr>
        <w:t xml:space="preserve">Wilkins Slough for 3 days each, in a time when </w:t>
      </w:r>
      <w:r>
        <w:rPr>
          <w:szCs w:val="24"/>
        </w:rPr>
        <w:t xml:space="preserve">Sacramento River at </w:t>
      </w:r>
      <w:r w:rsidR="00923A4B" w:rsidRPr="005D2813">
        <w:rPr>
          <w:szCs w:val="24"/>
        </w:rPr>
        <w:t xml:space="preserve">Wilkins Slough flows are less than 9,000 cfs. Following the initial three-day pulse targeting 10,000 cfs at </w:t>
      </w:r>
      <w:r>
        <w:rPr>
          <w:szCs w:val="24"/>
        </w:rPr>
        <w:t xml:space="preserve">Sacramento River at </w:t>
      </w:r>
      <w:r w:rsidR="00923A4B" w:rsidRPr="005D2813">
        <w:rPr>
          <w:szCs w:val="24"/>
        </w:rPr>
        <w:t>Wilkins</w:t>
      </w:r>
      <w:r>
        <w:rPr>
          <w:szCs w:val="24"/>
        </w:rPr>
        <w:t xml:space="preserve"> Slough</w:t>
      </w:r>
      <w:r w:rsidR="00923A4B" w:rsidRPr="005D2813">
        <w:rPr>
          <w:szCs w:val="24"/>
        </w:rPr>
        <w:t>, Keswick flows could reduce by no more than 15% per night for flows greater than 6,000 cfs, and no more than 200 cfs per night for flows between 4,000 and 5,999 cfs</w:t>
      </w:r>
      <w:r w:rsidR="005D2813">
        <w:rPr>
          <w:szCs w:val="24"/>
        </w:rPr>
        <w:t>.</w:t>
      </w:r>
    </w:p>
    <w:p w14:paraId="5584DE0E" w14:textId="63795964" w:rsidR="00AA1F10" w:rsidRDefault="00AA1F10" w:rsidP="00AA1F10">
      <w:pPr>
        <w:pStyle w:val="BodyText"/>
      </w:pPr>
      <w:r>
        <w:t>The determination of when to make the spring pulse in the CalSim II model depends on the forecasted May 1</w:t>
      </w:r>
      <w:r>
        <w:rPr>
          <w:vertAlign w:val="superscript"/>
        </w:rPr>
        <w:t>st</w:t>
      </w:r>
      <w:r>
        <w:t xml:space="preserve"> storage. For modeling purposes, a rule-of-thumb was used based on water year type and the end-of February storage to estimate the storage forecast. The forecast is done in March and uses end-of previous month storage and forecasted inflows to Shasta until May. The May 1</w:t>
      </w:r>
      <w:r>
        <w:rPr>
          <w:vertAlign w:val="superscript"/>
        </w:rPr>
        <w:t>st</w:t>
      </w:r>
      <w:r>
        <w:t xml:space="preserve"> Shasta Reservoir storage threshold of 4.1 MAF was used consistent with the storage </w:t>
      </w:r>
      <w:r>
        <w:lastRenderedPageBreak/>
        <w:t xml:space="preserve">threshold for Tier 1 in the tiered temperature management approach. The model does not consider spring pulses when the estimated May 1st Shasta storage is below 4.1 MAF. In addition, the spring pulses are limited to wet and above normal years (based on Sacramento River 40-30-30 index) as the 4.1 MAF storage threshold in below normal and drier years may not be adequate to identify conditions where the spring pulse will not adversely affect the temperature management or other obligations of the CVP. The model calculates flood control releases from Shasta Reservoir in March and April. If the flood control releases are sufficient to meet the 150 TAF pulse </w:t>
      </w:r>
      <w:r w:rsidR="00970DDC">
        <w:t>objective,</w:t>
      </w:r>
      <w:r>
        <w:t xml:space="preserve"> then no additional releases are made. If not, Shasta Reservoir releases are increased to up to 75 TAF in March and then in April, up to a total of 150 TAF of pulse flow in two months.</w:t>
      </w:r>
      <w:bookmarkEnd w:id="82"/>
    </w:p>
    <w:p w14:paraId="65479267" w14:textId="77777777" w:rsidR="00AA1F10" w:rsidRPr="00697906" w:rsidRDefault="00AA1F10" w:rsidP="0099742B">
      <w:pPr>
        <w:pStyle w:val="Heading5"/>
      </w:pPr>
      <w:r w:rsidRPr="00697906">
        <w:t>Continued CALFED Agreements</w:t>
      </w:r>
    </w:p>
    <w:p w14:paraId="05C87906" w14:textId="77777777" w:rsidR="00AA1F10" w:rsidRPr="00697906" w:rsidRDefault="00AA1F10" w:rsidP="00AA1F10">
      <w:pPr>
        <w:pStyle w:val="BodyText"/>
      </w:pPr>
      <w:r w:rsidRPr="00697906">
        <w:t>The Environmental Water Account (EWA) was established in 2000 by the CALFED Record of Decision (ROD)</w:t>
      </w:r>
      <w:r>
        <w:t xml:space="preserve">. </w:t>
      </w:r>
      <w:r w:rsidRPr="00697906">
        <w:t>The EWA was initially identified as a 4-year cooperative effort intended to operate from 2001 through 2004 but was extended through 2007 by agreement between the EWA agencies</w:t>
      </w:r>
      <w:r>
        <w:t xml:space="preserve">. </w:t>
      </w:r>
      <w:r w:rsidRPr="00697906">
        <w:t>It is uncertain, however, whether the EWA will be in place in the future and what actions and assets it may include</w:t>
      </w:r>
      <w:r>
        <w:t xml:space="preserve">. </w:t>
      </w:r>
      <w:r w:rsidRPr="00697906">
        <w:t>Because of this uncertainty, the EWA has not been included in the current CalSim II implementation.</w:t>
      </w:r>
    </w:p>
    <w:p w14:paraId="76D79B77" w14:textId="77777777" w:rsidR="00AA1F10" w:rsidRPr="00697906" w:rsidRDefault="00AA1F10" w:rsidP="005D2813">
      <w:pPr>
        <w:pStyle w:val="BodyText"/>
        <w:keepNext w:val="0"/>
      </w:pPr>
      <w:r w:rsidRPr="00697906">
        <w:t>One element of the EWA available assets is the Lower Yuba River Accord (LYRA) Component 1 water</w:t>
      </w:r>
      <w:r>
        <w:t xml:space="preserve">. </w:t>
      </w:r>
      <w:r w:rsidRPr="00697906">
        <w:t>In the absence of the EWA and implementation in CalSim II, the LYRA Component 1 water is assumed to be transferred to South of Delta (SOD) State Water Project (SWP) contractors to help mitigate the impact of the NMFS BO and D1641 on SWP exports during April and May</w:t>
      </w:r>
      <w:r>
        <w:t xml:space="preserve">. </w:t>
      </w:r>
      <w:r w:rsidRPr="00697906">
        <w:t>An additional 500 cfs of capacity is permitted at Banks Pumping Plant from July through September to export this transferred water</w:t>
      </w:r>
      <w:r>
        <w:t xml:space="preserve">. </w:t>
      </w:r>
    </w:p>
    <w:p w14:paraId="48741E97" w14:textId="77777777" w:rsidR="00AA1F10" w:rsidRPr="00697906" w:rsidRDefault="00AA1F10" w:rsidP="005D2813">
      <w:pPr>
        <w:pStyle w:val="Heading5"/>
        <w:keepNext/>
      </w:pPr>
      <w:r w:rsidRPr="00697906">
        <w:t>Water Transfers</w:t>
      </w:r>
    </w:p>
    <w:p w14:paraId="29C65229" w14:textId="77777777" w:rsidR="00AA1F10" w:rsidRPr="0099742B" w:rsidRDefault="00AA1F10" w:rsidP="005D2813">
      <w:pPr>
        <w:pStyle w:val="Heading6"/>
        <w:keepNext/>
        <w:rPr>
          <w:b/>
          <w:bCs w:val="0"/>
        </w:rPr>
      </w:pPr>
      <w:r w:rsidRPr="0099742B">
        <w:rPr>
          <w:b/>
          <w:bCs w:val="0"/>
        </w:rPr>
        <w:t xml:space="preserve">Lower Yuba River Accord (LYRA) </w:t>
      </w:r>
    </w:p>
    <w:p w14:paraId="384AB76D" w14:textId="77777777" w:rsidR="00AA1F10" w:rsidRPr="00697906" w:rsidRDefault="00AA1F10" w:rsidP="00AA1F10">
      <w:pPr>
        <w:pStyle w:val="BodyText"/>
      </w:pPr>
      <w:r w:rsidRPr="00697906">
        <w:t>Acquisitions of Component 1 water under the Lower Yuba River Accord, and use of 500 cfs dedicated capacity at Banks PP during July – September, are assumed to be used to reduce as much of the impact of the Apr – May Delta export actions on SWP contractors as possible.</w:t>
      </w:r>
    </w:p>
    <w:p w14:paraId="256BA3D8" w14:textId="77777777" w:rsidR="00AA1F10" w:rsidRPr="0099742B" w:rsidRDefault="00AA1F10" w:rsidP="0099742B">
      <w:pPr>
        <w:pStyle w:val="Heading6"/>
        <w:rPr>
          <w:b/>
          <w:bCs w:val="0"/>
        </w:rPr>
      </w:pPr>
      <w:r w:rsidRPr="0099742B">
        <w:rPr>
          <w:b/>
          <w:bCs w:val="0"/>
        </w:rPr>
        <w:t xml:space="preserve">Phase 8 transfers </w:t>
      </w:r>
    </w:p>
    <w:p w14:paraId="2D7967BE" w14:textId="1BD93394" w:rsidR="00AA1F10" w:rsidRPr="00697906" w:rsidRDefault="00AA1F10" w:rsidP="00985CF5">
      <w:pPr>
        <w:pStyle w:val="BodyText"/>
        <w:keepNext w:val="0"/>
      </w:pPr>
      <w:r w:rsidRPr="00697906">
        <w:t xml:space="preserve">Phase 8 transfers are not included in the </w:t>
      </w:r>
      <w:r w:rsidR="00950D77">
        <w:t>Benchmark</w:t>
      </w:r>
      <w:r w:rsidR="002176F0" w:rsidRPr="002176F0">
        <w:t xml:space="preserve"> 011721 HIST</w:t>
      </w:r>
      <w:r w:rsidRPr="00697906">
        <w:t xml:space="preserve"> simulation.</w:t>
      </w:r>
    </w:p>
    <w:p w14:paraId="258DA86F" w14:textId="77777777" w:rsidR="00AA1F10" w:rsidRPr="0099742B" w:rsidRDefault="00AA1F10" w:rsidP="00985CF5">
      <w:pPr>
        <w:pStyle w:val="Heading6"/>
        <w:keepNext/>
        <w:rPr>
          <w:b/>
          <w:bCs w:val="0"/>
        </w:rPr>
      </w:pPr>
      <w:r w:rsidRPr="0099742B">
        <w:rPr>
          <w:b/>
          <w:bCs w:val="0"/>
        </w:rPr>
        <w:t xml:space="preserve">Short-term or Temporary Water Transfers </w:t>
      </w:r>
    </w:p>
    <w:p w14:paraId="46837DF2" w14:textId="1EAB6344" w:rsidR="00AA1F10" w:rsidRPr="00697906" w:rsidRDefault="00AA1F10" w:rsidP="00AA1F10">
      <w:pPr>
        <w:pStyle w:val="BodyText"/>
      </w:pPr>
      <w:r w:rsidRPr="00697906">
        <w:t xml:space="preserve">Short term or temporary transfers such as Sacramento Valley acquisitions conveyed through Banks PP are not included in the </w:t>
      </w:r>
      <w:r w:rsidR="00950D77">
        <w:t>Benchmark</w:t>
      </w:r>
      <w:r w:rsidR="002176F0" w:rsidRPr="002176F0">
        <w:t xml:space="preserve"> 011721 HIST</w:t>
      </w:r>
      <w:r w:rsidRPr="00697906">
        <w:t xml:space="preserve"> simulation.</w:t>
      </w:r>
    </w:p>
    <w:p w14:paraId="3D837BAA" w14:textId="77777777" w:rsidR="00AA1F10" w:rsidRDefault="00AA1F10" w:rsidP="0099742B">
      <w:pPr>
        <w:pStyle w:val="Heading4"/>
      </w:pPr>
      <w:r w:rsidRPr="00697906">
        <w:t>Specific Regulatory Assumptions</w:t>
      </w:r>
    </w:p>
    <w:p w14:paraId="782BFEEC" w14:textId="77777777" w:rsidR="00AA1F10" w:rsidRDefault="00AA1F10" w:rsidP="0099742B">
      <w:pPr>
        <w:pStyle w:val="Heading5"/>
      </w:pPr>
      <w:r>
        <w:t>Upper Sacramento Flow Management</w:t>
      </w:r>
    </w:p>
    <w:p w14:paraId="4ADF9F97" w14:textId="5DCBFAD5" w:rsidR="00AA1F10" w:rsidRPr="00F16391" w:rsidRDefault="00AA1F10" w:rsidP="00AA1F10">
      <w:pPr>
        <w:rPr>
          <w:sz w:val="24"/>
          <w:szCs w:val="24"/>
        </w:rPr>
      </w:pPr>
      <w:r w:rsidRPr="00F16391">
        <w:rPr>
          <w:sz w:val="24"/>
          <w:szCs w:val="24"/>
        </w:rPr>
        <w:t>Model includes SWRCB WR 90-5 and NMFS BO (</w:t>
      </w:r>
      <w:r w:rsidR="00264BFC" w:rsidRPr="00F16391">
        <w:rPr>
          <w:sz w:val="24"/>
          <w:szCs w:val="24"/>
        </w:rPr>
        <w:t>Oct 2019</w:t>
      </w:r>
      <w:r w:rsidRPr="00F16391">
        <w:rPr>
          <w:sz w:val="24"/>
          <w:szCs w:val="24"/>
        </w:rPr>
        <w:t xml:space="preserve">) </w:t>
      </w:r>
      <w:r w:rsidR="00264BFC" w:rsidRPr="00F16391">
        <w:rPr>
          <w:sz w:val="24"/>
          <w:szCs w:val="24"/>
        </w:rPr>
        <w:t>Section 3.1</w:t>
      </w:r>
      <w:r w:rsidRPr="00F16391">
        <w:rPr>
          <w:sz w:val="24"/>
          <w:szCs w:val="24"/>
        </w:rPr>
        <w:t xml:space="preserve"> achieved as possible through other modeled actions.</w:t>
      </w:r>
    </w:p>
    <w:p w14:paraId="7FFA476E" w14:textId="77777777" w:rsidR="00AA1F10" w:rsidRDefault="00AA1F10" w:rsidP="0099742B">
      <w:pPr>
        <w:pStyle w:val="Heading5"/>
      </w:pPr>
      <w:r w:rsidRPr="009150F0">
        <w:t xml:space="preserve">Lower </w:t>
      </w:r>
      <w:r>
        <w:t>Feather</w:t>
      </w:r>
      <w:r w:rsidRPr="009150F0">
        <w:t xml:space="preserve"> Flow Management</w:t>
      </w:r>
    </w:p>
    <w:p w14:paraId="3F935686" w14:textId="77777777" w:rsidR="00AA1F10" w:rsidRPr="00F16391" w:rsidRDefault="00AA1F10" w:rsidP="00AA1F10">
      <w:pPr>
        <w:rPr>
          <w:sz w:val="24"/>
          <w:szCs w:val="24"/>
        </w:rPr>
      </w:pPr>
      <w:r w:rsidRPr="00F16391">
        <w:rPr>
          <w:sz w:val="24"/>
          <w:szCs w:val="24"/>
        </w:rPr>
        <w:lastRenderedPageBreak/>
        <w:t>Model includes 1983 DWR, DFG Agreement (minimum flow 750 – 1,700 cfs, depending on runoff and month).</w:t>
      </w:r>
    </w:p>
    <w:p w14:paraId="126B2D6C" w14:textId="77777777" w:rsidR="00AA1F10" w:rsidRPr="00697906" w:rsidRDefault="00AA1F10" w:rsidP="0099742B">
      <w:pPr>
        <w:pStyle w:val="Heading5"/>
      </w:pPr>
      <w:r w:rsidRPr="003B4C10">
        <w:t>Lower American Flow Management</w:t>
      </w:r>
      <w:r w:rsidRPr="00697906">
        <w:t xml:space="preserve"> </w:t>
      </w:r>
    </w:p>
    <w:p w14:paraId="34BA3A70" w14:textId="77777777" w:rsidR="00AA1F10" w:rsidRDefault="00AA1F10" w:rsidP="00AA1F10">
      <w:pPr>
        <w:pStyle w:val="BodyText"/>
      </w:pPr>
      <w:r w:rsidRPr="00697906">
        <w:t>Model includes Water Forum’s 2017 Lower American Flow Management Standard where the flows range from 500 to 2</w:t>
      </w:r>
      <w:r>
        <w:t>,</w:t>
      </w:r>
      <w:r w:rsidRPr="00697906">
        <w:t xml:space="preserve">000 cfs based on time of year and annual hydrology. Planning minimum storage is represented </w:t>
      </w:r>
      <w:r>
        <w:t xml:space="preserve">in CalSim </w:t>
      </w:r>
      <w:r w:rsidRPr="00697906">
        <w:t xml:space="preserve">with a 275 </w:t>
      </w:r>
      <w:r>
        <w:t>TAF</w:t>
      </w:r>
      <w:r w:rsidRPr="00697906">
        <w:t xml:space="preserve"> end-of </w:t>
      </w:r>
      <w:r>
        <w:t>December</w:t>
      </w:r>
      <w:r w:rsidRPr="00697906">
        <w:t xml:space="preserve"> storage target in Folsom. </w:t>
      </w:r>
    </w:p>
    <w:p w14:paraId="6760A8FC" w14:textId="77777777" w:rsidR="00AA1F10" w:rsidRDefault="00AA1F10" w:rsidP="0099742B">
      <w:pPr>
        <w:pStyle w:val="Heading5"/>
      </w:pPr>
      <w:r w:rsidRPr="003B4C10">
        <w:t>Folsom Flood Control Diagram</w:t>
      </w:r>
    </w:p>
    <w:p w14:paraId="023FC4A3" w14:textId="77777777" w:rsidR="00AA1F10" w:rsidRDefault="00AA1F10" w:rsidP="00AA1F10">
      <w:pPr>
        <w:pStyle w:val="BodyText"/>
      </w:pPr>
      <w:r>
        <w:t>The 2019 Folsom Water Quality Control Manual relies on daily forecasts through the flood season; monthly implementation is able to use an updated time series instead of the old SAFCA-based timeseries.</w:t>
      </w:r>
    </w:p>
    <w:p w14:paraId="636742B5" w14:textId="77777777" w:rsidR="00AA1F10" w:rsidRPr="00697906" w:rsidRDefault="00AA1F10" w:rsidP="0099742B">
      <w:pPr>
        <w:pStyle w:val="Heading5"/>
      </w:pPr>
      <w:r w:rsidRPr="00697906">
        <w:t>Delta Outflow (Flow and Salinity)</w:t>
      </w:r>
    </w:p>
    <w:p w14:paraId="0B76FB04" w14:textId="77777777" w:rsidR="00AA1F10" w:rsidRPr="0099742B" w:rsidRDefault="00AA1F10" w:rsidP="0099742B">
      <w:pPr>
        <w:pStyle w:val="Heading6"/>
        <w:rPr>
          <w:b/>
          <w:bCs w:val="0"/>
        </w:rPr>
      </w:pPr>
      <w:r w:rsidRPr="0099742B">
        <w:rPr>
          <w:b/>
          <w:bCs w:val="0"/>
        </w:rPr>
        <w:t>SWRCB D-1641</w:t>
      </w:r>
    </w:p>
    <w:p w14:paraId="6E888A16" w14:textId="4E1CBFFB" w:rsidR="00AA1F10" w:rsidRPr="00697906" w:rsidRDefault="00AA1F10" w:rsidP="00AA1F10">
      <w:pPr>
        <w:pStyle w:val="BodyText"/>
      </w:pPr>
      <w:r w:rsidRPr="00697906">
        <w:t xml:space="preserve">All Delta outflow requirements per SWRCB D-1641 are included in the </w:t>
      </w:r>
      <w:r w:rsidR="00950D77">
        <w:t>Benchmark</w:t>
      </w:r>
      <w:r w:rsidR="002176F0" w:rsidRPr="002176F0">
        <w:t xml:space="preserve"> 011721 HIST</w:t>
      </w:r>
      <w:r w:rsidR="00B76CC1">
        <w:t xml:space="preserve"> </w:t>
      </w:r>
      <w:r w:rsidRPr="00697906">
        <w:t>simulation</w:t>
      </w:r>
      <w:r>
        <w:t xml:space="preserve">. </w:t>
      </w:r>
      <w:r w:rsidRPr="00697906">
        <w:t xml:space="preserve">Similarly, for the February through June period the X2 standard is included in the </w:t>
      </w:r>
      <w:r w:rsidR="00950D77">
        <w:t>Benchmark</w:t>
      </w:r>
      <w:r w:rsidR="002176F0" w:rsidRPr="002176F0">
        <w:t xml:space="preserve"> 011721 HIST</w:t>
      </w:r>
      <w:r w:rsidRPr="00697906">
        <w:t xml:space="preserve"> simulation.</w:t>
      </w:r>
    </w:p>
    <w:p w14:paraId="072672B2" w14:textId="4A331638" w:rsidR="00AA1F10" w:rsidRPr="00461CB2" w:rsidRDefault="00AA1F10" w:rsidP="00461CB2">
      <w:pPr>
        <w:pStyle w:val="Heading6"/>
        <w:rPr>
          <w:b/>
          <w:bCs w:val="0"/>
        </w:rPr>
      </w:pPr>
      <w:r w:rsidRPr="003B0E20">
        <w:rPr>
          <w:b/>
          <w:bCs w:val="0"/>
        </w:rPr>
        <w:t xml:space="preserve">Delta Smelt </w:t>
      </w:r>
      <w:r w:rsidR="003B0E20" w:rsidRPr="003B0E20">
        <w:rPr>
          <w:b/>
          <w:bCs w:val="0"/>
        </w:rPr>
        <w:t xml:space="preserve">Summer-Fall </w:t>
      </w:r>
      <w:r w:rsidRPr="003B0E20">
        <w:rPr>
          <w:b/>
          <w:bCs w:val="0"/>
        </w:rPr>
        <w:t>Habitat Action</w:t>
      </w:r>
      <w:r w:rsidRPr="00461CB2">
        <w:rPr>
          <w:b/>
          <w:bCs w:val="0"/>
        </w:rPr>
        <w:t xml:space="preserve"> </w:t>
      </w:r>
    </w:p>
    <w:p w14:paraId="690ABE26" w14:textId="77777777" w:rsidR="00AA1F10" w:rsidRDefault="00AA1F10" w:rsidP="00AA1F10">
      <w:pPr>
        <w:pStyle w:val="BodyText"/>
      </w:pPr>
      <w:r w:rsidRPr="006B6884">
        <w:t>The Delta Smelt Habitat Action is intended to improve Delta Smelt food supply and habitat, thereby contributing to the recruitment, growth, and survival of Delta Smelt. Reclamation and DWR propose to use structured decision making to implement Delta Smelt habitat actions</w:t>
      </w:r>
      <w:r>
        <w:t xml:space="preserve"> as described in the 2019 BiOps and 2020 SWP ITP</w:t>
      </w:r>
      <w:r w:rsidRPr="006B6884">
        <w:t xml:space="preserve">. </w:t>
      </w:r>
    </w:p>
    <w:p w14:paraId="5C2DAD71" w14:textId="77777777" w:rsidR="00AA1F10" w:rsidRDefault="00AA1F10" w:rsidP="00AA1F10">
      <w:pPr>
        <w:pStyle w:val="BodyText"/>
      </w:pPr>
      <w:r w:rsidRPr="002E1380">
        <w:t>The action will initially include modifying project operations to maintain a monthly average 2 ppt isohaline at 80 km from the Golden Gate in above normal and wet water years in September and October. Reclamation and DWR will also implement additional measures that are expected to achieve additional benefits. These measures include, but are not limited to:</w:t>
      </w:r>
    </w:p>
    <w:p w14:paraId="5F63A8A2" w14:textId="77777777" w:rsidR="00AA1F10" w:rsidRDefault="00AA1F10" w:rsidP="00BC616F">
      <w:pPr>
        <w:pStyle w:val="BodyText"/>
        <w:keepNext w:val="0"/>
        <w:numPr>
          <w:ilvl w:val="0"/>
          <w:numId w:val="31"/>
        </w:numPr>
        <w:tabs>
          <w:tab w:val="clear" w:pos="8415"/>
        </w:tabs>
        <w:spacing w:before="240" w:after="120"/>
      </w:pPr>
      <w:r w:rsidRPr="002E1380">
        <w:t xml:space="preserve">Suisun Marsh Salinity Control Gate (SMSCG) operations </w:t>
      </w:r>
      <w:r>
        <w:t>described in the Operation Criteria section of this document.</w:t>
      </w:r>
    </w:p>
    <w:p w14:paraId="0D492DDD" w14:textId="77777777" w:rsidR="00AA1F10" w:rsidRPr="002E1380" w:rsidRDefault="00AA1F10" w:rsidP="00BC616F">
      <w:pPr>
        <w:pStyle w:val="BodyText"/>
        <w:keepNext w:val="0"/>
        <w:numPr>
          <w:ilvl w:val="0"/>
          <w:numId w:val="31"/>
        </w:numPr>
        <w:tabs>
          <w:tab w:val="clear" w:pos="8415"/>
        </w:tabs>
        <w:spacing w:before="240" w:after="120"/>
      </w:pPr>
      <w:r>
        <w:t xml:space="preserve">An additional 100 TAF of Delta Outflow is provided in Wet and Above Normal water years by cutting SWP exports in June through September as described in section 8.19 of the ITP. SWP allocations have been reduced in April and May to ensure the water is gained by cutting SWP exports. No more than 40 TAF of the additional outflow is immediately used to reach X2 of 80 km in June through August. The remaining SWP export cuts is backed up into Oroville for future use. If that carryover water in Oroville is likely to spill, it can be used to augment outflow in August to reach an X2 of 80 km. Otherwise, the carryover is used the following year depending on that year’s water type as follows: the water is kept for SWP deliveries for critical water years, used for SMSCG operations in June through September for dry water years, released in May to augment </w:t>
      </w:r>
      <w:r>
        <w:lastRenderedPageBreak/>
        <w:t xml:space="preserve">Delta Outflow regardless of X2 for Below Normal water years, and used to either to meet X2 or for SMSCG operations by September for Above Normal and Wet water years. </w:t>
      </w:r>
    </w:p>
    <w:p w14:paraId="4B71370C" w14:textId="77777777" w:rsidR="00AA1F10" w:rsidRPr="00600274" w:rsidRDefault="00AA1F10" w:rsidP="00AA1F10">
      <w:pPr>
        <w:pStyle w:val="BodyText"/>
      </w:pPr>
      <w:r>
        <w:t xml:space="preserve">In the </w:t>
      </w:r>
      <w:r w:rsidRPr="006B6884">
        <w:t>Delta Smelt Habitat Action Plan</w:t>
      </w:r>
      <w:r>
        <w:t xml:space="preserve">, the specifics of the flow and habitat actions will be </w:t>
      </w:r>
      <w:r w:rsidRPr="00EF4306">
        <w:t xml:space="preserve">more fully defined through a structured decision making or other review process. </w:t>
      </w:r>
    </w:p>
    <w:p w14:paraId="5159B74D" w14:textId="77777777" w:rsidR="00AA1F10" w:rsidRDefault="00AA1F10" w:rsidP="00AA1F10">
      <w:pPr>
        <w:pStyle w:val="BodyText"/>
      </w:pPr>
      <w:r>
        <w:t>F</w:t>
      </w:r>
      <w:r w:rsidRPr="00732097">
        <w:t>or CalSim II modeling</w:t>
      </w:r>
      <w:r w:rsidRPr="00EF4306">
        <w:t xml:space="preserve"> purposes, </w:t>
      </w:r>
      <w:r>
        <w:t>the Delta Outflow action is assumed as maintaining an X2 position of 80 km in September through October of wet and above normal years (based on the 40-30-30 Sacramento River Index). A ramping up of outflow preceding the action is assumed as achieving an</w:t>
      </w:r>
      <w:r w:rsidRPr="00CE656E">
        <w:t xml:space="preserve"> X2 position </w:t>
      </w:r>
      <w:r>
        <w:t>of</w:t>
      </w:r>
      <w:r w:rsidRPr="00732097">
        <w:t xml:space="preserve"> </w:t>
      </w:r>
      <w:r>
        <w:t>82</w:t>
      </w:r>
      <w:r w:rsidRPr="00732097">
        <w:t xml:space="preserve"> km</w:t>
      </w:r>
      <w:r>
        <w:t xml:space="preserve"> for last 14 days of August</w:t>
      </w:r>
      <w:r w:rsidRPr="00EF4306">
        <w:t>.</w:t>
      </w:r>
      <w:r>
        <w:t xml:space="preserve"> The model tries to meet </w:t>
      </w:r>
      <w:r w:rsidRPr="00355EA9">
        <w:t>Delta outflow augmentation in the fall primarily through export reductions</w:t>
      </w:r>
      <w:r>
        <w:t>.</w:t>
      </w:r>
      <w:r w:rsidRPr="00355EA9">
        <w:t xml:space="preserve"> </w:t>
      </w:r>
      <w:r>
        <w:t>CVP water operations were adjusted to balance reservoir operations in response to these reductions.</w:t>
      </w:r>
    </w:p>
    <w:p w14:paraId="79D9ED0B" w14:textId="77777777" w:rsidR="00AA1F10" w:rsidRPr="00697906" w:rsidRDefault="00AA1F10" w:rsidP="00461CB2">
      <w:pPr>
        <w:pStyle w:val="Heading5"/>
      </w:pPr>
      <w:r w:rsidRPr="00697906">
        <w:t>Combined Old and Middle River Flows</w:t>
      </w:r>
    </w:p>
    <w:p w14:paraId="3867CAAA" w14:textId="77777777" w:rsidR="00AA1F10" w:rsidRPr="00697906" w:rsidRDefault="00AA1F10" w:rsidP="00AA1F10">
      <w:pPr>
        <w:pStyle w:val="BodyText"/>
      </w:pPr>
      <w:r w:rsidRPr="00697906">
        <w:t xml:space="preserve">Reclamation and DWR propose to operate the CVP and SWP in a manner that maximizes exports while minimizing entrainment of fish and protecting critical habitat. </w:t>
      </w:r>
    </w:p>
    <w:p w14:paraId="00D6A56B" w14:textId="77777777" w:rsidR="00AA1F10" w:rsidRPr="00697906" w:rsidRDefault="00AA1F10" w:rsidP="00AA1F10">
      <w:pPr>
        <w:pStyle w:val="BodyText"/>
      </w:pPr>
      <w:r w:rsidRPr="00697906">
        <w:t>Proposed OMR management is modeled as follows:</w:t>
      </w:r>
    </w:p>
    <w:p w14:paraId="45949C30" w14:textId="77777777" w:rsidR="00AA1F10" w:rsidRPr="00697906" w:rsidRDefault="00AA1F10" w:rsidP="00AA1F10">
      <w:pPr>
        <w:pStyle w:val="BodyText"/>
      </w:pPr>
      <w:r w:rsidRPr="00697906">
        <w:t>Projects operate to an OMR index no more negative than a 14-day moving average of -5,000 cfs between January 1 and June 30 except for the following conditions:</w:t>
      </w:r>
    </w:p>
    <w:p w14:paraId="7138BE9E" w14:textId="77777777" w:rsidR="00AA1F10" w:rsidRPr="00697906" w:rsidRDefault="00AA1F10" w:rsidP="00BC616F">
      <w:pPr>
        <w:pStyle w:val="ListBullet"/>
        <w:numPr>
          <w:ilvl w:val="0"/>
          <w:numId w:val="30"/>
        </w:numPr>
        <w:spacing w:line="264" w:lineRule="auto"/>
      </w:pPr>
      <w:r w:rsidRPr="00697906">
        <w:t xml:space="preserve">Integrated Early Winter Pulse Protection: After December 1, and when the 3-day average turbidity is 12 NTU or greater at Old River at Bacon Island (OBI), Prisoner’s Point (PPT), and Victoria Canal (VCU), Reclamation and DWR propose to operate to -2,000 cfs of the 14-day average OMR index for 14 days. The same model index of SAC_RI developed for the USFWS RPA Action I representation is used in the model to determine when the turbidity exceeds 12 NTU. </w:t>
      </w:r>
    </w:p>
    <w:p w14:paraId="28F5AF42" w14:textId="77777777" w:rsidR="00AA1F10" w:rsidRPr="00697906" w:rsidRDefault="00AA1F10" w:rsidP="00BC616F">
      <w:pPr>
        <w:pStyle w:val="ListBullet"/>
        <w:numPr>
          <w:ilvl w:val="0"/>
          <w:numId w:val="30"/>
        </w:numPr>
        <w:spacing w:line="264" w:lineRule="auto"/>
      </w:pPr>
      <w:r w:rsidRPr="00697906">
        <w:t>Turbidity Bridge Avoidance: For January and February in any water year type, if the Turbidity trigger is reached (SAC_RI greater than or equal to 20,000 cfs), Projects operate to 14-day average OMR Index if -2000 cfs for five days. For March through June of Wet and Above Normal years, it is assumed that there will be one event of turbidity bridge avoidance in each month (-2000 cfs for five days).</w:t>
      </w:r>
    </w:p>
    <w:p w14:paraId="74513431" w14:textId="77777777" w:rsidR="00AA1F10" w:rsidRDefault="00AA1F10" w:rsidP="00BC616F">
      <w:pPr>
        <w:pStyle w:val="ListBullet"/>
        <w:numPr>
          <w:ilvl w:val="0"/>
          <w:numId w:val="30"/>
        </w:numPr>
        <w:spacing w:line="264" w:lineRule="auto"/>
      </w:pPr>
      <w:r>
        <w:t xml:space="preserve">OMR </w:t>
      </w:r>
      <w:r w:rsidRPr="00697906">
        <w:t>Storm-Related Flexibility: It is assumed that there may be storm-related OMR management flexibility in January and February</w:t>
      </w:r>
      <w:r>
        <w:t xml:space="preserve">. </w:t>
      </w:r>
      <w:r w:rsidRPr="00697906">
        <w:t>In wet years, it is assumed that storm events will coincide with turbidity bridge events and no OMR flexibility is modeled. In Above Normal and Below Normal years, it is assumed that there will be one opportunity in January and one opportunity in February to operate to a more negative OMR index than -5000 cfs. This is modeled as 14-day OMR index of -6</w:t>
      </w:r>
      <w:r>
        <w:t>,25</w:t>
      </w:r>
      <w:r w:rsidRPr="00697906">
        <w:t xml:space="preserve">0 cfs for </w:t>
      </w:r>
      <w:r>
        <w:t>6</w:t>
      </w:r>
      <w:r w:rsidRPr="00697906">
        <w:t xml:space="preserve"> days in each month</w:t>
      </w:r>
      <w:r>
        <w:t xml:space="preserve">. </w:t>
      </w:r>
      <w:r w:rsidRPr="00697906">
        <w:t>In dry years, it is assumed that one opportunity occurs either in January or February but not both months.</w:t>
      </w:r>
      <w:r>
        <w:t xml:space="preserve"> </w:t>
      </w:r>
    </w:p>
    <w:p w14:paraId="6A4C24FF" w14:textId="77777777" w:rsidR="00AA1F10" w:rsidRPr="00697906" w:rsidRDefault="00AA1F10" w:rsidP="00456B8C">
      <w:pPr>
        <w:pStyle w:val="ListBullet"/>
        <w:numPr>
          <w:ilvl w:val="0"/>
          <w:numId w:val="30"/>
        </w:numPr>
        <w:spacing w:after="240" w:line="264" w:lineRule="auto"/>
      </w:pPr>
      <w:r w:rsidRPr="00433D82">
        <w:t xml:space="preserve">Species-specific cumulative salvage or loss </w:t>
      </w:r>
      <w:r w:rsidRPr="00F53250">
        <w:t xml:space="preserve">threshold: </w:t>
      </w:r>
      <w:r>
        <w:t>Since salvage or loss cannot be modeled in CalSim II, h</w:t>
      </w:r>
      <w:r w:rsidRPr="00632EA5">
        <w:t xml:space="preserve">istoric salvage data at the fish facilities at Banks and Jones Pumping Plants and fish catch data at Chipps Island trawl during water years 2010 – 2018 were </w:t>
      </w:r>
      <w:r w:rsidRPr="00632EA5">
        <w:lastRenderedPageBreak/>
        <w:t xml:space="preserve">analyzed. Historic salvage data provides the potential timing of triggering the 50% and 75% levels of the proposed single year loss thresholds. The Chipps Island catch data provides the migration timing and estimates for when the 95% of Winter-Run and Steelhead have migrated out of the Delta, which is the proposed offramp for the real-time OMR management for these species. </w:t>
      </w:r>
      <w:r>
        <w:t xml:space="preserve">Based on this historic data, the modeling used </w:t>
      </w:r>
      <w:r w:rsidRPr="00F53250">
        <w:t>an OMR index of negative 3,500 CFS</w:t>
      </w:r>
      <w:r w:rsidRPr="00632EA5">
        <w:t xml:space="preserve"> in April and May of all non-critically dry year-types when it is assumed that the 50% of the proposed single year loss thresholds for one or more of the species will be exceeded.</w:t>
      </w:r>
    </w:p>
    <w:p w14:paraId="06344BBE" w14:textId="77777777" w:rsidR="00AA1F10" w:rsidRPr="00697906" w:rsidRDefault="00AA1F10" w:rsidP="00461CB2">
      <w:pPr>
        <w:pStyle w:val="Heading5"/>
      </w:pPr>
      <w:r w:rsidRPr="00697906">
        <w:t>South Delta Export-San Joaquin River Inflow Ratio</w:t>
      </w:r>
    </w:p>
    <w:p w14:paraId="1F4A6A3A" w14:textId="08D2C2E8" w:rsidR="00AA1F10" w:rsidRDefault="00AA1F10" w:rsidP="00AB0A54">
      <w:pPr>
        <w:pStyle w:val="BodyText"/>
        <w:keepNext w:val="0"/>
      </w:pPr>
      <w:r>
        <w:t xml:space="preserve">From April 1 to May 31, exports are restricted by the ratio of Vernalis flow (cfs) to combined CVP and SWP exports described in the ITP 8.17. The ratio varies based on water year type as shown in </w:t>
      </w:r>
      <w:r>
        <w:fldChar w:fldCharType="begin"/>
      </w:r>
      <w:r>
        <w:instrText xml:space="preserve"> REF _Ref63170356 \h </w:instrText>
      </w:r>
      <w:r w:rsidR="005427FA">
        <w:instrText xml:space="preserve"> \* MERGEFORMAT </w:instrText>
      </w:r>
      <w:r>
        <w:fldChar w:fldCharType="separate"/>
      </w:r>
      <w:r>
        <w:t xml:space="preserve">Table </w:t>
      </w:r>
      <w:r w:rsidR="0060279E">
        <w:t>1</w:t>
      </w:r>
      <w:r w:rsidR="00207152">
        <w:t>-</w:t>
      </w:r>
      <w:r>
        <w:rPr>
          <w:noProof/>
        </w:rPr>
        <w:t>4</w:t>
      </w:r>
      <w:r>
        <w:fldChar w:fldCharType="end"/>
      </w:r>
      <w:r>
        <w:t>.</w:t>
      </w:r>
    </w:p>
    <w:p w14:paraId="04DA0160" w14:textId="22E074DA" w:rsidR="00AA1F10" w:rsidRDefault="00AA1F10" w:rsidP="00AB0A54">
      <w:pPr>
        <w:pStyle w:val="Caption"/>
        <w:keepNext/>
      </w:pPr>
      <w:bookmarkStart w:id="83" w:name="_Ref63170356"/>
      <w:r>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4</w:t>
      </w:r>
      <w:r w:rsidR="001917C5">
        <w:rPr>
          <w:noProof/>
        </w:rPr>
        <w:fldChar w:fldCharType="end"/>
      </w:r>
      <w:bookmarkEnd w:id="83"/>
      <w:r>
        <w:t>. San Joaquin River Inflow Ratio</w:t>
      </w:r>
    </w:p>
    <w:tbl>
      <w:tblPr>
        <w:tblW w:w="3840" w:type="dxa"/>
        <w:tblLook w:val="04A0" w:firstRow="1" w:lastRow="0" w:firstColumn="1" w:lastColumn="0" w:noHBand="0" w:noVBand="1"/>
      </w:tblPr>
      <w:tblGrid>
        <w:gridCol w:w="2239"/>
        <w:gridCol w:w="1601"/>
      </w:tblGrid>
      <w:tr w:rsidR="00AA1F10" w:rsidRPr="00190C80" w14:paraId="5CA844EC" w14:textId="77777777" w:rsidTr="005E5CB4">
        <w:trPr>
          <w:trHeight w:val="30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36C3C" w14:textId="77777777" w:rsidR="00AA1F10" w:rsidRPr="009E6FF3" w:rsidRDefault="00AA1F10" w:rsidP="005E5CB4">
            <w:pPr>
              <w:pStyle w:val="BodyText"/>
              <w:spacing w:after="0" w:line="276" w:lineRule="auto"/>
              <w:jc w:val="center"/>
            </w:pPr>
            <w:r w:rsidRPr="009E6FF3">
              <w:t>Water Year Type</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14:paraId="790C01A6" w14:textId="77777777" w:rsidR="00AA1F10" w:rsidRPr="009E6FF3" w:rsidRDefault="00AA1F10" w:rsidP="005E5CB4">
            <w:pPr>
              <w:pStyle w:val="BodyText"/>
              <w:spacing w:after="0" w:line="276" w:lineRule="auto"/>
              <w:jc w:val="center"/>
            </w:pPr>
            <w:r w:rsidRPr="009E6FF3">
              <w:t>SJR I:E Ratio</w:t>
            </w:r>
          </w:p>
        </w:tc>
      </w:tr>
      <w:tr w:rsidR="00AA1F10" w:rsidRPr="00190C80" w14:paraId="02B9D700"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3E69093F" w14:textId="77777777" w:rsidR="00AA1F10" w:rsidRPr="009E6FF3" w:rsidRDefault="00AA1F10" w:rsidP="005E5CB4">
            <w:pPr>
              <w:pStyle w:val="BodyText"/>
              <w:spacing w:after="0" w:line="276" w:lineRule="auto"/>
              <w:jc w:val="center"/>
            </w:pPr>
            <w:r w:rsidRPr="009E6FF3">
              <w:t>Critically Dry</w:t>
            </w:r>
          </w:p>
        </w:tc>
        <w:tc>
          <w:tcPr>
            <w:tcW w:w="794" w:type="dxa"/>
            <w:tcBorders>
              <w:top w:val="nil"/>
              <w:left w:val="nil"/>
              <w:bottom w:val="single" w:sz="4" w:space="0" w:color="auto"/>
              <w:right w:val="single" w:sz="4" w:space="0" w:color="auto"/>
            </w:tcBorders>
            <w:shd w:val="clear" w:color="auto" w:fill="auto"/>
            <w:noWrap/>
            <w:vAlign w:val="bottom"/>
            <w:hideMark/>
          </w:tcPr>
          <w:p w14:paraId="5E9484DC" w14:textId="77777777" w:rsidR="00AA1F10" w:rsidRPr="009E6FF3" w:rsidRDefault="00AA1F10" w:rsidP="005E5CB4">
            <w:pPr>
              <w:pStyle w:val="BodyText"/>
              <w:spacing w:after="0" w:line="276" w:lineRule="auto"/>
              <w:jc w:val="center"/>
            </w:pPr>
            <w:r w:rsidRPr="009E6FF3">
              <w:t>1:1</w:t>
            </w:r>
          </w:p>
        </w:tc>
      </w:tr>
      <w:tr w:rsidR="00AA1F10" w:rsidRPr="00190C80" w14:paraId="2097960D"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2E79BDC5" w14:textId="77777777" w:rsidR="00AA1F10" w:rsidRPr="009E6FF3" w:rsidRDefault="00AA1F10" w:rsidP="005E5CB4">
            <w:pPr>
              <w:pStyle w:val="BodyText"/>
              <w:spacing w:after="0" w:line="276" w:lineRule="auto"/>
              <w:jc w:val="center"/>
            </w:pPr>
            <w:r w:rsidRPr="009E6FF3">
              <w:t>Dry</w:t>
            </w:r>
          </w:p>
        </w:tc>
        <w:tc>
          <w:tcPr>
            <w:tcW w:w="794" w:type="dxa"/>
            <w:tcBorders>
              <w:top w:val="nil"/>
              <w:left w:val="nil"/>
              <w:bottom w:val="single" w:sz="4" w:space="0" w:color="auto"/>
              <w:right w:val="single" w:sz="4" w:space="0" w:color="auto"/>
            </w:tcBorders>
            <w:shd w:val="clear" w:color="auto" w:fill="auto"/>
            <w:noWrap/>
            <w:vAlign w:val="bottom"/>
            <w:hideMark/>
          </w:tcPr>
          <w:p w14:paraId="0F71ECD6" w14:textId="77777777" w:rsidR="00AA1F10" w:rsidRPr="009E6FF3" w:rsidRDefault="00AA1F10" w:rsidP="005E5CB4">
            <w:pPr>
              <w:pStyle w:val="BodyText"/>
              <w:spacing w:after="0" w:line="276" w:lineRule="auto"/>
              <w:jc w:val="center"/>
            </w:pPr>
            <w:r w:rsidRPr="009E6FF3">
              <w:t>2:1</w:t>
            </w:r>
          </w:p>
        </w:tc>
      </w:tr>
      <w:tr w:rsidR="00AA1F10" w:rsidRPr="00190C80" w14:paraId="0C1D9A24"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72642F0F" w14:textId="77777777" w:rsidR="00AA1F10" w:rsidRPr="009E6FF3" w:rsidRDefault="00AA1F10" w:rsidP="005E5CB4">
            <w:pPr>
              <w:pStyle w:val="BodyText"/>
              <w:spacing w:after="0" w:line="276" w:lineRule="auto"/>
              <w:jc w:val="center"/>
            </w:pPr>
            <w:r w:rsidRPr="009E6FF3">
              <w:t>Below Normal</w:t>
            </w:r>
          </w:p>
        </w:tc>
        <w:tc>
          <w:tcPr>
            <w:tcW w:w="794" w:type="dxa"/>
            <w:tcBorders>
              <w:top w:val="nil"/>
              <w:left w:val="nil"/>
              <w:bottom w:val="single" w:sz="4" w:space="0" w:color="auto"/>
              <w:right w:val="single" w:sz="4" w:space="0" w:color="auto"/>
            </w:tcBorders>
            <w:shd w:val="clear" w:color="auto" w:fill="auto"/>
            <w:noWrap/>
            <w:vAlign w:val="bottom"/>
            <w:hideMark/>
          </w:tcPr>
          <w:p w14:paraId="086E5773" w14:textId="77777777" w:rsidR="00AA1F10" w:rsidRPr="009E6FF3" w:rsidRDefault="00AA1F10" w:rsidP="005E5CB4">
            <w:pPr>
              <w:pStyle w:val="BodyText"/>
              <w:spacing w:after="0" w:line="276" w:lineRule="auto"/>
              <w:jc w:val="center"/>
            </w:pPr>
            <w:r w:rsidRPr="009E6FF3">
              <w:t>3:1</w:t>
            </w:r>
          </w:p>
        </w:tc>
      </w:tr>
      <w:tr w:rsidR="00AA1F10" w:rsidRPr="00190C80" w14:paraId="618921DB"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66AF15DE" w14:textId="77777777" w:rsidR="00AA1F10" w:rsidRPr="009E6FF3" w:rsidRDefault="00AA1F10" w:rsidP="005E5CB4">
            <w:pPr>
              <w:pStyle w:val="BodyText"/>
              <w:spacing w:after="0" w:line="276" w:lineRule="auto"/>
              <w:jc w:val="center"/>
            </w:pPr>
            <w:r w:rsidRPr="009E6FF3">
              <w:t>Above Normal</w:t>
            </w:r>
          </w:p>
        </w:tc>
        <w:tc>
          <w:tcPr>
            <w:tcW w:w="794" w:type="dxa"/>
            <w:tcBorders>
              <w:top w:val="nil"/>
              <w:left w:val="nil"/>
              <w:bottom w:val="single" w:sz="4" w:space="0" w:color="auto"/>
              <w:right w:val="single" w:sz="4" w:space="0" w:color="auto"/>
            </w:tcBorders>
            <w:shd w:val="clear" w:color="auto" w:fill="auto"/>
            <w:noWrap/>
            <w:vAlign w:val="bottom"/>
            <w:hideMark/>
          </w:tcPr>
          <w:p w14:paraId="65E6C7BA" w14:textId="77777777" w:rsidR="00AA1F10" w:rsidRPr="009E6FF3" w:rsidRDefault="00AA1F10" w:rsidP="005E5CB4">
            <w:pPr>
              <w:pStyle w:val="BodyText"/>
              <w:spacing w:after="0" w:line="276" w:lineRule="auto"/>
              <w:jc w:val="center"/>
            </w:pPr>
            <w:r w:rsidRPr="009E6FF3">
              <w:t>4:1</w:t>
            </w:r>
          </w:p>
        </w:tc>
      </w:tr>
      <w:tr w:rsidR="00AA1F10" w:rsidRPr="00190C80" w14:paraId="67FE7956"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64E4AEFD" w14:textId="77777777" w:rsidR="00AA1F10" w:rsidRPr="009E6FF3" w:rsidRDefault="00AA1F10" w:rsidP="005E5CB4">
            <w:pPr>
              <w:pStyle w:val="BodyText"/>
              <w:spacing w:after="0" w:line="276" w:lineRule="auto"/>
              <w:jc w:val="center"/>
            </w:pPr>
            <w:r w:rsidRPr="009E6FF3">
              <w:t>Wet</w:t>
            </w:r>
          </w:p>
        </w:tc>
        <w:tc>
          <w:tcPr>
            <w:tcW w:w="794" w:type="dxa"/>
            <w:tcBorders>
              <w:top w:val="nil"/>
              <w:left w:val="nil"/>
              <w:bottom w:val="single" w:sz="4" w:space="0" w:color="auto"/>
              <w:right w:val="single" w:sz="4" w:space="0" w:color="auto"/>
            </w:tcBorders>
            <w:shd w:val="clear" w:color="auto" w:fill="auto"/>
            <w:noWrap/>
            <w:vAlign w:val="bottom"/>
            <w:hideMark/>
          </w:tcPr>
          <w:p w14:paraId="341A1759" w14:textId="77777777" w:rsidR="00AA1F10" w:rsidRPr="009E6FF3" w:rsidRDefault="00AA1F10" w:rsidP="005E5CB4">
            <w:pPr>
              <w:pStyle w:val="BodyText"/>
              <w:spacing w:after="0" w:line="276" w:lineRule="auto"/>
              <w:jc w:val="center"/>
            </w:pPr>
            <w:r w:rsidRPr="009E6FF3">
              <w:t>See below</w:t>
            </w:r>
          </w:p>
        </w:tc>
      </w:tr>
    </w:tbl>
    <w:p w14:paraId="2881C770" w14:textId="77777777" w:rsidR="00AA1F10" w:rsidRDefault="00AA1F10" w:rsidP="005427FA">
      <w:pPr>
        <w:pStyle w:val="BodyText"/>
        <w:spacing w:before="240"/>
      </w:pPr>
      <w:r>
        <w:t xml:space="preserve">Per section 8.10 of the ITP, the SWP share to meet the SJR I:E ratio requirement is 35% in balanced Delta conditions and 40% in excess Delta conditions. </w:t>
      </w:r>
    </w:p>
    <w:p w14:paraId="15CCDC72" w14:textId="77777777" w:rsidR="00AA1F10" w:rsidRDefault="00AA1F10" w:rsidP="008415AB">
      <w:pPr>
        <w:pStyle w:val="BodyText"/>
        <w:keepNext w:val="0"/>
      </w:pPr>
      <w:r>
        <w:t xml:space="preserve">During wet water years, the reduction in SWP exports in April and May to meet the SJR I:E ratio is capped at 150 TAF. The first 30 TAF of SWP exports that would be cut because of the SJR I:E ratio can instead be exported. Then, if needed, the next 150 TAF of SWP exports in April and May will be cut to meet the SJR I:E ratio. After 150 TAF of SWP exports has been cut, there is no more need to cut SWP exports to meet the SJR I:E ratio (8.18 ITP). </w:t>
      </w:r>
    </w:p>
    <w:p w14:paraId="6F31C333" w14:textId="41673FEC" w:rsidR="00AA1F10" w:rsidRDefault="00AA1F10" w:rsidP="008415AB">
      <w:pPr>
        <w:pStyle w:val="BodyText"/>
        <w:keepNext w:val="0"/>
      </w:pPr>
      <w:r>
        <w:t xml:space="preserve">There following two requirements must be met for SJR I:E </w:t>
      </w:r>
      <w:r w:rsidR="00970DDC">
        <w:t>ratio</w:t>
      </w:r>
      <w:r>
        <w:t xml:space="preserve"> offramp: Delta Outflow must be greater than 44,500 cfs and flow on the San Joaquin River at Vernalis must be greater than 21,750.</w:t>
      </w:r>
    </w:p>
    <w:p w14:paraId="631A67CC" w14:textId="77777777" w:rsidR="00AA1F10" w:rsidRDefault="00AA1F10" w:rsidP="008415AB">
      <w:pPr>
        <w:pStyle w:val="BodyText"/>
        <w:keepNext w:val="0"/>
      </w:pPr>
      <w:r>
        <w:t>The decision to carryover water under ITP 8.18 would be made based on real-time analysis, including fish monitoring, which is difficult to simulate in CalSim. Since no other actions in the ITP depends on the carryover water, this is not modeled.</w:t>
      </w:r>
    </w:p>
    <w:p w14:paraId="070CE916" w14:textId="77777777" w:rsidR="00AA1F10" w:rsidRPr="00697906" w:rsidRDefault="00AA1F10" w:rsidP="008415AB">
      <w:pPr>
        <w:pStyle w:val="BodyText"/>
        <w:keepNext w:val="0"/>
      </w:pPr>
      <w:r>
        <w:t xml:space="preserve">Maintaining health and safety pumping standard of 1,500 cfs takes precedence over meeting the SJR I:E ratio. </w:t>
      </w:r>
    </w:p>
    <w:p w14:paraId="15569AA8" w14:textId="77777777" w:rsidR="00AA1F10" w:rsidRPr="00697906" w:rsidRDefault="00AA1F10" w:rsidP="00461CB2">
      <w:pPr>
        <w:pStyle w:val="Heading5"/>
      </w:pPr>
      <w:r w:rsidRPr="00697906">
        <w:t>Exports at the South Delta Intakes</w:t>
      </w:r>
    </w:p>
    <w:p w14:paraId="3677D235" w14:textId="38F9C45A" w:rsidR="00AA1F10" w:rsidRPr="00697906" w:rsidRDefault="00AA1F10" w:rsidP="00AA1F10">
      <w:pPr>
        <w:pStyle w:val="BodyText"/>
      </w:pPr>
      <w:r w:rsidRPr="00697906">
        <w:lastRenderedPageBreak/>
        <w:t>Exports at Jones and Banks Pumping Plant are restricted to their permitted capacities per SWRCB D-1641 requirements</w:t>
      </w:r>
      <w:r>
        <w:t xml:space="preserve">. </w:t>
      </w:r>
      <w:r w:rsidRPr="00697906">
        <w:t xml:space="preserve">In addition, </w:t>
      </w:r>
      <w:r>
        <w:t>Banks Pumping Plant</w:t>
      </w:r>
      <w:r w:rsidRPr="00697906">
        <w:t xml:space="preserve"> </w:t>
      </w:r>
      <w:r>
        <w:t>is</w:t>
      </w:r>
      <w:r w:rsidRPr="00697906">
        <w:t xml:space="preserve"> </w:t>
      </w:r>
      <w:r>
        <w:t xml:space="preserve">subject to </w:t>
      </w:r>
      <w:r w:rsidR="00074D33">
        <w:t xml:space="preserve">the 2020 SWP ITP </w:t>
      </w:r>
      <w:r>
        <w:t xml:space="preserve">Spring Outflow </w:t>
      </w:r>
      <w:r w:rsidR="00074D33">
        <w:t xml:space="preserve">Action </w:t>
      </w:r>
      <w:r w:rsidRPr="00697906">
        <w:t>during April and May</w:t>
      </w:r>
      <w:r>
        <w:t xml:space="preserve">. </w:t>
      </w:r>
      <w:r w:rsidRPr="00697906">
        <w:t>Additional 500 cfs pumping is allowed to reduce impact of D1641 on SWP during the July through September period.</w:t>
      </w:r>
    </w:p>
    <w:p w14:paraId="2DC8176B" w14:textId="77777777" w:rsidR="00AA1F10" w:rsidRPr="00697906" w:rsidRDefault="00AA1F10" w:rsidP="00AA1F10">
      <w:pPr>
        <w:pStyle w:val="BodyText"/>
      </w:pPr>
      <w:r w:rsidRPr="00697906">
        <w:t>Under D-1641 the combined export of the CVP Tracy Pumping Plant and SWP Banks Pumping Plant is limited to a percentage of Delta inflow</w:t>
      </w:r>
      <w:r>
        <w:t xml:space="preserve">. </w:t>
      </w:r>
      <w:r w:rsidRPr="00697906">
        <w:t>The percentage ranges from 35 to 45 percent during February depending on the January eight river index and is 35 percent during March through June months</w:t>
      </w:r>
      <w:r>
        <w:t xml:space="preserve">. </w:t>
      </w:r>
      <w:r w:rsidRPr="00697906">
        <w:t xml:space="preserve">For </w:t>
      </w:r>
      <w:r>
        <w:t xml:space="preserve">the </w:t>
      </w:r>
      <w:r w:rsidRPr="00697906">
        <w:t xml:space="preserve">rest of the months 65 percent of the Delta inflow is allowed to be exported. </w:t>
      </w:r>
    </w:p>
    <w:p w14:paraId="70372761" w14:textId="77777777" w:rsidR="00AA1F10" w:rsidRPr="00697906" w:rsidRDefault="00AA1F10" w:rsidP="00AB0A54">
      <w:pPr>
        <w:pStyle w:val="BodyText"/>
        <w:keepNext w:val="0"/>
      </w:pPr>
      <w:r w:rsidRPr="00697906">
        <w:t>A minimum health and safety pumping of 1,500 cfs is assumed from January through June.</w:t>
      </w:r>
    </w:p>
    <w:p w14:paraId="0EEEA755" w14:textId="77777777" w:rsidR="00AA1F10" w:rsidRPr="00697906" w:rsidRDefault="00AA1F10" w:rsidP="00AB0A54">
      <w:pPr>
        <w:pStyle w:val="Heading5"/>
        <w:keepNext/>
      </w:pPr>
      <w:r w:rsidRPr="00697906">
        <w:t>Delta Water Quality</w:t>
      </w:r>
    </w:p>
    <w:p w14:paraId="3DA443BB" w14:textId="5BBE3204" w:rsidR="00AA1F10" w:rsidRPr="00697906" w:rsidRDefault="00AA1F10" w:rsidP="00AA1F10">
      <w:pPr>
        <w:pStyle w:val="BodyText"/>
      </w:pPr>
      <w:r w:rsidRPr="00697906">
        <w:t xml:space="preserve">The </w:t>
      </w:r>
      <w:r w:rsidR="00950D77">
        <w:t>Benchmark</w:t>
      </w:r>
      <w:r w:rsidR="001B2603" w:rsidRPr="001B2603">
        <w:t xml:space="preserve"> 011721 HIST</w:t>
      </w:r>
      <w:r w:rsidR="00B76CC1">
        <w:t xml:space="preserve"> </w:t>
      </w:r>
      <w:r w:rsidRPr="00697906">
        <w:t>simulation includes SWRCB D-1641 salinity requirements</w:t>
      </w:r>
      <w:r>
        <w:t xml:space="preserve">. </w:t>
      </w:r>
      <w:r w:rsidRPr="00697906">
        <w:t>However, not all salinity requirements are included as CalSim II is not capable of predicting salinities in the Delta</w:t>
      </w:r>
      <w:r>
        <w:t xml:space="preserve">. </w:t>
      </w:r>
      <w:r w:rsidRPr="00697906">
        <w:t>Instead, empirically based equations and models are used to relate interior salinity conditions with the flow conditions</w:t>
      </w:r>
      <w:r>
        <w:t xml:space="preserve">. </w:t>
      </w:r>
      <w:r w:rsidRPr="00697906">
        <w:t xml:space="preserve">DWR’s Artificial Neural Network (ANN) trained for salinity is used to predict and interpret salinity conditions at the Emmaton, Jersey Point, Rock </w:t>
      </w:r>
      <w:r w:rsidR="00C57CE0" w:rsidRPr="00697906">
        <w:t>Slough,</w:t>
      </w:r>
      <w:r w:rsidRPr="00697906">
        <w:t xml:space="preserve"> and Collinsville stations</w:t>
      </w:r>
      <w:r>
        <w:t xml:space="preserve">. </w:t>
      </w:r>
      <w:r w:rsidRPr="00697906">
        <w:t>Emmaton and Jersey Point standards are for protecting water quality conditions for agricultural use in the western Delta and they are in effect from April 1 to August 15</w:t>
      </w:r>
      <w:r>
        <w:t xml:space="preserve">. </w:t>
      </w:r>
      <w:r w:rsidRPr="00697906">
        <w:t>The EC requirement at Emmaton varies from 0.45 mmhos/cm to 2.78 mmhos/cm, depending on the water year type</w:t>
      </w:r>
      <w:r>
        <w:t xml:space="preserve">. </w:t>
      </w:r>
      <w:r w:rsidRPr="00697906">
        <w:t>The EC requirement at Jersey Point varies from 0.45 to 2.20 mmhos/cm, depending on the water year type</w:t>
      </w:r>
      <w:r>
        <w:t xml:space="preserve">. </w:t>
      </w:r>
      <w:r w:rsidRPr="00697906">
        <w:t>The Rock Slough standard is for protecting water quality conditions for M&amp;I use for water exported through the Contra Costa Canal</w:t>
      </w:r>
      <w:r>
        <w:t xml:space="preserve">. </w:t>
      </w:r>
      <w:r w:rsidRPr="00697906">
        <w:t>It is a year-round standard that requires a certain number of days in a year with chloride concentration less than 150 mg/L</w:t>
      </w:r>
      <w:r>
        <w:t xml:space="preserve">. </w:t>
      </w:r>
      <w:r w:rsidRPr="00697906">
        <w:t>The number of days requirement is dependent upon the water year type</w:t>
      </w:r>
      <w:r>
        <w:t xml:space="preserve">. </w:t>
      </w:r>
      <w:r w:rsidRPr="00697906">
        <w:t>The Collinsville standard is applied during October through May months to protect water quality conditions for migrating fish species, and it varies between 12.5 mmhos/cm in May and 19.0 mmhos/cm in October.</w:t>
      </w:r>
    </w:p>
    <w:p w14:paraId="61C73679" w14:textId="77777777" w:rsidR="00AA1F10" w:rsidRPr="00697906" w:rsidRDefault="00AA1F10" w:rsidP="00461CB2">
      <w:pPr>
        <w:pStyle w:val="Heading5"/>
      </w:pPr>
      <w:r w:rsidRPr="00697906">
        <w:t xml:space="preserve">San Joaquin River Restoration Program </w:t>
      </w:r>
    </w:p>
    <w:p w14:paraId="32819C1F" w14:textId="77A28135" w:rsidR="00AA1F10" w:rsidRDefault="00AA1F10" w:rsidP="00AA1F10">
      <w:pPr>
        <w:pStyle w:val="BodyText"/>
      </w:pPr>
      <w:r w:rsidRPr="00697906">
        <w:t xml:space="preserve">Friant Dam releases required by the San Joaquin River Restoration Program are included in the </w:t>
      </w:r>
      <w:r w:rsidR="00950D77">
        <w:t>Benchmark</w:t>
      </w:r>
      <w:r w:rsidR="002176F0" w:rsidRPr="002176F0">
        <w:t xml:space="preserve"> 011721 HIST</w:t>
      </w:r>
      <w:r>
        <w:t xml:space="preserve">. </w:t>
      </w:r>
      <w:r w:rsidRPr="00697906">
        <w:t>More detailed description of the San Joaquin River Restoration Program is presented in the Appendix 3A “</w:t>
      </w:r>
      <w:r w:rsidRPr="00697906">
        <w:rPr>
          <w:i/>
        </w:rPr>
        <w:t>No Action Alternative: Central Valley Project and State Water Project Operations</w:t>
      </w:r>
      <w:r w:rsidRPr="00697906">
        <w:t xml:space="preserve">” of the LTO EIS (Reclamation 2015a). </w:t>
      </w:r>
    </w:p>
    <w:p w14:paraId="314F14C6" w14:textId="67A04459" w:rsidR="00AA1F10" w:rsidRDefault="00AA1F10" w:rsidP="00AB0A54">
      <w:pPr>
        <w:pStyle w:val="BodyText"/>
        <w:keepNext w:val="0"/>
      </w:pPr>
      <w:r>
        <w:t xml:space="preserve">Recapture of San Joaquin River Restoration water has been simulated. Recapture does not happen in months when there is a flood release from Friant. Recapture on the San Joaquin River occurs at Patterson Irrigation District (PID), West Stanislaus Irrigation District (WSID), and Banta Carbona Irrigation District (BCID) based on the assumptions for future capacities shown in </w:t>
      </w:r>
      <w:r>
        <w:rPr>
          <w:highlight w:val="yellow"/>
        </w:rPr>
        <w:fldChar w:fldCharType="begin"/>
      </w:r>
      <w:r>
        <w:instrText xml:space="preserve"> REF _Ref63170580 \h </w:instrText>
      </w:r>
      <w:r>
        <w:rPr>
          <w:highlight w:val="yellow"/>
        </w:rPr>
      </w:r>
      <w:r>
        <w:rPr>
          <w:highlight w:val="yellow"/>
        </w:rPr>
        <w:fldChar w:fldCharType="separate"/>
      </w:r>
      <w:r>
        <w:t xml:space="preserve">Table </w:t>
      </w:r>
      <w:r w:rsidR="0060279E">
        <w:t>1</w:t>
      </w:r>
      <w:r w:rsidR="00207152">
        <w:t>-</w:t>
      </w:r>
      <w:r>
        <w:rPr>
          <w:noProof/>
        </w:rPr>
        <w:t>5</w:t>
      </w:r>
      <w:r>
        <w:rPr>
          <w:highlight w:val="yellow"/>
        </w:rPr>
        <w:fldChar w:fldCharType="end"/>
      </w:r>
      <w:r>
        <w:t>.</w:t>
      </w:r>
      <w:r w:rsidRPr="004B09DD">
        <w:t xml:space="preserve"> </w:t>
      </w:r>
      <w:r>
        <w:t>Delta Recapture at Banks and Jones Pumping Plants is assessed in a new final model cycle utilizing unused capacity. Simulated Banks Pumping of Recaptured water does not occur when Banks is making cuts for ITP Actions. Any San Joaquin River Restoration water that cannot be Recaptured is released as Delta Outflow.</w:t>
      </w:r>
    </w:p>
    <w:p w14:paraId="41DCBCA8" w14:textId="40EF311A" w:rsidR="00AA1F10" w:rsidRDefault="00AA1F10" w:rsidP="00AB0A54">
      <w:pPr>
        <w:pStyle w:val="Caption"/>
        <w:keepNext/>
      </w:pPr>
      <w:bookmarkStart w:id="84" w:name="_Ref63170580"/>
      <w:r>
        <w:lastRenderedPageBreak/>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5</w:t>
      </w:r>
      <w:r w:rsidR="001917C5">
        <w:rPr>
          <w:noProof/>
        </w:rPr>
        <w:fldChar w:fldCharType="end"/>
      </w:r>
      <w:bookmarkEnd w:id="84"/>
      <w:r>
        <w:t>. San Joaquin River Restoration Recapture</w:t>
      </w:r>
    </w:p>
    <w:tbl>
      <w:tblPr>
        <w:tblW w:w="3527" w:type="dxa"/>
        <w:tblInd w:w="-5" w:type="dxa"/>
        <w:tblLook w:val="04A0" w:firstRow="1" w:lastRow="0" w:firstColumn="1" w:lastColumn="0" w:noHBand="0" w:noVBand="1"/>
      </w:tblPr>
      <w:tblGrid>
        <w:gridCol w:w="923"/>
        <w:gridCol w:w="794"/>
        <w:gridCol w:w="996"/>
        <w:gridCol w:w="830"/>
      </w:tblGrid>
      <w:tr w:rsidR="00AA1F10" w:rsidRPr="00190C80" w14:paraId="25EDAFC2" w14:textId="77777777" w:rsidTr="005E5CB4">
        <w:trPr>
          <w:trHeight w:val="30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E52DF" w14:textId="77777777" w:rsidR="00AA1F10" w:rsidRPr="009E6FF3" w:rsidRDefault="00AA1F10" w:rsidP="005E5CB4">
            <w:pPr>
              <w:pStyle w:val="BodyText"/>
              <w:spacing w:after="0" w:line="276" w:lineRule="auto"/>
              <w:jc w:val="center"/>
            </w:pPr>
            <w:r w:rsidRPr="009E6FF3">
              <w:t> </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14:paraId="0DFE06B0" w14:textId="77777777" w:rsidR="00AA1F10" w:rsidRPr="009E6FF3" w:rsidRDefault="00AA1F10" w:rsidP="005E5CB4">
            <w:pPr>
              <w:pStyle w:val="BodyText"/>
              <w:spacing w:after="0" w:line="276" w:lineRule="auto"/>
              <w:jc w:val="center"/>
            </w:pPr>
            <w:r w:rsidRPr="009E6FF3">
              <w:t>PID</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655340F6" w14:textId="77777777" w:rsidR="00AA1F10" w:rsidRPr="009E6FF3" w:rsidRDefault="00AA1F10" w:rsidP="005E5CB4">
            <w:pPr>
              <w:pStyle w:val="BodyText"/>
              <w:spacing w:after="0" w:line="276" w:lineRule="auto"/>
              <w:jc w:val="center"/>
            </w:pPr>
            <w:r w:rsidRPr="009E6FF3">
              <w:t>BCID</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14:paraId="45F011F5" w14:textId="77777777" w:rsidR="00AA1F10" w:rsidRPr="009E6FF3" w:rsidRDefault="00AA1F10" w:rsidP="005E5CB4">
            <w:pPr>
              <w:pStyle w:val="BodyText"/>
              <w:spacing w:after="0" w:line="276" w:lineRule="auto"/>
              <w:jc w:val="center"/>
            </w:pPr>
            <w:r w:rsidRPr="009E6FF3">
              <w:t>WSID</w:t>
            </w:r>
          </w:p>
        </w:tc>
      </w:tr>
      <w:tr w:rsidR="00AA1F10" w:rsidRPr="00190C80" w14:paraId="47964A91"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2A7C7175" w14:textId="77777777" w:rsidR="00AA1F10" w:rsidRPr="009E6FF3" w:rsidRDefault="00AA1F10" w:rsidP="005E5CB4">
            <w:pPr>
              <w:pStyle w:val="BodyText"/>
              <w:spacing w:after="0" w:line="276" w:lineRule="auto"/>
              <w:jc w:val="center"/>
            </w:pPr>
            <w:r w:rsidRPr="009E6FF3">
              <w:t>Oct</w:t>
            </w:r>
          </w:p>
        </w:tc>
        <w:tc>
          <w:tcPr>
            <w:tcW w:w="794" w:type="dxa"/>
            <w:tcBorders>
              <w:top w:val="nil"/>
              <w:left w:val="nil"/>
              <w:bottom w:val="single" w:sz="4" w:space="0" w:color="auto"/>
              <w:right w:val="single" w:sz="4" w:space="0" w:color="auto"/>
            </w:tcBorders>
            <w:shd w:val="clear" w:color="auto" w:fill="auto"/>
            <w:noWrap/>
            <w:vAlign w:val="bottom"/>
            <w:hideMark/>
          </w:tcPr>
          <w:p w14:paraId="03195007" w14:textId="77777777" w:rsidR="00AA1F10" w:rsidRPr="009E6FF3" w:rsidRDefault="00AA1F10" w:rsidP="005E5CB4">
            <w:pPr>
              <w:pStyle w:val="BodyText"/>
              <w:spacing w:after="0" w:line="276" w:lineRule="auto"/>
              <w:jc w:val="center"/>
            </w:pPr>
            <w:r w:rsidRPr="009E6FF3">
              <w:t>130</w:t>
            </w:r>
          </w:p>
        </w:tc>
        <w:tc>
          <w:tcPr>
            <w:tcW w:w="996" w:type="dxa"/>
            <w:tcBorders>
              <w:top w:val="nil"/>
              <w:left w:val="nil"/>
              <w:bottom w:val="single" w:sz="4" w:space="0" w:color="auto"/>
              <w:right w:val="single" w:sz="4" w:space="0" w:color="auto"/>
            </w:tcBorders>
            <w:shd w:val="clear" w:color="auto" w:fill="auto"/>
            <w:noWrap/>
            <w:vAlign w:val="bottom"/>
            <w:hideMark/>
          </w:tcPr>
          <w:p w14:paraId="7D1FCAB2" w14:textId="77777777" w:rsidR="00AA1F10" w:rsidRPr="009E6FF3" w:rsidRDefault="00AA1F10" w:rsidP="005E5CB4">
            <w:pPr>
              <w:pStyle w:val="BodyText"/>
              <w:spacing w:after="0" w:line="276" w:lineRule="auto"/>
              <w:jc w:val="center"/>
            </w:pPr>
            <w:r w:rsidRPr="009E6FF3">
              <w:t>150</w:t>
            </w:r>
          </w:p>
        </w:tc>
        <w:tc>
          <w:tcPr>
            <w:tcW w:w="814" w:type="dxa"/>
            <w:tcBorders>
              <w:top w:val="nil"/>
              <w:left w:val="nil"/>
              <w:bottom w:val="single" w:sz="4" w:space="0" w:color="auto"/>
              <w:right w:val="single" w:sz="4" w:space="0" w:color="auto"/>
            </w:tcBorders>
            <w:shd w:val="clear" w:color="auto" w:fill="auto"/>
            <w:noWrap/>
            <w:vAlign w:val="bottom"/>
            <w:hideMark/>
          </w:tcPr>
          <w:p w14:paraId="47B00AAC" w14:textId="77777777" w:rsidR="00AA1F10" w:rsidRPr="009E6FF3" w:rsidRDefault="00AA1F10" w:rsidP="005E5CB4">
            <w:pPr>
              <w:pStyle w:val="BodyText"/>
              <w:spacing w:after="0" w:line="276" w:lineRule="auto"/>
              <w:jc w:val="center"/>
            </w:pPr>
            <w:r w:rsidRPr="009E6FF3">
              <w:t>180</w:t>
            </w:r>
          </w:p>
        </w:tc>
      </w:tr>
      <w:tr w:rsidR="00AA1F10" w:rsidRPr="00190C80" w14:paraId="2DD05951"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6BB76D99" w14:textId="77777777" w:rsidR="00AA1F10" w:rsidRPr="009E6FF3" w:rsidRDefault="00AA1F10" w:rsidP="005E5CB4">
            <w:pPr>
              <w:pStyle w:val="BodyText"/>
              <w:spacing w:after="0" w:line="276" w:lineRule="auto"/>
              <w:jc w:val="center"/>
            </w:pPr>
            <w:r w:rsidRPr="009E6FF3">
              <w:t>Nov</w:t>
            </w:r>
          </w:p>
        </w:tc>
        <w:tc>
          <w:tcPr>
            <w:tcW w:w="794" w:type="dxa"/>
            <w:tcBorders>
              <w:top w:val="nil"/>
              <w:left w:val="nil"/>
              <w:bottom w:val="single" w:sz="4" w:space="0" w:color="auto"/>
              <w:right w:val="single" w:sz="4" w:space="0" w:color="auto"/>
            </w:tcBorders>
            <w:shd w:val="clear" w:color="auto" w:fill="auto"/>
            <w:noWrap/>
            <w:vAlign w:val="bottom"/>
            <w:hideMark/>
          </w:tcPr>
          <w:p w14:paraId="76F46703" w14:textId="77777777" w:rsidR="00AA1F10" w:rsidRPr="009E6FF3" w:rsidRDefault="00AA1F10" w:rsidP="005E5CB4">
            <w:pPr>
              <w:pStyle w:val="BodyText"/>
              <w:spacing w:after="0" w:line="276" w:lineRule="auto"/>
              <w:jc w:val="center"/>
            </w:pPr>
            <w:r w:rsidRPr="009E6FF3">
              <w:t>170</w:t>
            </w:r>
          </w:p>
        </w:tc>
        <w:tc>
          <w:tcPr>
            <w:tcW w:w="996" w:type="dxa"/>
            <w:tcBorders>
              <w:top w:val="nil"/>
              <w:left w:val="nil"/>
              <w:bottom w:val="single" w:sz="4" w:space="0" w:color="auto"/>
              <w:right w:val="single" w:sz="4" w:space="0" w:color="auto"/>
            </w:tcBorders>
            <w:shd w:val="clear" w:color="auto" w:fill="auto"/>
            <w:noWrap/>
            <w:vAlign w:val="bottom"/>
            <w:hideMark/>
          </w:tcPr>
          <w:p w14:paraId="1920D59A" w14:textId="77777777" w:rsidR="00AA1F10" w:rsidRPr="009E6FF3" w:rsidRDefault="00AA1F10" w:rsidP="005E5CB4">
            <w:pPr>
              <w:pStyle w:val="BodyText"/>
              <w:spacing w:after="0" w:line="276" w:lineRule="auto"/>
              <w:jc w:val="center"/>
            </w:pPr>
            <w:r w:rsidRPr="009E6FF3">
              <w:t>180</w:t>
            </w:r>
          </w:p>
        </w:tc>
        <w:tc>
          <w:tcPr>
            <w:tcW w:w="814" w:type="dxa"/>
            <w:tcBorders>
              <w:top w:val="nil"/>
              <w:left w:val="nil"/>
              <w:bottom w:val="single" w:sz="4" w:space="0" w:color="auto"/>
              <w:right w:val="single" w:sz="4" w:space="0" w:color="auto"/>
            </w:tcBorders>
            <w:shd w:val="clear" w:color="auto" w:fill="auto"/>
            <w:noWrap/>
            <w:vAlign w:val="bottom"/>
            <w:hideMark/>
          </w:tcPr>
          <w:p w14:paraId="1BAF43FF" w14:textId="77777777" w:rsidR="00AA1F10" w:rsidRPr="009E6FF3" w:rsidRDefault="00AA1F10" w:rsidP="005E5CB4">
            <w:pPr>
              <w:pStyle w:val="BodyText"/>
              <w:spacing w:after="0" w:line="276" w:lineRule="auto"/>
              <w:jc w:val="center"/>
            </w:pPr>
            <w:r w:rsidRPr="009E6FF3">
              <w:t>220</w:t>
            </w:r>
          </w:p>
        </w:tc>
      </w:tr>
      <w:tr w:rsidR="00AA1F10" w:rsidRPr="00190C80" w14:paraId="2EB5F3A2"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2CFF3D70" w14:textId="77777777" w:rsidR="00AA1F10" w:rsidRPr="009E6FF3" w:rsidRDefault="00AA1F10" w:rsidP="005E5CB4">
            <w:pPr>
              <w:pStyle w:val="BodyText"/>
              <w:spacing w:after="0" w:line="276" w:lineRule="auto"/>
              <w:jc w:val="center"/>
            </w:pPr>
            <w:r w:rsidRPr="009E6FF3">
              <w:t>Dec</w:t>
            </w:r>
          </w:p>
        </w:tc>
        <w:tc>
          <w:tcPr>
            <w:tcW w:w="794" w:type="dxa"/>
            <w:tcBorders>
              <w:top w:val="nil"/>
              <w:left w:val="nil"/>
              <w:bottom w:val="single" w:sz="4" w:space="0" w:color="auto"/>
              <w:right w:val="single" w:sz="4" w:space="0" w:color="auto"/>
            </w:tcBorders>
            <w:shd w:val="clear" w:color="auto" w:fill="auto"/>
            <w:noWrap/>
            <w:vAlign w:val="bottom"/>
            <w:hideMark/>
          </w:tcPr>
          <w:p w14:paraId="56E4B054" w14:textId="77777777" w:rsidR="00AA1F10" w:rsidRPr="009E6FF3" w:rsidRDefault="00AA1F10" w:rsidP="005E5CB4">
            <w:pPr>
              <w:pStyle w:val="BodyText"/>
              <w:spacing w:after="0" w:line="276" w:lineRule="auto"/>
              <w:jc w:val="center"/>
            </w:pPr>
            <w:r w:rsidRPr="009E6FF3">
              <w:t>195</w:t>
            </w:r>
          </w:p>
        </w:tc>
        <w:tc>
          <w:tcPr>
            <w:tcW w:w="996" w:type="dxa"/>
            <w:tcBorders>
              <w:top w:val="nil"/>
              <w:left w:val="nil"/>
              <w:bottom w:val="single" w:sz="4" w:space="0" w:color="auto"/>
              <w:right w:val="single" w:sz="4" w:space="0" w:color="auto"/>
            </w:tcBorders>
            <w:shd w:val="clear" w:color="auto" w:fill="auto"/>
            <w:noWrap/>
            <w:vAlign w:val="bottom"/>
            <w:hideMark/>
          </w:tcPr>
          <w:p w14:paraId="1E4D5AAA" w14:textId="77777777" w:rsidR="00AA1F10" w:rsidRPr="009E6FF3" w:rsidRDefault="00AA1F10" w:rsidP="005E5CB4">
            <w:pPr>
              <w:pStyle w:val="BodyText"/>
              <w:spacing w:after="0" w:line="276" w:lineRule="auto"/>
              <w:jc w:val="center"/>
            </w:pPr>
            <w:r w:rsidRPr="009E6FF3">
              <w:t>180</w:t>
            </w:r>
          </w:p>
        </w:tc>
        <w:tc>
          <w:tcPr>
            <w:tcW w:w="814" w:type="dxa"/>
            <w:tcBorders>
              <w:top w:val="nil"/>
              <w:left w:val="nil"/>
              <w:bottom w:val="single" w:sz="4" w:space="0" w:color="auto"/>
              <w:right w:val="single" w:sz="4" w:space="0" w:color="auto"/>
            </w:tcBorders>
            <w:shd w:val="clear" w:color="auto" w:fill="auto"/>
            <w:noWrap/>
            <w:vAlign w:val="bottom"/>
            <w:hideMark/>
          </w:tcPr>
          <w:p w14:paraId="189BDE90" w14:textId="77777777" w:rsidR="00AA1F10" w:rsidRPr="009E6FF3" w:rsidRDefault="00AA1F10" w:rsidP="005E5CB4">
            <w:pPr>
              <w:pStyle w:val="BodyText"/>
              <w:spacing w:after="0" w:line="276" w:lineRule="auto"/>
              <w:jc w:val="center"/>
            </w:pPr>
            <w:r w:rsidRPr="009E6FF3">
              <w:t>230</w:t>
            </w:r>
          </w:p>
        </w:tc>
      </w:tr>
      <w:tr w:rsidR="00AA1F10" w:rsidRPr="00190C80" w14:paraId="2EDDD3B7"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155065F8" w14:textId="77777777" w:rsidR="00AA1F10" w:rsidRPr="009E6FF3" w:rsidRDefault="00AA1F10" w:rsidP="005E5CB4">
            <w:pPr>
              <w:pStyle w:val="BodyText"/>
              <w:spacing w:after="0" w:line="276" w:lineRule="auto"/>
              <w:jc w:val="center"/>
            </w:pPr>
            <w:r w:rsidRPr="009E6FF3">
              <w:t>Jan</w:t>
            </w:r>
          </w:p>
        </w:tc>
        <w:tc>
          <w:tcPr>
            <w:tcW w:w="794" w:type="dxa"/>
            <w:tcBorders>
              <w:top w:val="nil"/>
              <w:left w:val="nil"/>
              <w:bottom w:val="single" w:sz="4" w:space="0" w:color="auto"/>
              <w:right w:val="single" w:sz="4" w:space="0" w:color="auto"/>
            </w:tcBorders>
            <w:shd w:val="clear" w:color="auto" w:fill="auto"/>
            <w:noWrap/>
            <w:vAlign w:val="bottom"/>
            <w:hideMark/>
          </w:tcPr>
          <w:p w14:paraId="4864A5F2" w14:textId="77777777" w:rsidR="00AA1F10" w:rsidRPr="009E6FF3" w:rsidRDefault="00AA1F10" w:rsidP="005E5CB4">
            <w:pPr>
              <w:pStyle w:val="BodyText"/>
              <w:spacing w:after="0" w:line="276" w:lineRule="auto"/>
              <w:jc w:val="center"/>
            </w:pPr>
            <w:r w:rsidRPr="009E6FF3">
              <w:t>195</w:t>
            </w:r>
          </w:p>
        </w:tc>
        <w:tc>
          <w:tcPr>
            <w:tcW w:w="996" w:type="dxa"/>
            <w:tcBorders>
              <w:top w:val="nil"/>
              <w:left w:val="nil"/>
              <w:bottom w:val="single" w:sz="4" w:space="0" w:color="auto"/>
              <w:right w:val="single" w:sz="4" w:space="0" w:color="auto"/>
            </w:tcBorders>
            <w:shd w:val="clear" w:color="auto" w:fill="auto"/>
            <w:noWrap/>
            <w:vAlign w:val="bottom"/>
            <w:hideMark/>
          </w:tcPr>
          <w:p w14:paraId="583F205C" w14:textId="77777777" w:rsidR="00AA1F10" w:rsidRPr="009E6FF3" w:rsidRDefault="00AA1F10" w:rsidP="005E5CB4">
            <w:pPr>
              <w:pStyle w:val="BodyText"/>
              <w:spacing w:after="0" w:line="276" w:lineRule="auto"/>
              <w:jc w:val="center"/>
            </w:pPr>
            <w:r w:rsidRPr="009E6FF3">
              <w:t>180</w:t>
            </w:r>
          </w:p>
        </w:tc>
        <w:tc>
          <w:tcPr>
            <w:tcW w:w="814" w:type="dxa"/>
            <w:tcBorders>
              <w:top w:val="nil"/>
              <w:left w:val="nil"/>
              <w:bottom w:val="single" w:sz="4" w:space="0" w:color="auto"/>
              <w:right w:val="single" w:sz="4" w:space="0" w:color="auto"/>
            </w:tcBorders>
            <w:shd w:val="clear" w:color="auto" w:fill="auto"/>
            <w:noWrap/>
            <w:vAlign w:val="bottom"/>
            <w:hideMark/>
          </w:tcPr>
          <w:p w14:paraId="08C95566" w14:textId="77777777" w:rsidR="00AA1F10" w:rsidRPr="009E6FF3" w:rsidRDefault="00AA1F10" w:rsidP="005E5CB4">
            <w:pPr>
              <w:pStyle w:val="BodyText"/>
              <w:spacing w:after="0" w:line="276" w:lineRule="auto"/>
              <w:jc w:val="center"/>
            </w:pPr>
            <w:r w:rsidRPr="009E6FF3">
              <w:t>230</w:t>
            </w:r>
          </w:p>
        </w:tc>
      </w:tr>
      <w:tr w:rsidR="00AA1F10" w:rsidRPr="00190C80" w14:paraId="3D908F0A"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0F0FED06" w14:textId="77777777" w:rsidR="00AA1F10" w:rsidRPr="009E6FF3" w:rsidRDefault="00AA1F10" w:rsidP="005E5CB4">
            <w:pPr>
              <w:pStyle w:val="BodyText"/>
              <w:spacing w:after="0" w:line="276" w:lineRule="auto"/>
              <w:jc w:val="center"/>
            </w:pPr>
            <w:r w:rsidRPr="009E6FF3">
              <w:t>Feb</w:t>
            </w:r>
          </w:p>
        </w:tc>
        <w:tc>
          <w:tcPr>
            <w:tcW w:w="794" w:type="dxa"/>
            <w:tcBorders>
              <w:top w:val="nil"/>
              <w:left w:val="nil"/>
              <w:bottom w:val="single" w:sz="4" w:space="0" w:color="auto"/>
              <w:right w:val="single" w:sz="4" w:space="0" w:color="auto"/>
            </w:tcBorders>
            <w:shd w:val="clear" w:color="auto" w:fill="auto"/>
            <w:noWrap/>
            <w:vAlign w:val="bottom"/>
            <w:hideMark/>
          </w:tcPr>
          <w:p w14:paraId="7104B4FA" w14:textId="77777777" w:rsidR="00AA1F10" w:rsidRPr="009E6FF3" w:rsidRDefault="00AA1F10" w:rsidP="005E5CB4">
            <w:pPr>
              <w:pStyle w:val="BodyText"/>
              <w:spacing w:after="0" w:line="276" w:lineRule="auto"/>
              <w:jc w:val="center"/>
            </w:pPr>
            <w:r w:rsidRPr="009E6FF3">
              <w:t>195</w:t>
            </w:r>
          </w:p>
        </w:tc>
        <w:tc>
          <w:tcPr>
            <w:tcW w:w="996" w:type="dxa"/>
            <w:tcBorders>
              <w:top w:val="nil"/>
              <w:left w:val="nil"/>
              <w:bottom w:val="single" w:sz="4" w:space="0" w:color="auto"/>
              <w:right w:val="single" w:sz="4" w:space="0" w:color="auto"/>
            </w:tcBorders>
            <w:shd w:val="clear" w:color="auto" w:fill="auto"/>
            <w:noWrap/>
            <w:vAlign w:val="bottom"/>
            <w:hideMark/>
          </w:tcPr>
          <w:p w14:paraId="5C9FC4B1" w14:textId="77777777" w:rsidR="00AA1F10" w:rsidRPr="009E6FF3" w:rsidRDefault="00AA1F10" w:rsidP="005E5CB4">
            <w:pPr>
              <w:pStyle w:val="BodyText"/>
              <w:spacing w:after="0" w:line="276" w:lineRule="auto"/>
              <w:jc w:val="center"/>
            </w:pPr>
            <w:r w:rsidRPr="009E6FF3">
              <w:t>180</w:t>
            </w:r>
          </w:p>
        </w:tc>
        <w:tc>
          <w:tcPr>
            <w:tcW w:w="814" w:type="dxa"/>
            <w:tcBorders>
              <w:top w:val="nil"/>
              <w:left w:val="nil"/>
              <w:bottom w:val="single" w:sz="4" w:space="0" w:color="auto"/>
              <w:right w:val="single" w:sz="4" w:space="0" w:color="auto"/>
            </w:tcBorders>
            <w:shd w:val="clear" w:color="auto" w:fill="auto"/>
            <w:noWrap/>
            <w:vAlign w:val="bottom"/>
            <w:hideMark/>
          </w:tcPr>
          <w:p w14:paraId="7849AD76" w14:textId="77777777" w:rsidR="00AA1F10" w:rsidRPr="009E6FF3" w:rsidRDefault="00AA1F10" w:rsidP="005E5CB4">
            <w:pPr>
              <w:pStyle w:val="BodyText"/>
              <w:spacing w:after="0" w:line="276" w:lineRule="auto"/>
              <w:jc w:val="center"/>
            </w:pPr>
            <w:r w:rsidRPr="009E6FF3">
              <w:t>210</w:t>
            </w:r>
          </w:p>
        </w:tc>
      </w:tr>
      <w:tr w:rsidR="00AA1F10" w:rsidRPr="00190C80" w14:paraId="380647C0"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6DCC402E" w14:textId="77777777" w:rsidR="00AA1F10" w:rsidRPr="009E6FF3" w:rsidRDefault="00AA1F10" w:rsidP="005E5CB4">
            <w:pPr>
              <w:pStyle w:val="BodyText"/>
              <w:spacing w:after="0" w:line="276" w:lineRule="auto"/>
              <w:jc w:val="center"/>
            </w:pPr>
            <w:r w:rsidRPr="009E6FF3">
              <w:t>Mar</w:t>
            </w:r>
          </w:p>
        </w:tc>
        <w:tc>
          <w:tcPr>
            <w:tcW w:w="794" w:type="dxa"/>
            <w:tcBorders>
              <w:top w:val="nil"/>
              <w:left w:val="nil"/>
              <w:bottom w:val="single" w:sz="4" w:space="0" w:color="auto"/>
              <w:right w:val="single" w:sz="4" w:space="0" w:color="auto"/>
            </w:tcBorders>
            <w:shd w:val="clear" w:color="auto" w:fill="auto"/>
            <w:noWrap/>
            <w:vAlign w:val="bottom"/>
            <w:hideMark/>
          </w:tcPr>
          <w:p w14:paraId="4FC724D6" w14:textId="77777777" w:rsidR="00AA1F10" w:rsidRPr="009E6FF3" w:rsidRDefault="00AA1F10" w:rsidP="005E5CB4">
            <w:pPr>
              <w:pStyle w:val="BodyText"/>
              <w:spacing w:after="0" w:line="276" w:lineRule="auto"/>
              <w:jc w:val="center"/>
            </w:pPr>
            <w:r w:rsidRPr="009E6FF3">
              <w:t>170</w:t>
            </w:r>
          </w:p>
        </w:tc>
        <w:tc>
          <w:tcPr>
            <w:tcW w:w="996" w:type="dxa"/>
            <w:tcBorders>
              <w:top w:val="nil"/>
              <w:left w:val="nil"/>
              <w:bottom w:val="single" w:sz="4" w:space="0" w:color="auto"/>
              <w:right w:val="single" w:sz="4" w:space="0" w:color="auto"/>
            </w:tcBorders>
            <w:shd w:val="clear" w:color="auto" w:fill="auto"/>
            <w:noWrap/>
            <w:vAlign w:val="bottom"/>
            <w:hideMark/>
          </w:tcPr>
          <w:p w14:paraId="25DD16F6" w14:textId="77777777" w:rsidR="00AA1F10" w:rsidRPr="009E6FF3" w:rsidRDefault="00AA1F10" w:rsidP="005E5CB4">
            <w:pPr>
              <w:pStyle w:val="BodyText"/>
              <w:spacing w:after="0" w:line="276" w:lineRule="auto"/>
              <w:jc w:val="center"/>
            </w:pPr>
            <w:r w:rsidRPr="009E6FF3">
              <w:t>100</w:t>
            </w:r>
          </w:p>
        </w:tc>
        <w:tc>
          <w:tcPr>
            <w:tcW w:w="814" w:type="dxa"/>
            <w:tcBorders>
              <w:top w:val="nil"/>
              <w:left w:val="nil"/>
              <w:bottom w:val="single" w:sz="4" w:space="0" w:color="auto"/>
              <w:right w:val="single" w:sz="4" w:space="0" w:color="auto"/>
            </w:tcBorders>
            <w:shd w:val="clear" w:color="auto" w:fill="auto"/>
            <w:noWrap/>
            <w:vAlign w:val="bottom"/>
            <w:hideMark/>
          </w:tcPr>
          <w:p w14:paraId="2DC6A074" w14:textId="77777777" w:rsidR="00AA1F10" w:rsidRPr="009E6FF3" w:rsidRDefault="00AA1F10" w:rsidP="005E5CB4">
            <w:pPr>
              <w:pStyle w:val="BodyText"/>
              <w:spacing w:after="0" w:line="276" w:lineRule="auto"/>
              <w:jc w:val="center"/>
            </w:pPr>
            <w:r w:rsidRPr="009E6FF3">
              <w:t>190</w:t>
            </w:r>
          </w:p>
        </w:tc>
      </w:tr>
      <w:tr w:rsidR="00AA1F10" w:rsidRPr="00190C80" w14:paraId="4A8ADFB6"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63FB60C6" w14:textId="77777777" w:rsidR="00AA1F10" w:rsidRPr="009E6FF3" w:rsidRDefault="00AA1F10" w:rsidP="005E5CB4">
            <w:pPr>
              <w:pStyle w:val="BodyText"/>
              <w:spacing w:after="0" w:line="276" w:lineRule="auto"/>
              <w:jc w:val="center"/>
            </w:pPr>
            <w:r w:rsidRPr="009E6FF3">
              <w:t>Apr</w:t>
            </w:r>
          </w:p>
        </w:tc>
        <w:tc>
          <w:tcPr>
            <w:tcW w:w="794" w:type="dxa"/>
            <w:tcBorders>
              <w:top w:val="nil"/>
              <w:left w:val="nil"/>
              <w:bottom w:val="single" w:sz="4" w:space="0" w:color="auto"/>
              <w:right w:val="single" w:sz="4" w:space="0" w:color="auto"/>
            </w:tcBorders>
            <w:shd w:val="clear" w:color="auto" w:fill="auto"/>
            <w:noWrap/>
            <w:vAlign w:val="bottom"/>
            <w:hideMark/>
          </w:tcPr>
          <w:p w14:paraId="3DBC6578" w14:textId="77777777" w:rsidR="00AA1F10" w:rsidRPr="009E6FF3" w:rsidRDefault="00AA1F10" w:rsidP="005E5CB4">
            <w:pPr>
              <w:pStyle w:val="BodyText"/>
              <w:spacing w:after="0" w:line="276" w:lineRule="auto"/>
              <w:jc w:val="center"/>
            </w:pPr>
            <w:r w:rsidRPr="009E6FF3">
              <w:t>160</w:t>
            </w:r>
          </w:p>
        </w:tc>
        <w:tc>
          <w:tcPr>
            <w:tcW w:w="996" w:type="dxa"/>
            <w:tcBorders>
              <w:top w:val="nil"/>
              <w:left w:val="nil"/>
              <w:bottom w:val="single" w:sz="4" w:space="0" w:color="auto"/>
              <w:right w:val="single" w:sz="4" w:space="0" w:color="auto"/>
            </w:tcBorders>
            <w:shd w:val="clear" w:color="auto" w:fill="auto"/>
            <w:noWrap/>
            <w:vAlign w:val="bottom"/>
            <w:hideMark/>
          </w:tcPr>
          <w:p w14:paraId="7F8D88C1" w14:textId="77777777" w:rsidR="00AA1F10" w:rsidRPr="009E6FF3" w:rsidRDefault="00AA1F10" w:rsidP="005E5CB4">
            <w:pPr>
              <w:pStyle w:val="BodyText"/>
              <w:spacing w:after="0" w:line="276" w:lineRule="auto"/>
              <w:jc w:val="center"/>
            </w:pPr>
            <w:r w:rsidRPr="009E6FF3">
              <w:t>100</w:t>
            </w:r>
          </w:p>
        </w:tc>
        <w:tc>
          <w:tcPr>
            <w:tcW w:w="814" w:type="dxa"/>
            <w:tcBorders>
              <w:top w:val="nil"/>
              <w:left w:val="nil"/>
              <w:bottom w:val="single" w:sz="4" w:space="0" w:color="auto"/>
              <w:right w:val="single" w:sz="4" w:space="0" w:color="auto"/>
            </w:tcBorders>
            <w:shd w:val="clear" w:color="auto" w:fill="auto"/>
            <w:noWrap/>
            <w:vAlign w:val="bottom"/>
            <w:hideMark/>
          </w:tcPr>
          <w:p w14:paraId="73C43DFC" w14:textId="77777777" w:rsidR="00AA1F10" w:rsidRPr="009E6FF3" w:rsidRDefault="00AA1F10" w:rsidP="005E5CB4">
            <w:pPr>
              <w:pStyle w:val="BodyText"/>
              <w:spacing w:after="0" w:line="276" w:lineRule="auto"/>
              <w:jc w:val="center"/>
            </w:pPr>
            <w:r w:rsidRPr="009E6FF3">
              <w:t>160</w:t>
            </w:r>
          </w:p>
        </w:tc>
      </w:tr>
      <w:tr w:rsidR="00AA1F10" w:rsidRPr="00190C80" w14:paraId="61758067"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4CB52A00" w14:textId="77777777" w:rsidR="00AA1F10" w:rsidRPr="009E6FF3" w:rsidRDefault="00AA1F10" w:rsidP="005E5CB4">
            <w:pPr>
              <w:pStyle w:val="BodyText"/>
              <w:spacing w:after="0" w:line="276" w:lineRule="auto"/>
              <w:jc w:val="center"/>
            </w:pPr>
            <w:r w:rsidRPr="009E6FF3">
              <w:t>May</w:t>
            </w:r>
          </w:p>
        </w:tc>
        <w:tc>
          <w:tcPr>
            <w:tcW w:w="794" w:type="dxa"/>
            <w:tcBorders>
              <w:top w:val="nil"/>
              <w:left w:val="nil"/>
              <w:bottom w:val="single" w:sz="4" w:space="0" w:color="auto"/>
              <w:right w:val="single" w:sz="4" w:space="0" w:color="auto"/>
            </w:tcBorders>
            <w:shd w:val="clear" w:color="auto" w:fill="auto"/>
            <w:noWrap/>
            <w:vAlign w:val="bottom"/>
            <w:hideMark/>
          </w:tcPr>
          <w:p w14:paraId="5D191685" w14:textId="77777777" w:rsidR="00AA1F10" w:rsidRPr="009E6FF3" w:rsidRDefault="00AA1F10" w:rsidP="005E5CB4">
            <w:pPr>
              <w:pStyle w:val="BodyText"/>
              <w:spacing w:after="0" w:line="276" w:lineRule="auto"/>
              <w:jc w:val="center"/>
            </w:pPr>
            <w:r w:rsidRPr="009E6FF3">
              <w:t>115</w:t>
            </w:r>
          </w:p>
        </w:tc>
        <w:tc>
          <w:tcPr>
            <w:tcW w:w="996" w:type="dxa"/>
            <w:tcBorders>
              <w:top w:val="nil"/>
              <w:left w:val="nil"/>
              <w:bottom w:val="single" w:sz="4" w:space="0" w:color="auto"/>
              <w:right w:val="single" w:sz="4" w:space="0" w:color="auto"/>
            </w:tcBorders>
            <w:shd w:val="clear" w:color="auto" w:fill="auto"/>
            <w:noWrap/>
            <w:vAlign w:val="bottom"/>
            <w:hideMark/>
          </w:tcPr>
          <w:p w14:paraId="2681C1F6" w14:textId="77777777" w:rsidR="00AA1F10" w:rsidRPr="009E6FF3" w:rsidRDefault="00AA1F10" w:rsidP="005E5CB4">
            <w:pPr>
              <w:pStyle w:val="BodyText"/>
              <w:spacing w:after="0" w:line="276" w:lineRule="auto"/>
              <w:jc w:val="center"/>
            </w:pPr>
            <w:r w:rsidRPr="009E6FF3">
              <w:t>50</w:t>
            </w:r>
          </w:p>
        </w:tc>
        <w:tc>
          <w:tcPr>
            <w:tcW w:w="814" w:type="dxa"/>
            <w:tcBorders>
              <w:top w:val="nil"/>
              <w:left w:val="nil"/>
              <w:bottom w:val="single" w:sz="4" w:space="0" w:color="auto"/>
              <w:right w:val="single" w:sz="4" w:space="0" w:color="auto"/>
            </w:tcBorders>
            <w:shd w:val="clear" w:color="auto" w:fill="auto"/>
            <w:noWrap/>
            <w:vAlign w:val="bottom"/>
            <w:hideMark/>
          </w:tcPr>
          <w:p w14:paraId="5AFAC572" w14:textId="77777777" w:rsidR="00AA1F10" w:rsidRPr="009E6FF3" w:rsidRDefault="00AA1F10" w:rsidP="005E5CB4">
            <w:pPr>
              <w:pStyle w:val="BodyText"/>
              <w:spacing w:after="0" w:line="276" w:lineRule="auto"/>
              <w:jc w:val="center"/>
            </w:pPr>
            <w:r w:rsidRPr="009E6FF3">
              <w:t>120</w:t>
            </w:r>
          </w:p>
        </w:tc>
      </w:tr>
      <w:tr w:rsidR="00AA1F10" w:rsidRPr="00190C80" w14:paraId="0D973CC2"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73CBCF06" w14:textId="77777777" w:rsidR="00AA1F10" w:rsidRPr="009E6FF3" w:rsidRDefault="00AA1F10" w:rsidP="005E5CB4">
            <w:pPr>
              <w:pStyle w:val="BodyText"/>
              <w:spacing w:after="0" w:line="276" w:lineRule="auto"/>
              <w:jc w:val="center"/>
            </w:pPr>
            <w:r w:rsidRPr="009E6FF3">
              <w:t>Jun</w:t>
            </w:r>
          </w:p>
        </w:tc>
        <w:tc>
          <w:tcPr>
            <w:tcW w:w="794" w:type="dxa"/>
            <w:tcBorders>
              <w:top w:val="nil"/>
              <w:left w:val="nil"/>
              <w:bottom w:val="single" w:sz="4" w:space="0" w:color="auto"/>
              <w:right w:val="single" w:sz="4" w:space="0" w:color="auto"/>
            </w:tcBorders>
            <w:shd w:val="clear" w:color="auto" w:fill="auto"/>
            <w:noWrap/>
            <w:vAlign w:val="bottom"/>
            <w:hideMark/>
          </w:tcPr>
          <w:p w14:paraId="6CD210B0" w14:textId="77777777" w:rsidR="00AA1F10" w:rsidRPr="009E6FF3" w:rsidRDefault="00AA1F10" w:rsidP="005E5CB4">
            <w:pPr>
              <w:pStyle w:val="BodyText"/>
              <w:spacing w:after="0" w:line="276" w:lineRule="auto"/>
              <w:jc w:val="center"/>
            </w:pPr>
            <w:r w:rsidRPr="009E6FF3">
              <w:t>60</w:t>
            </w:r>
          </w:p>
        </w:tc>
        <w:tc>
          <w:tcPr>
            <w:tcW w:w="996" w:type="dxa"/>
            <w:tcBorders>
              <w:top w:val="nil"/>
              <w:left w:val="nil"/>
              <w:bottom w:val="single" w:sz="4" w:space="0" w:color="auto"/>
              <w:right w:val="single" w:sz="4" w:space="0" w:color="auto"/>
            </w:tcBorders>
            <w:shd w:val="clear" w:color="auto" w:fill="auto"/>
            <w:noWrap/>
            <w:vAlign w:val="bottom"/>
            <w:hideMark/>
          </w:tcPr>
          <w:p w14:paraId="51D72559" w14:textId="77777777" w:rsidR="00AA1F10" w:rsidRPr="009E6FF3" w:rsidRDefault="00AA1F10" w:rsidP="005E5CB4">
            <w:pPr>
              <w:pStyle w:val="BodyText"/>
              <w:spacing w:after="0" w:line="276" w:lineRule="auto"/>
              <w:jc w:val="center"/>
            </w:pPr>
            <w:r w:rsidRPr="009E6FF3">
              <w:t>40</w:t>
            </w:r>
          </w:p>
        </w:tc>
        <w:tc>
          <w:tcPr>
            <w:tcW w:w="814" w:type="dxa"/>
            <w:tcBorders>
              <w:top w:val="nil"/>
              <w:left w:val="nil"/>
              <w:bottom w:val="single" w:sz="4" w:space="0" w:color="auto"/>
              <w:right w:val="single" w:sz="4" w:space="0" w:color="auto"/>
            </w:tcBorders>
            <w:shd w:val="clear" w:color="auto" w:fill="auto"/>
            <w:noWrap/>
            <w:vAlign w:val="bottom"/>
            <w:hideMark/>
          </w:tcPr>
          <w:p w14:paraId="45C0B973" w14:textId="77777777" w:rsidR="00AA1F10" w:rsidRPr="009E6FF3" w:rsidRDefault="00AA1F10" w:rsidP="005E5CB4">
            <w:pPr>
              <w:pStyle w:val="BodyText"/>
              <w:spacing w:after="0" w:line="276" w:lineRule="auto"/>
              <w:jc w:val="center"/>
            </w:pPr>
            <w:r w:rsidRPr="009E6FF3">
              <w:t>40</w:t>
            </w:r>
          </w:p>
        </w:tc>
      </w:tr>
      <w:tr w:rsidR="00AA1F10" w:rsidRPr="00190C80" w14:paraId="10B5B797"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7E0298FE" w14:textId="77777777" w:rsidR="00AA1F10" w:rsidRPr="009E6FF3" w:rsidRDefault="00AA1F10" w:rsidP="005E5CB4">
            <w:pPr>
              <w:pStyle w:val="BodyText"/>
              <w:spacing w:after="0" w:line="276" w:lineRule="auto"/>
              <w:jc w:val="center"/>
            </w:pPr>
            <w:r w:rsidRPr="009E6FF3">
              <w:t>Jul</w:t>
            </w:r>
          </w:p>
        </w:tc>
        <w:tc>
          <w:tcPr>
            <w:tcW w:w="794" w:type="dxa"/>
            <w:tcBorders>
              <w:top w:val="nil"/>
              <w:left w:val="nil"/>
              <w:bottom w:val="single" w:sz="4" w:space="0" w:color="auto"/>
              <w:right w:val="single" w:sz="4" w:space="0" w:color="auto"/>
            </w:tcBorders>
            <w:shd w:val="clear" w:color="auto" w:fill="auto"/>
            <w:noWrap/>
            <w:vAlign w:val="bottom"/>
            <w:hideMark/>
          </w:tcPr>
          <w:p w14:paraId="44B44328" w14:textId="77777777" w:rsidR="00AA1F10" w:rsidRPr="009E6FF3" w:rsidRDefault="00AA1F10" w:rsidP="005E5CB4">
            <w:pPr>
              <w:pStyle w:val="BodyText"/>
              <w:spacing w:after="0" w:line="276" w:lineRule="auto"/>
              <w:jc w:val="center"/>
            </w:pPr>
            <w:r w:rsidRPr="009E6FF3">
              <w:t>15</w:t>
            </w:r>
          </w:p>
        </w:tc>
        <w:tc>
          <w:tcPr>
            <w:tcW w:w="996" w:type="dxa"/>
            <w:tcBorders>
              <w:top w:val="nil"/>
              <w:left w:val="nil"/>
              <w:bottom w:val="single" w:sz="4" w:space="0" w:color="auto"/>
              <w:right w:val="single" w:sz="4" w:space="0" w:color="auto"/>
            </w:tcBorders>
            <w:shd w:val="clear" w:color="auto" w:fill="auto"/>
            <w:noWrap/>
            <w:vAlign w:val="bottom"/>
            <w:hideMark/>
          </w:tcPr>
          <w:p w14:paraId="52812B2C" w14:textId="77777777" w:rsidR="00AA1F10" w:rsidRPr="009E6FF3" w:rsidRDefault="00AA1F10" w:rsidP="005E5CB4">
            <w:pPr>
              <w:pStyle w:val="BodyText"/>
              <w:spacing w:after="0" w:line="276" w:lineRule="auto"/>
              <w:jc w:val="center"/>
            </w:pPr>
            <w:r w:rsidRPr="009E6FF3">
              <w:t>0</w:t>
            </w:r>
          </w:p>
        </w:tc>
        <w:tc>
          <w:tcPr>
            <w:tcW w:w="814" w:type="dxa"/>
            <w:tcBorders>
              <w:top w:val="nil"/>
              <w:left w:val="nil"/>
              <w:bottom w:val="single" w:sz="4" w:space="0" w:color="auto"/>
              <w:right w:val="single" w:sz="4" w:space="0" w:color="auto"/>
            </w:tcBorders>
            <w:shd w:val="clear" w:color="auto" w:fill="auto"/>
            <w:noWrap/>
            <w:vAlign w:val="bottom"/>
            <w:hideMark/>
          </w:tcPr>
          <w:p w14:paraId="4062286D" w14:textId="77777777" w:rsidR="00AA1F10" w:rsidRPr="009E6FF3" w:rsidRDefault="00AA1F10" w:rsidP="005E5CB4">
            <w:pPr>
              <w:pStyle w:val="BodyText"/>
              <w:spacing w:after="0" w:line="276" w:lineRule="auto"/>
              <w:jc w:val="center"/>
            </w:pPr>
            <w:r w:rsidRPr="009E6FF3">
              <w:t>0</w:t>
            </w:r>
          </w:p>
        </w:tc>
      </w:tr>
      <w:tr w:rsidR="00AA1F10" w:rsidRPr="00190C80" w14:paraId="77398D81"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2650D51A" w14:textId="77777777" w:rsidR="00AA1F10" w:rsidRPr="009E6FF3" w:rsidRDefault="00AA1F10" w:rsidP="005E5CB4">
            <w:pPr>
              <w:pStyle w:val="BodyText"/>
              <w:spacing w:after="0" w:line="276" w:lineRule="auto"/>
              <w:jc w:val="center"/>
            </w:pPr>
            <w:r w:rsidRPr="009E6FF3">
              <w:t>Aug</w:t>
            </w:r>
          </w:p>
        </w:tc>
        <w:tc>
          <w:tcPr>
            <w:tcW w:w="794" w:type="dxa"/>
            <w:tcBorders>
              <w:top w:val="nil"/>
              <w:left w:val="nil"/>
              <w:bottom w:val="single" w:sz="4" w:space="0" w:color="auto"/>
              <w:right w:val="single" w:sz="4" w:space="0" w:color="auto"/>
            </w:tcBorders>
            <w:shd w:val="clear" w:color="auto" w:fill="auto"/>
            <w:noWrap/>
            <w:vAlign w:val="bottom"/>
            <w:hideMark/>
          </w:tcPr>
          <w:p w14:paraId="060C1799" w14:textId="77777777" w:rsidR="00AA1F10" w:rsidRPr="009E6FF3" w:rsidRDefault="00AA1F10" w:rsidP="005E5CB4">
            <w:pPr>
              <w:pStyle w:val="BodyText"/>
              <w:spacing w:after="0" w:line="276" w:lineRule="auto"/>
              <w:jc w:val="center"/>
            </w:pPr>
            <w:r w:rsidRPr="009E6FF3">
              <w:t>30</w:t>
            </w:r>
          </w:p>
        </w:tc>
        <w:tc>
          <w:tcPr>
            <w:tcW w:w="996" w:type="dxa"/>
            <w:tcBorders>
              <w:top w:val="nil"/>
              <w:left w:val="nil"/>
              <w:bottom w:val="single" w:sz="4" w:space="0" w:color="auto"/>
              <w:right w:val="single" w:sz="4" w:space="0" w:color="auto"/>
            </w:tcBorders>
            <w:shd w:val="clear" w:color="auto" w:fill="auto"/>
            <w:noWrap/>
            <w:vAlign w:val="bottom"/>
            <w:hideMark/>
          </w:tcPr>
          <w:p w14:paraId="18F1F132" w14:textId="77777777" w:rsidR="00AA1F10" w:rsidRPr="009E6FF3" w:rsidRDefault="00AA1F10" w:rsidP="005E5CB4">
            <w:pPr>
              <w:pStyle w:val="BodyText"/>
              <w:spacing w:after="0" w:line="276" w:lineRule="auto"/>
              <w:jc w:val="center"/>
            </w:pPr>
            <w:r w:rsidRPr="009E6FF3">
              <w:t>75</w:t>
            </w:r>
          </w:p>
        </w:tc>
        <w:tc>
          <w:tcPr>
            <w:tcW w:w="814" w:type="dxa"/>
            <w:tcBorders>
              <w:top w:val="nil"/>
              <w:left w:val="nil"/>
              <w:bottom w:val="single" w:sz="4" w:space="0" w:color="auto"/>
              <w:right w:val="single" w:sz="4" w:space="0" w:color="auto"/>
            </w:tcBorders>
            <w:shd w:val="clear" w:color="auto" w:fill="auto"/>
            <w:noWrap/>
            <w:vAlign w:val="bottom"/>
            <w:hideMark/>
          </w:tcPr>
          <w:p w14:paraId="14BECFE0" w14:textId="77777777" w:rsidR="00AA1F10" w:rsidRPr="009E6FF3" w:rsidRDefault="00AA1F10" w:rsidP="005E5CB4">
            <w:pPr>
              <w:pStyle w:val="BodyText"/>
              <w:spacing w:after="0" w:line="276" w:lineRule="auto"/>
              <w:jc w:val="center"/>
            </w:pPr>
            <w:r w:rsidRPr="009E6FF3">
              <w:t>0</w:t>
            </w:r>
          </w:p>
        </w:tc>
      </w:tr>
      <w:tr w:rsidR="00AA1F10" w:rsidRPr="00190C80" w14:paraId="6EC443E1" w14:textId="77777777" w:rsidTr="005E5CB4">
        <w:trPr>
          <w:trHeight w:val="300"/>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14:paraId="75F6727D" w14:textId="77777777" w:rsidR="00AA1F10" w:rsidRPr="009E6FF3" w:rsidRDefault="00AA1F10" w:rsidP="005E5CB4">
            <w:pPr>
              <w:pStyle w:val="BodyText"/>
              <w:spacing w:after="0" w:line="276" w:lineRule="auto"/>
              <w:jc w:val="center"/>
            </w:pPr>
            <w:r w:rsidRPr="009E6FF3">
              <w:t>Sep</w:t>
            </w:r>
          </w:p>
        </w:tc>
        <w:tc>
          <w:tcPr>
            <w:tcW w:w="794" w:type="dxa"/>
            <w:tcBorders>
              <w:top w:val="nil"/>
              <w:left w:val="nil"/>
              <w:bottom w:val="single" w:sz="4" w:space="0" w:color="auto"/>
              <w:right w:val="single" w:sz="4" w:space="0" w:color="auto"/>
            </w:tcBorders>
            <w:shd w:val="clear" w:color="auto" w:fill="auto"/>
            <w:noWrap/>
            <w:vAlign w:val="bottom"/>
            <w:hideMark/>
          </w:tcPr>
          <w:p w14:paraId="0A932385" w14:textId="77777777" w:rsidR="00AA1F10" w:rsidRPr="009E6FF3" w:rsidRDefault="00AA1F10" w:rsidP="005E5CB4">
            <w:pPr>
              <w:pStyle w:val="BodyText"/>
              <w:spacing w:after="0" w:line="276" w:lineRule="auto"/>
              <w:jc w:val="center"/>
            </w:pPr>
            <w:r w:rsidRPr="009E6FF3">
              <w:t>50</w:t>
            </w:r>
          </w:p>
        </w:tc>
        <w:tc>
          <w:tcPr>
            <w:tcW w:w="996" w:type="dxa"/>
            <w:tcBorders>
              <w:top w:val="nil"/>
              <w:left w:val="nil"/>
              <w:bottom w:val="single" w:sz="4" w:space="0" w:color="auto"/>
              <w:right w:val="single" w:sz="4" w:space="0" w:color="auto"/>
            </w:tcBorders>
            <w:shd w:val="clear" w:color="auto" w:fill="auto"/>
            <w:noWrap/>
            <w:vAlign w:val="bottom"/>
            <w:hideMark/>
          </w:tcPr>
          <w:p w14:paraId="49C64D67" w14:textId="77777777" w:rsidR="00AA1F10" w:rsidRPr="009E6FF3" w:rsidRDefault="00AA1F10" w:rsidP="005E5CB4">
            <w:pPr>
              <w:pStyle w:val="BodyText"/>
              <w:spacing w:after="0" w:line="276" w:lineRule="auto"/>
              <w:jc w:val="center"/>
            </w:pPr>
            <w:r w:rsidRPr="009E6FF3">
              <w:t>100</w:t>
            </w:r>
          </w:p>
        </w:tc>
        <w:tc>
          <w:tcPr>
            <w:tcW w:w="814" w:type="dxa"/>
            <w:tcBorders>
              <w:top w:val="nil"/>
              <w:left w:val="nil"/>
              <w:bottom w:val="single" w:sz="4" w:space="0" w:color="auto"/>
              <w:right w:val="single" w:sz="4" w:space="0" w:color="auto"/>
            </w:tcBorders>
            <w:shd w:val="clear" w:color="auto" w:fill="auto"/>
            <w:noWrap/>
            <w:vAlign w:val="bottom"/>
            <w:hideMark/>
          </w:tcPr>
          <w:p w14:paraId="57944913" w14:textId="77777777" w:rsidR="00AA1F10" w:rsidRPr="009E6FF3" w:rsidRDefault="00AA1F10" w:rsidP="005E5CB4">
            <w:pPr>
              <w:pStyle w:val="BodyText"/>
              <w:spacing w:after="0" w:line="276" w:lineRule="auto"/>
              <w:jc w:val="center"/>
            </w:pPr>
            <w:r w:rsidRPr="009E6FF3">
              <w:t>120</w:t>
            </w:r>
          </w:p>
        </w:tc>
      </w:tr>
    </w:tbl>
    <w:p w14:paraId="7A6CF0BE" w14:textId="77777777" w:rsidR="00AA1F10" w:rsidRPr="00697906" w:rsidRDefault="00AA1F10" w:rsidP="00461CB2">
      <w:pPr>
        <w:pStyle w:val="Heading4"/>
      </w:pPr>
      <w:r w:rsidRPr="00697906">
        <w:t>Operations Criteria</w:t>
      </w:r>
    </w:p>
    <w:p w14:paraId="405C9957" w14:textId="77777777" w:rsidR="00AA1F10" w:rsidRPr="00697906" w:rsidRDefault="00AA1F10" w:rsidP="00461CB2">
      <w:pPr>
        <w:pStyle w:val="Heading5"/>
      </w:pPr>
      <w:r w:rsidRPr="00697906">
        <w:t>Fremont Weir Operations</w:t>
      </w:r>
    </w:p>
    <w:p w14:paraId="3B73833C" w14:textId="77777777" w:rsidR="00AA1F10" w:rsidRPr="00697906" w:rsidRDefault="00AA1F10" w:rsidP="00AA1F10">
      <w:pPr>
        <w:pStyle w:val="BodyText"/>
      </w:pPr>
      <w:r w:rsidRPr="00697906">
        <w:t>To provide seasonal floodplain inundation in the Yolo Bypass, the 14- and the two 18-foot elevation gates are opened between November 1 and March 15</w:t>
      </w:r>
      <w:r>
        <w:t xml:space="preserve">. </w:t>
      </w:r>
      <w:r w:rsidRPr="00697906">
        <w:t>The gates would open to allow a maximum flow of 6,000 cfs when the water surface elevation in the river reaches 28 feet. The gates are operated to limit maximum spill to 6,000 cfs until the Sacramento River stage reaches the existing Fremont Weir crest elevation</w:t>
      </w:r>
      <w:r>
        <w:t xml:space="preserve">. </w:t>
      </w:r>
      <w:r w:rsidRPr="00697906">
        <w:t>When the river stage is at or above the existing Fremont Weir crest elevation, the notch gates are assumed to be closed</w:t>
      </w:r>
      <w:r>
        <w:t xml:space="preserve">. </w:t>
      </w:r>
      <w:r w:rsidRPr="00697906">
        <w:t>While desired inundation period is on the order of 30 to 45 days, gates are not managed to limit to this range, instead the duration of the event is governed by the Sacramento River flow conditions. The spills at about 21 feet river stage would be around 1,000 cfs.</w:t>
      </w:r>
      <w:r w:rsidRPr="00BE4993">
        <w:t xml:space="preserve"> </w:t>
      </w:r>
      <w:r>
        <w:t>This operation is further described in the Yolo Bypass Salmonid Habitat Restoration and Fish Passage EIS/EIR Alternative 1.</w:t>
      </w:r>
    </w:p>
    <w:p w14:paraId="597E6C76" w14:textId="77777777" w:rsidR="00AA1F10" w:rsidRPr="00697906" w:rsidRDefault="00AA1F10" w:rsidP="00461CB2">
      <w:pPr>
        <w:pStyle w:val="Heading5"/>
      </w:pPr>
      <w:r w:rsidRPr="00697906">
        <w:t>Delta Cross Channel Gate Operations</w:t>
      </w:r>
    </w:p>
    <w:p w14:paraId="6213D8A3" w14:textId="77777777" w:rsidR="00AA1F10" w:rsidRDefault="00AA1F10" w:rsidP="00AA1F10">
      <w:pPr>
        <w:pStyle w:val="BodyText"/>
      </w:pPr>
      <w:r w:rsidRPr="00697906">
        <w:t>Delta Cross Channel (DCC) Gates are assumed to be operated based on the proposed DCC operational changes describe</w:t>
      </w:r>
      <w:r>
        <w:t>d</w:t>
      </w:r>
      <w:r w:rsidRPr="00697906">
        <w:t xml:space="preserve"> in Table 2 of the Delta Cross Channel Temporary Closure Final Environmental Assessment (Reclamation 2012a).</w:t>
      </w:r>
      <w:r>
        <w:t xml:space="preserve"> </w:t>
      </w:r>
      <w:r w:rsidRPr="00697906">
        <w:t xml:space="preserve">However, model representation of the proposed DCC operations remain the same as the </w:t>
      </w:r>
      <w:r>
        <w:t>SWRCB D-1641 standards and NMFS BO Action 4.1.2 (described below),</w:t>
      </w:r>
      <w:r w:rsidRPr="00697906">
        <w:t xml:space="preserve"> as the proposed changes cannot be captured within the CalSim model.</w:t>
      </w:r>
    </w:p>
    <w:p w14:paraId="2E6AC307" w14:textId="77777777" w:rsidR="00AA1F10" w:rsidRPr="00697906" w:rsidRDefault="00AA1F10" w:rsidP="00AA1F10">
      <w:pPr>
        <w:pStyle w:val="BodyText"/>
      </w:pPr>
      <w:r w:rsidRPr="00697906">
        <w:t>SWRCB D-1641 DCC standards provide for closure of the DCC gates for fisheries protection at certain times of the year</w:t>
      </w:r>
      <w:r>
        <w:t xml:space="preserve">. </w:t>
      </w:r>
      <w:r w:rsidRPr="00697906">
        <w:t>From November through January, the DCC may be closed for up to 45 days</w:t>
      </w:r>
      <w:r>
        <w:t xml:space="preserve">. </w:t>
      </w:r>
      <w:r w:rsidRPr="00697906">
        <w:t>From February 1 through May 20, the gates are closed every day</w:t>
      </w:r>
      <w:r>
        <w:t xml:space="preserve">. </w:t>
      </w:r>
      <w:r w:rsidRPr="00697906">
        <w:t xml:space="preserve">The gates may also be </w:t>
      </w:r>
      <w:r w:rsidRPr="00697906">
        <w:lastRenderedPageBreak/>
        <w:t>closed for 14 days during the May 21 through June 15 time period</w:t>
      </w:r>
      <w:r>
        <w:t xml:space="preserve">. </w:t>
      </w:r>
      <w:r w:rsidRPr="00697906">
        <w:t xml:space="preserve">Reclamation determines the timing and duration of the closures after discussion with USFWS, </w:t>
      </w:r>
      <w:r>
        <w:t>C</w:t>
      </w:r>
      <w:r w:rsidRPr="00697906">
        <w:t>DF</w:t>
      </w:r>
      <w:r>
        <w:t>W</w:t>
      </w:r>
      <w:r w:rsidRPr="00697906">
        <w:t xml:space="preserve">, and NMFS. </w:t>
      </w:r>
    </w:p>
    <w:p w14:paraId="50C8A6E7" w14:textId="54BC4FAF" w:rsidR="00AA1F10" w:rsidRDefault="00AA1F10" w:rsidP="00AA1F10">
      <w:pPr>
        <w:pStyle w:val="BodyText"/>
      </w:pPr>
      <w:r w:rsidRPr="00697906">
        <w:t xml:space="preserve">NMFS BO Action </w:t>
      </w:r>
      <w:r w:rsidR="00B521AB">
        <w:t>3</w:t>
      </w:r>
      <w:r w:rsidRPr="00697906">
        <w:t>.</w:t>
      </w:r>
      <w:r w:rsidR="00B521AB">
        <w:t>4</w:t>
      </w:r>
      <w:r w:rsidRPr="00697906">
        <w:t>.</w:t>
      </w:r>
      <w:r w:rsidR="00B521AB">
        <w:t>1</w:t>
      </w:r>
      <w:r w:rsidR="00B521AB" w:rsidRPr="00697906">
        <w:t xml:space="preserve"> </w:t>
      </w:r>
      <w:r w:rsidRPr="00697906">
        <w:t xml:space="preserve">requires gates to be operated based on the presence of salmonids and water quality from October 1 through </w:t>
      </w:r>
      <w:r w:rsidR="00956783">
        <w:t>November</w:t>
      </w:r>
      <w:r w:rsidR="00956783" w:rsidRPr="00697906">
        <w:t xml:space="preserve"> </w:t>
      </w:r>
      <w:r w:rsidR="00956783">
        <w:t>30</w:t>
      </w:r>
      <w:r w:rsidRPr="00697906">
        <w:t xml:space="preserve">; and gates to be closed from December </w:t>
      </w:r>
      <w:r w:rsidR="00956783">
        <w:t>1</w:t>
      </w:r>
      <w:r w:rsidR="00956783" w:rsidRPr="00697906">
        <w:t xml:space="preserve"> </w:t>
      </w:r>
      <w:r w:rsidRPr="00697906">
        <w:t>to January 31, except for short-term operations to maintain water quality</w:t>
      </w:r>
      <w:r>
        <w:t xml:space="preserve">. </w:t>
      </w:r>
      <w:r w:rsidRPr="00697906">
        <w:t>CalSim II includes the NMFS BO DCC gate operations in addition to the D-1641 gate operations</w:t>
      </w:r>
      <w:r>
        <w:t xml:space="preserve">. </w:t>
      </w:r>
      <w:r w:rsidRPr="00697906">
        <w:t>When the daily flows in the Sacramento River at Wilkins Slough exceed 7,500 cfs (flow assumed to flush salmon into the Delta), DCC is closed for a certain number of days in a month</w:t>
      </w:r>
      <w:r w:rsidRPr="00697906">
        <w:rPr>
          <w:b/>
          <w:i/>
        </w:rPr>
        <w:t xml:space="preserve"> </w:t>
      </w:r>
      <w:r w:rsidRPr="00697906">
        <w:t xml:space="preserve">as described in Appendix 5A of the LTO EIS (Reclamation 2015b). During October 1 – December 14, if the flow trigger condition is such that additional days of DCC gates closure is called for, however water quality conditions are a concern and the DCC gates remain open, then Delta exports are limited to 2,000 cfs for each day in question. </w:t>
      </w:r>
    </w:p>
    <w:p w14:paraId="3CB7D112" w14:textId="77777777" w:rsidR="00AA1F10" w:rsidRDefault="00AA1F10" w:rsidP="00461CB2">
      <w:pPr>
        <w:pStyle w:val="Heading5"/>
      </w:pPr>
      <w:r>
        <w:t>Suisun Marsh</w:t>
      </w:r>
      <w:r w:rsidRPr="00F41AEA">
        <w:t xml:space="preserve"> Salinity Control Gates</w:t>
      </w:r>
    </w:p>
    <w:p w14:paraId="72DC819E" w14:textId="77777777" w:rsidR="00AA1F10" w:rsidRPr="00461CB2" w:rsidRDefault="00AA1F10" w:rsidP="00461CB2">
      <w:pPr>
        <w:pStyle w:val="Heading6"/>
        <w:rPr>
          <w:b/>
          <w:bCs w:val="0"/>
        </w:rPr>
      </w:pPr>
      <w:r w:rsidRPr="00461CB2">
        <w:rPr>
          <w:b/>
          <w:bCs w:val="0"/>
        </w:rPr>
        <w:t>SWRCB D-1641</w:t>
      </w:r>
    </w:p>
    <w:p w14:paraId="106581B0" w14:textId="77777777" w:rsidR="00AA1F10" w:rsidRDefault="00AA1F10" w:rsidP="00AA1F10">
      <w:pPr>
        <w:pStyle w:val="BodyText"/>
      </w:pPr>
      <w:r w:rsidRPr="00CE5999">
        <w:t xml:space="preserve">The SMSCG are operated on an as needed basis to meet </w:t>
      </w:r>
      <w:r>
        <w:t xml:space="preserve">SWRCB </w:t>
      </w:r>
      <w:r w:rsidRPr="00CE5999">
        <w:t>D-1641 water quality standards in Montezuma Slough. The water quality standard include</w:t>
      </w:r>
      <w:r>
        <w:t>s</w:t>
      </w:r>
      <w:r w:rsidRPr="00CE5999">
        <w:t xml:space="preserve"> the period between October through May. Operations are determined from data at </w:t>
      </w:r>
      <w:r>
        <w:t xml:space="preserve">SWRCB </w:t>
      </w:r>
      <w:r w:rsidRPr="00CE5999">
        <w:t xml:space="preserve">D-1641 compliance stations, hydrologic conditions, weather, Delta outflow, tide, fishery considerations, and other factors. The duration of gate operation may range from no use to full use for the entire October through May period. </w:t>
      </w:r>
    </w:p>
    <w:p w14:paraId="212CF702" w14:textId="2AE5B913" w:rsidR="00AA1F10" w:rsidRDefault="00AA1F10" w:rsidP="003A1635">
      <w:pPr>
        <w:pStyle w:val="BodyText"/>
        <w:keepNext w:val="0"/>
      </w:pPr>
      <w:r w:rsidRPr="00827326">
        <w:t xml:space="preserve">The </w:t>
      </w:r>
      <w:r w:rsidR="00950D77">
        <w:t>Benchmark</w:t>
      </w:r>
      <w:r w:rsidR="001B2603" w:rsidRPr="001B2603">
        <w:t xml:space="preserve"> 011721 HIST</w:t>
      </w:r>
      <w:r w:rsidRPr="00827326">
        <w:t xml:space="preserve"> CalSim II considers the effect of SMSCG operations, when SMSCG is used to meet SWRCB D-1641 water quality standards in Montezuma Slough. </w:t>
      </w:r>
      <w:r w:rsidR="008D23CB" w:rsidRPr="00827326">
        <w:t xml:space="preserve">As the CALSIM </w:t>
      </w:r>
      <w:r w:rsidR="00B80546" w:rsidRPr="00827326">
        <w:t>ANN</w:t>
      </w:r>
      <w:r w:rsidR="00946FCE" w:rsidRPr="00827326">
        <w:t xml:space="preserve"> was</w:t>
      </w:r>
      <w:r w:rsidR="00B80546" w:rsidRPr="00827326">
        <w:t xml:space="preserve"> trained with SMSCG operations occurring in the months from October through February</w:t>
      </w:r>
      <w:r w:rsidR="0050237D" w:rsidRPr="00827326">
        <w:t xml:space="preserve">, evaluation of an SMSCG operations trigger was focused to the months of March through May. </w:t>
      </w:r>
      <w:r w:rsidR="00887865" w:rsidRPr="00827326">
        <w:t xml:space="preserve">Previously versions of CALSIM had not considered gate operations during these months. </w:t>
      </w:r>
      <w:r w:rsidR="006602EB" w:rsidRPr="00827326">
        <w:t xml:space="preserve">Historical operations and salinity were reviewed to </w:t>
      </w:r>
      <w:r w:rsidR="00E71DE6" w:rsidRPr="00827326">
        <w:t xml:space="preserve">develop a </w:t>
      </w:r>
      <w:r w:rsidR="00D508B6" w:rsidRPr="00827326">
        <w:t>threshold</w:t>
      </w:r>
      <w:r w:rsidR="00E71DE6" w:rsidRPr="00827326">
        <w:t xml:space="preserve"> parameter and value for </w:t>
      </w:r>
      <w:r w:rsidR="00D508B6" w:rsidRPr="00827326">
        <w:t xml:space="preserve">commencing SMSCG operations. </w:t>
      </w:r>
      <w:r w:rsidR="00F21CEC" w:rsidRPr="00827326">
        <w:t xml:space="preserve">Through this analysis, </w:t>
      </w:r>
      <w:r w:rsidR="008361DE" w:rsidRPr="00827326">
        <w:t>use</w:t>
      </w:r>
      <w:r w:rsidR="00F21CEC" w:rsidRPr="00827326">
        <w:t xml:space="preserve"> of prior </w:t>
      </w:r>
      <w:r w:rsidR="008361DE" w:rsidRPr="00827326">
        <w:t xml:space="preserve">month X2 to trigger SMSCG operations was selected. </w:t>
      </w:r>
      <w:r w:rsidRPr="00827326">
        <w:t xml:space="preserve">SMSCG operations are triggered in </w:t>
      </w:r>
      <w:r w:rsidR="008D23CB" w:rsidRPr="00827326">
        <w:t xml:space="preserve">March </w:t>
      </w:r>
      <w:r w:rsidRPr="00827326">
        <w:t xml:space="preserve">through May based on the previous months X2 value. If the previous month’s X2 is greater than the value in </w:t>
      </w:r>
      <w:r w:rsidRPr="00827326">
        <w:fldChar w:fldCharType="begin"/>
      </w:r>
      <w:r w:rsidRPr="00827326">
        <w:instrText xml:space="preserve"> REF _Ref63170758 \h </w:instrText>
      </w:r>
      <w:r w:rsidR="00415571" w:rsidRPr="00827326">
        <w:instrText xml:space="preserve"> \* MERGEFORMAT </w:instrText>
      </w:r>
      <w:r w:rsidRPr="00827326">
        <w:fldChar w:fldCharType="separate"/>
      </w:r>
      <w:r w:rsidRPr="00827326">
        <w:t xml:space="preserve">Table </w:t>
      </w:r>
      <w:r w:rsidR="0060279E">
        <w:t>1</w:t>
      </w:r>
      <w:r w:rsidR="00207152" w:rsidRPr="00827326">
        <w:t>-</w:t>
      </w:r>
      <w:r w:rsidRPr="00827326">
        <w:rPr>
          <w:noProof/>
        </w:rPr>
        <w:t>6</w:t>
      </w:r>
      <w:r w:rsidRPr="00827326">
        <w:fldChar w:fldCharType="end"/>
      </w:r>
      <w:r w:rsidRPr="00827326">
        <w:t>, then SMSCG operations are triggered.</w:t>
      </w:r>
    </w:p>
    <w:p w14:paraId="550CD8CC" w14:textId="7789AECC" w:rsidR="00AA1F10" w:rsidRDefault="00AA1F10" w:rsidP="00334AC3">
      <w:pPr>
        <w:pStyle w:val="Caption"/>
        <w:keepNext/>
      </w:pPr>
      <w:bookmarkStart w:id="85" w:name="_Ref63170758"/>
      <w:r>
        <w:lastRenderedPageBreak/>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6</w:t>
      </w:r>
      <w:r w:rsidR="001917C5">
        <w:rPr>
          <w:noProof/>
        </w:rPr>
        <w:fldChar w:fldCharType="end"/>
      </w:r>
      <w:bookmarkEnd w:id="85"/>
      <w:r>
        <w:t>. SMSCG X2 Triggers</w:t>
      </w:r>
    </w:p>
    <w:tbl>
      <w:tblPr>
        <w:tblStyle w:val="TableGrid5"/>
        <w:tblW w:w="3840" w:type="dxa"/>
        <w:tblLook w:val="04A0" w:firstRow="1" w:lastRow="0" w:firstColumn="1" w:lastColumn="0" w:noHBand="0" w:noVBand="1"/>
      </w:tblPr>
      <w:tblGrid>
        <w:gridCol w:w="2333"/>
        <w:gridCol w:w="1507"/>
      </w:tblGrid>
      <w:tr w:rsidR="00AA1F10" w:rsidRPr="00190C80" w14:paraId="444943B5" w14:textId="77777777" w:rsidTr="005E5CB4">
        <w:trPr>
          <w:trHeight w:val="300"/>
        </w:trPr>
        <w:tc>
          <w:tcPr>
            <w:tcW w:w="923" w:type="dxa"/>
            <w:noWrap/>
            <w:hideMark/>
          </w:tcPr>
          <w:p w14:paraId="68E5F87A" w14:textId="77777777" w:rsidR="00AA1F10" w:rsidRPr="009E6FF3" w:rsidRDefault="00AA1F10" w:rsidP="005E5CB4">
            <w:pPr>
              <w:pStyle w:val="BodyText"/>
              <w:spacing w:after="0" w:line="276" w:lineRule="auto"/>
              <w:jc w:val="center"/>
              <w:rPr>
                <w:b/>
                <w:bCs/>
              </w:rPr>
            </w:pPr>
            <w:r w:rsidRPr="009E6FF3">
              <w:rPr>
                <w:b/>
                <w:bCs/>
              </w:rPr>
              <w:t>Month</w:t>
            </w:r>
          </w:p>
        </w:tc>
        <w:tc>
          <w:tcPr>
            <w:tcW w:w="794" w:type="dxa"/>
            <w:noWrap/>
            <w:hideMark/>
          </w:tcPr>
          <w:p w14:paraId="597A4F83" w14:textId="77777777" w:rsidR="00AA1F10" w:rsidRPr="009E6FF3" w:rsidRDefault="00AA1F10" w:rsidP="005E5CB4">
            <w:pPr>
              <w:pStyle w:val="BodyText"/>
              <w:spacing w:after="0" w:line="276" w:lineRule="auto"/>
              <w:jc w:val="center"/>
              <w:rPr>
                <w:b/>
                <w:bCs/>
              </w:rPr>
            </w:pPr>
            <w:r w:rsidRPr="009E6FF3">
              <w:rPr>
                <w:b/>
                <w:bCs/>
              </w:rPr>
              <w:t>X2</w:t>
            </w:r>
          </w:p>
        </w:tc>
      </w:tr>
      <w:tr w:rsidR="00AA1F10" w:rsidRPr="00190C80" w14:paraId="6D340D55" w14:textId="77777777" w:rsidTr="005E5CB4">
        <w:trPr>
          <w:trHeight w:val="300"/>
        </w:trPr>
        <w:tc>
          <w:tcPr>
            <w:tcW w:w="923" w:type="dxa"/>
            <w:noWrap/>
            <w:hideMark/>
          </w:tcPr>
          <w:p w14:paraId="49B75EE7" w14:textId="77777777" w:rsidR="00AA1F10" w:rsidRPr="009E6FF3" w:rsidRDefault="00AA1F10" w:rsidP="005E5CB4">
            <w:pPr>
              <w:pStyle w:val="BodyText"/>
              <w:spacing w:after="0" w:line="276" w:lineRule="auto"/>
              <w:jc w:val="center"/>
            </w:pPr>
            <w:r w:rsidRPr="009E6FF3">
              <w:t>October</w:t>
            </w:r>
          </w:p>
        </w:tc>
        <w:tc>
          <w:tcPr>
            <w:tcW w:w="794" w:type="dxa"/>
            <w:noWrap/>
            <w:hideMark/>
          </w:tcPr>
          <w:p w14:paraId="1AC0B031" w14:textId="77777777" w:rsidR="00AA1F10" w:rsidRPr="009E6FF3" w:rsidRDefault="00AA1F10" w:rsidP="005E5CB4">
            <w:pPr>
              <w:pStyle w:val="BodyText"/>
              <w:spacing w:after="0" w:line="276" w:lineRule="auto"/>
              <w:jc w:val="center"/>
            </w:pPr>
            <w:r w:rsidRPr="009E6FF3">
              <w:t>88</w:t>
            </w:r>
          </w:p>
        </w:tc>
      </w:tr>
      <w:tr w:rsidR="00AA1F10" w:rsidRPr="00190C80" w14:paraId="1EDFFCBA" w14:textId="77777777" w:rsidTr="005E5CB4">
        <w:trPr>
          <w:trHeight w:val="300"/>
        </w:trPr>
        <w:tc>
          <w:tcPr>
            <w:tcW w:w="923" w:type="dxa"/>
            <w:noWrap/>
            <w:hideMark/>
          </w:tcPr>
          <w:p w14:paraId="00F0654D" w14:textId="77777777" w:rsidR="00AA1F10" w:rsidRPr="009E6FF3" w:rsidRDefault="00AA1F10" w:rsidP="005E5CB4">
            <w:pPr>
              <w:pStyle w:val="BodyText"/>
              <w:spacing w:after="0" w:line="276" w:lineRule="auto"/>
              <w:jc w:val="center"/>
            </w:pPr>
            <w:r w:rsidRPr="009E6FF3">
              <w:t>November</w:t>
            </w:r>
          </w:p>
        </w:tc>
        <w:tc>
          <w:tcPr>
            <w:tcW w:w="794" w:type="dxa"/>
            <w:noWrap/>
            <w:hideMark/>
          </w:tcPr>
          <w:p w14:paraId="216AF259" w14:textId="77777777" w:rsidR="00AA1F10" w:rsidRPr="009E6FF3" w:rsidRDefault="00AA1F10" w:rsidP="005E5CB4">
            <w:pPr>
              <w:pStyle w:val="BodyText"/>
              <w:spacing w:after="0" w:line="276" w:lineRule="auto"/>
              <w:jc w:val="center"/>
            </w:pPr>
            <w:r w:rsidRPr="009E6FF3">
              <w:t>88</w:t>
            </w:r>
          </w:p>
        </w:tc>
      </w:tr>
      <w:tr w:rsidR="00AA1F10" w:rsidRPr="00190C80" w14:paraId="36557CFD" w14:textId="77777777" w:rsidTr="005E5CB4">
        <w:trPr>
          <w:trHeight w:val="300"/>
        </w:trPr>
        <w:tc>
          <w:tcPr>
            <w:tcW w:w="923" w:type="dxa"/>
            <w:noWrap/>
            <w:hideMark/>
          </w:tcPr>
          <w:p w14:paraId="11EF39FC" w14:textId="77777777" w:rsidR="00AA1F10" w:rsidRPr="009E6FF3" w:rsidRDefault="00AA1F10" w:rsidP="005E5CB4">
            <w:pPr>
              <w:pStyle w:val="BodyText"/>
              <w:spacing w:after="0" w:line="276" w:lineRule="auto"/>
              <w:jc w:val="center"/>
            </w:pPr>
            <w:r w:rsidRPr="009E6FF3">
              <w:t>December</w:t>
            </w:r>
          </w:p>
        </w:tc>
        <w:tc>
          <w:tcPr>
            <w:tcW w:w="794" w:type="dxa"/>
            <w:noWrap/>
            <w:hideMark/>
          </w:tcPr>
          <w:p w14:paraId="2190428A" w14:textId="77777777" w:rsidR="00AA1F10" w:rsidRPr="009E6FF3" w:rsidRDefault="00AA1F10" w:rsidP="005E5CB4">
            <w:pPr>
              <w:pStyle w:val="BodyText"/>
              <w:spacing w:after="0" w:line="276" w:lineRule="auto"/>
              <w:jc w:val="center"/>
            </w:pPr>
            <w:r w:rsidRPr="009E6FF3">
              <w:t>84</w:t>
            </w:r>
          </w:p>
        </w:tc>
      </w:tr>
      <w:tr w:rsidR="00AA1F10" w:rsidRPr="00190C80" w14:paraId="644A080B" w14:textId="77777777" w:rsidTr="005E5CB4">
        <w:trPr>
          <w:trHeight w:val="300"/>
        </w:trPr>
        <w:tc>
          <w:tcPr>
            <w:tcW w:w="923" w:type="dxa"/>
            <w:noWrap/>
            <w:hideMark/>
          </w:tcPr>
          <w:p w14:paraId="08A8D7BC" w14:textId="77777777" w:rsidR="00AA1F10" w:rsidRPr="009E6FF3" w:rsidRDefault="00AA1F10" w:rsidP="005E5CB4">
            <w:pPr>
              <w:pStyle w:val="BodyText"/>
              <w:spacing w:after="0" w:line="276" w:lineRule="auto"/>
              <w:jc w:val="center"/>
            </w:pPr>
            <w:r w:rsidRPr="009E6FF3">
              <w:t>January</w:t>
            </w:r>
          </w:p>
        </w:tc>
        <w:tc>
          <w:tcPr>
            <w:tcW w:w="794" w:type="dxa"/>
            <w:noWrap/>
            <w:hideMark/>
          </w:tcPr>
          <w:p w14:paraId="5068EC9C" w14:textId="77777777" w:rsidR="00AA1F10" w:rsidRPr="009E6FF3" w:rsidRDefault="00AA1F10" w:rsidP="005E5CB4">
            <w:pPr>
              <w:pStyle w:val="BodyText"/>
              <w:spacing w:after="0" w:line="276" w:lineRule="auto"/>
              <w:jc w:val="center"/>
            </w:pPr>
            <w:r w:rsidRPr="009E6FF3">
              <w:t>82</w:t>
            </w:r>
          </w:p>
        </w:tc>
      </w:tr>
      <w:tr w:rsidR="00AA1F10" w:rsidRPr="00190C80" w14:paraId="69EFB39B" w14:textId="77777777" w:rsidTr="005E5CB4">
        <w:trPr>
          <w:trHeight w:val="300"/>
        </w:trPr>
        <w:tc>
          <w:tcPr>
            <w:tcW w:w="923" w:type="dxa"/>
            <w:noWrap/>
            <w:hideMark/>
          </w:tcPr>
          <w:p w14:paraId="07237301" w14:textId="77777777" w:rsidR="00AA1F10" w:rsidRPr="009E6FF3" w:rsidRDefault="00AA1F10" w:rsidP="005E5CB4">
            <w:pPr>
              <w:pStyle w:val="BodyText"/>
              <w:spacing w:after="0" w:line="276" w:lineRule="auto"/>
              <w:jc w:val="center"/>
            </w:pPr>
            <w:r w:rsidRPr="009E6FF3">
              <w:t>February</w:t>
            </w:r>
          </w:p>
        </w:tc>
        <w:tc>
          <w:tcPr>
            <w:tcW w:w="794" w:type="dxa"/>
            <w:noWrap/>
            <w:hideMark/>
          </w:tcPr>
          <w:p w14:paraId="75FF9B24" w14:textId="77777777" w:rsidR="00AA1F10" w:rsidRPr="009E6FF3" w:rsidRDefault="00AA1F10" w:rsidP="005E5CB4">
            <w:pPr>
              <w:pStyle w:val="BodyText"/>
              <w:spacing w:after="0" w:line="276" w:lineRule="auto"/>
              <w:jc w:val="center"/>
            </w:pPr>
            <w:r w:rsidRPr="009E6FF3">
              <w:t>71</w:t>
            </w:r>
          </w:p>
        </w:tc>
      </w:tr>
      <w:tr w:rsidR="00AA1F10" w:rsidRPr="00190C80" w14:paraId="62EA02F6" w14:textId="77777777" w:rsidTr="005E5CB4">
        <w:trPr>
          <w:trHeight w:val="300"/>
        </w:trPr>
        <w:tc>
          <w:tcPr>
            <w:tcW w:w="923" w:type="dxa"/>
            <w:noWrap/>
          </w:tcPr>
          <w:p w14:paraId="2BCA2125" w14:textId="77777777" w:rsidR="00AA1F10" w:rsidRPr="009E6FF3" w:rsidRDefault="00AA1F10" w:rsidP="005E5CB4">
            <w:pPr>
              <w:pStyle w:val="BodyText"/>
              <w:spacing w:after="0" w:line="276" w:lineRule="auto"/>
              <w:jc w:val="center"/>
            </w:pPr>
            <w:r w:rsidRPr="009E6FF3">
              <w:t>March</w:t>
            </w:r>
          </w:p>
        </w:tc>
        <w:tc>
          <w:tcPr>
            <w:tcW w:w="794" w:type="dxa"/>
            <w:noWrap/>
          </w:tcPr>
          <w:p w14:paraId="04664822" w14:textId="77777777" w:rsidR="00AA1F10" w:rsidRPr="009E6FF3" w:rsidRDefault="00AA1F10" w:rsidP="005E5CB4">
            <w:pPr>
              <w:pStyle w:val="BodyText"/>
              <w:spacing w:after="0" w:line="276" w:lineRule="auto"/>
              <w:jc w:val="center"/>
            </w:pPr>
            <w:r w:rsidRPr="009E6FF3">
              <w:t>71</w:t>
            </w:r>
          </w:p>
        </w:tc>
      </w:tr>
      <w:tr w:rsidR="00AA1F10" w:rsidRPr="00190C80" w14:paraId="0D2FE7B4" w14:textId="77777777" w:rsidTr="005E5CB4">
        <w:trPr>
          <w:trHeight w:val="300"/>
        </w:trPr>
        <w:tc>
          <w:tcPr>
            <w:tcW w:w="923" w:type="dxa"/>
            <w:noWrap/>
          </w:tcPr>
          <w:p w14:paraId="46808390" w14:textId="77777777" w:rsidR="00AA1F10" w:rsidRPr="009E6FF3" w:rsidRDefault="00AA1F10" w:rsidP="005E5CB4">
            <w:pPr>
              <w:pStyle w:val="BodyText"/>
              <w:spacing w:after="0" w:line="276" w:lineRule="auto"/>
              <w:jc w:val="center"/>
            </w:pPr>
            <w:r w:rsidRPr="009E6FF3">
              <w:t>April</w:t>
            </w:r>
          </w:p>
        </w:tc>
        <w:tc>
          <w:tcPr>
            <w:tcW w:w="794" w:type="dxa"/>
            <w:noWrap/>
          </w:tcPr>
          <w:p w14:paraId="4B44103E" w14:textId="77777777" w:rsidR="00AA1F10" w:rsidRPr="009E6FF3" w:rsidRDefault="00AA1F10" w:rsidP="005E5CB4">
            <w:pPr>
              <w:pStyle w:val="BodyText"/>
              <w:spacing w:after="0" w:line="276" w:lineRule="auto"/>
              <w:jc w:val="center"/>
            </w:pPr>
            <w:r w:rsidRPr="009E6FF3">
              <w:t>73</w:t>
            </w:r>
          </w:p>
        </w:tc>
      </w:tr>
      <w:tr w:rsidR="00AA1F10" w:rsidRPr="00190C80" w14:paraId="264BB727" w14:textId="77777777" w:rsidTr="005E5CB4">
        <w:trPr>
          <w:trHeight w:val="300"/>
        </w:trPr>
        <w:tc>
          <w:tcPr>
            <w:tcW w:w="923" w:type="dxa"/>
            <w:noWrap/>
          </w:tcPr>
          <w:p w14:paraId="01D89B51" w14:textId="77777777" w:rsidR="00AA1F10" w:rsidRPr="009E6FF3" w:rsidRDefault="00AA1F10" w:rsidP="005E5CB4">
            <w:pPr>
              <w:pStyle w:val="BodyText"/>
              <w:spacing w:after="0" w:line="276" w:lineRule="auto"/>
              <w:jc w:val="center"/>
            </w:pPr>
            <w:r w:rsidRPr="009E6FF3">
              <w:t>May</w:t>
            </w:r>
          </w:p>
        </w:tc>
        <w:tc>
          <w:tcPr>
            <w:tcW w:w="794" w:type="dxa"/>
            <w:noWrap/>
          </w:tcPr>
          <w:p w14:paraId="6DCB2B5E" w14:textId="77777777" w:rsidR="00AA1F10" w:rsidRPr="009E6FF3" w:rsidRDefault="00AA1F10" w:rsidP="005E5CB4">
            <w:pPr>
              <w:pStyle w:val="BodyText"/>
              <w:spacing w:after="0" w:line="276" w:lineRule="auto"/>
              <w:jc w:val="center"/>
            </w:pPr>
            <w:r w:rsidRPr="009E6FF3">
              <w:t>73</w:t>
            </w:r>
          </w:p>
        </w:tc>
      </w:tr>
    </w:tbl>
    <w:p w14:paraId="41BE2344" w14:textId="77777777" w:rsidR="00AA1F10" w:rsidRPr="0067741F" w:rsidRDefault="00AA1F10" w:rsidP="00AA1F10"/>
    <w:p w14:paraId="365BC836" w14:textId="77777777" w:rsidR="00AA1F10" w:rsidRDefault="00AA1F10" w:rsidP="00AA1F10">
      <w:pPr>
        <w:pStyle w:val="BodyText"/>
      </w:pPr>
      <w:r>
        <w:t>During SMSCG operations, the net flow</w:t>
      </w:r>
      <w:r w:rsidRPr="008366C7">
        <w:t xml:space="preserve"> </w:t>
      </w:r>
      <w:r>
        <w:t>from east to west through the Montezuma Slough generally increases by 2,200 to 2,800 CFS, and salinity is reduced in Suisun Marsh channels. Concurrently, salinity may increase in the Sacramento River unless Delta outflow is increased to counteract the effect of the SMSCG operations. Through iterative testing with the CalSim II and DSM2 models, it was determined that Delta outflow had to be increased by 500 CFS in order to balance the potential effect of SMSCG operations on the X2 position when the X2 position is estimated to be greater than 76 km.</w:t>
      </w:r>
    </w:p>
    <w:p w14:paraId="7A1C97A8" w14:textId="4271A135" w:rsidR="00AA1F10" w:rsidRDefault="00AA1F10" w:rsidP="00AA1F10">
      <w:pPr>
        <w:pStyle w:val="BodyText"/>
      </w:pPr>
      <w:r w:rsidRPr="008366C7">
        <w:t>The CalSim II model</w:t>
      </w:r>
      <w:r>
        <w:t xml:space="preserve"> used for the </w:t>
      </w:r>
      <w:r w:rsidR="00950D77">
        <w:t>Benchmark</w:t>
      </w:r>
      <w:r w:rsidR="001B2603" w:rsidRPr="001B2603">
        <w:t xml:space="preserve"> 011721 HIST</w:t>
      </w:r>
      <w:r w:rsidR="00B76CC1">
        <w:t xml:space="preserve"> </w:t>
      </w:r>
      <w:r w:rsidRPr="008366C7">
        <w:t>was revised to include an adjustment to Arti</w:t>
      </w:r>
      <w:r>
        <w:t>fi</w:t>
      </w:r>
      <w:r w:rsidRPr="008366C7">
        <w:t xml:space="preserve">cial Neural Network (ANN) flow-salinity calculations when the </w:t>
      </w:r>
      <w:r>
        <w:t>SMSCG</w:t>
      </w:r>
      <w:r w:rsidRPr="00764089">
        <w:t xml:space="preserve"> </w:t>
      </w:r>
      <w:r w:rsidRPr="008366C7">
        <w:t>are being operated.</w:t>
      </w:r>
      <w:r>
        <w:t xml:space="preserve"> In the ANN calculations for X2 position, the input value for Delta outflow for the ANN was reduced by 500 CFS for months in which SMSCG was assumed to operate.</w:t>
      </w:r>
      <w:r w:rsidRPr="00EA4A5C">
        <w:t xml:space="preserve"> </w:t>
      </w:r>
      <w:r>
        <w:t xml:space="preserve">In the ANN calculations for EC at the compliance locations used in CalSim II, the input value for net DICU for the ANN was increased by 500 CFS for months in which SMSCG was assumed to operate. This adjustment allows the ANN calculations in the CalSim II model to recognize the potential salinity effect of the SMSCG operations when determining reservoir releases for maintaining Delta outflow and compliance with SWRCB D-1641 and other flow-salinity related model functions. When X2 or salinity conditions control water operations, these adjustments result in an increase in Delta outflow for a given salinity condition. </w:t>
      </w:r>
    </w:p>
    <w:p w14:paraId="35F2F248" w14:textId="77777777" w:rsidR="00AA1F10" w:rsidRDefault="00AA1F10" w:rsidP="00164F3B">
      <w:pPr>
        <w:pStyle w:val="BodyText"/>
        <w:keepNext w:val="0"/>
      </w:pPr>
      <w:r>
        <w:t>Reclamation considers this revision to the CalSim II model as an approximate method for use in evaluating changes in water operations due to changes in SMSCG operations. A more complete approach would be the use of ANN models that consider SMSCG operations directly as part of the flow-salinity calculations used in CalSim II.</w:t>
      </w:r>
    </w:p>
    <w:p w14:paraId="44457D83" w14:textId="40C41A3B" w:rsidR="00AA1F10" w:rsidRPr="00461CB2" w:rsidRDefault="00AA1F10" w:rsidP="00164F3B">
      <w:pPr>
        <w:pStyle w:val="Heading6"/>
        <w:keepNext/>
        <w:rPr>
          <w:b/>
          <w:bCs w:val="0"/>
        </w:rPr>
      </w:pPr>
      <w:r w:rsidRPr="00461CB2">
        <w:rPr>
          <w:b/>
          <w:bCs w:val="0"/>
        </w:rPr>
        <w:t>2019 BiOps</w:t>
      </w:r>
    </w:p>
    <w:p w14:paraId="38ECDDC3" w14:textId="77777777" w:rsidR="00AA1F10" w:rsidRPr="0067741F" w:rsidRDefault="00AA1F10" w:rsidP="00AA1F10">
      <w:pPr>
        <w:pStyle w:val="BodyText"/>
      </w:pPr>
      <w:r w:rsidRPr="006B6884">
        <w:t xml:space="preserve">The </w:t>
      </w:r>
      <w:r>
        <w:t>Baseline</w:t>
      </w:r>
      <w:r w:rsidRPr="006B6884">
        <w:t xml:space="preserve"> consider</w:t>
      </w:r>
      <w:r>
        <w:t>s</w:t>
      </w:r>
      <w:r w:rsidRPr="006B6884">
        <w:t xml:space="preserve"> the effect of SMSCG operations</w:t>
      </w:r>
      <w:r w:rsidRPr="001207BB">
        <w:t xml:space="preserve">, when SMSCG is used to meet </w:t>
      </w:r>
      <w:r w:rsidRPr="00CE656E">
        <w:t xml:space="preserve">SWRCB D-1641 water quality standards in Montezuma Slough, and when SMSCG is used to achieve the </w:t>
      </w:r>
      <w:r w:rsidRPr="00CE656E">
        <w:lastRenderedPageBreak/>
        <w:t xml:space="preserve">goals of the </w:t>
      </w:r>
      <w:r w:rsidRPr="00EF4306">
        <w:t>Delta Smelt Habitat Action Plan. The revisions included the adjustment to Arti</w:t>
      </w:r>
      <w:r>
        <w:t>fi</w:t>
      </w:r>
      <w:r w:rsidRPr="00EF4306">
        <w:t xml:space="preserve">cial Neural Network (ANN) flow-salinity calculations previously discussed. </w:t>
      </w:r>
    </w:p>
    <w:p w14:paraId="72044D24" w14:textId="324E9A91" w:rsidR="00AA1F10" w:rsidRPr="00C65A52" w:rsidRDefault="00AA1F10" w:rsidP="00AA1F10">
      <w:pPr>
        <w:pStyle w:val="BodyText"/>
      </w:pPr>
      <w:r w:rsidRPr="009A251E">
        <w:t>The SMSCG operations to achieve the goals of the Delta Smelt Habitat Action Plan, for CalSim II modeling purposes, are assumed as follows: for the below normal, above normal, and wet year types, during the months June through September, if the X2 position is estimated to be greater than 76 km and 60 days of SMSCG operations have not occurred since June 1</w:t>
      </w:r>
      <w:r w:rsidR="004B03E1">
        <w:t>,</w:t>
      </w:r>
      <w:r w:rsidRPr="009A251E">
        <w:t xml:space="preserve"> the SMSCG are assumed to operate for the month. These assumptions represent the maximum extent of the SMSCG operations in support of the Delta Smelt Habitat Action.</w:t>
      </w:r>
    </w:p>
    <w:p w14:paraId="2A104CF9" w14:textId="3E2F18A2" w:rsidR="00AA1F10" w:rsidRPr="00461CB2" w:rsidRDefault="00AA1F10" w:rsidP="00461CB2">
      <w:pPr>
        <w:pStyle w:val="Heading6"/>
        <w:rPr>
          <w:b/>
          <w:bCs w:val="0"/>
        </w:rPr>
      </w:pPr>
      <w:r w:rsidRPr="00461CB2">
        <w:rPr>
          <w:b/>
          <w:bCs w:val="0"/>
        </w:rPr>
        <w:t>CDFW ITP</w:t>
      </w:r>
    </w:p>
    <w:p w14:paraId="4E65BFB4" w14:textId="415F0D89" w:rsidR="00AA1F10" w:rsidRPr="009E6FF3" w:rsidRDefault="00AA1F10" w:rsidP="00AB0A54">
      <w:pPr>
        <w:pStyle w:val="BodyText"/>
        <w:keepNext w:val="0"/>
      </w:pPr>
      <w:r w:rsidRPr="009E6FF3">
        <w:t>Based on section 9.3.1 of the ITP, a trigger is added for SMSCG operations for 30 days in Dry water years following either a Wet, Above Normal, or Below Normal water year when the carryover water from the additional 100 TAF of Delta Outflow (</w:t>
      </w:r>
      <w:r w:rsidR="007C7E77">
        <w:t xml:space="preserve">Section 19.9 of the </w:t>
      </w:r>
      <w:r w:rsidRPr="009E6FF3">
        <w:t xml:space="preserve">ITP) described in the Delta Smelt Habitat Action Plan is available for use. </w:t>
      </w:r>
    </w:p>
    <w:p w14:paraId="30782EAA" w14:textId="77777777" w:rsidR="00AA1F10" w:rsidRPr="00697906" w:rsidRDefault="00AA1F10" w:rsidP="00AB0A54">
      <w:pPr>
        <w:pStyle w:val="Heading5"/>
        <w:keepNext/>
      </w:pPr>
      <w:r w:rsidRPr="003D0263">
        <w:t>Allocation Decisions</w:t>
      </w:r>
      <w:r w:rsidRPr="00697906">
        <w:t xml:space="preserve"> </w:t>
      </w:r>
    </w:p>
    <w:p w14:paraId="0DA2F42C" w14:textId="77777777" w:rsidR="00AA1F10" w:rsidRPr="00697906" w:rsidRDefault="00AA1F10" w:rsidP="00AA1F10">
      <w:pPr>
        <w:pStyle w:val="BodyText"/>
      </w:pPr>
      <w:r w:rsidRPr="00697906">
        <w:t>CalSim II includes allocation logic for determining deliveries to north-of-Delta and south-of-Delta CVP and SWP contractors</w:t>
      </w:r>
      <w:r>
        <w:t xml:space="preserve">. </w:t>
      </w:r>
      <w:r w:rsidRPr="00697906">
        <w:t>The delivery logic uses runoff forecast information, which incorporates uncertainty in the hydrology, and standardized rule curves (i.e. Water Supply Index versus Demand Index Curve)</w:t>
      </w:r>
      <w:r>
        <w:t xml:space="preserve">. </w:t>
      </w:r>
      <w:r w:rsidRPr="00697906">
        <w:t>The rule curves relate forecasted water supplies to deliverable “demand,” and then use deliverable “demand” to assign subsequent delivery levels to estimate the water available for delivery and carryover storage</w:t>
      </w:r>
      <w:r>
        <w:t xml:space="preserve">. </w:t>
      </w:r>
      <w:r w:rsidRPr="00697906">
        <w:t>Updates of delivery levels occur monthly from January 1 through May 1 for the SWP and March 1 through May 1 for the CVP as runoff forecasts become more certain</w:t>
      </w:r>
      <w:r>
        <w:t xml:space="preserve">. </w:t>
      </w:r>
      <w:r w:rsidRPr="00697906">
        <w:t>The south-of-Delta SWP delivery is determined based on water supply parameters and operational constraints</w:t>
      </w:r>
      <w:r>
        <w:t xml:space="preserve">. </w:t>
      </w:r>
      <w:r w:rsidRPr="00697906">
        <w:t>The CVP system wide delivery and south-of-Delta delivery are</w:t>
      </w:r>
      <w:r w:rsidRPr="00697906">
        <w:rPr>
          <w:rFonts w:eastAsiaTheme="minorHAnsi"/>
          <w:szCs w:val="24"/>
        </w:rPr>
        <w:t xml:space="preserve"> </w:t>
      </w:r>
      <w:r w:rsidRPr="00697906">
        <w:t>determined similarly upon water supply parameters and operational constraints with specific consideration for export constraints</w:t>
      </w:r>
      <w:r>
        <w:t xml:space="preserve"> and reservoir storage levels</w:t>
      </w:r>
      <w:r w:rsidRPr="00697906">
        <w:t>.</w:t>
      </w:r>
      <w:r>
        <w:t xml:space="preserve"> The CVP south-of-Delta allocation may be increased through July if storage conditions in the Federal position of San Luis Reservoir are high enough to support an increase.</w:t>
      </w:r>
      <w:r w:rsidRPr="00697906">
        <w:t xml:space="preserve"> </w:t>
      </w:r>
    </w:p>
    <w:p w14:paraId="3F7DE93E" w14:textId="77777777" w:rsidR="00AA1F10" w:rsidRPr="00697906" w:rsidRDefault="00AA1F10" w:rsidP="00CD2B13">
      <w:pPr>
        <w:pStyle w:val="Heading5"/>
      </w:pPr>
      <w:r w:rsidRPr="00697906">
        <w:t>San Luis Operations</w:t>
      </w:r>
    </w:p>
    <w:p w14:paraId="5C69BE46" w14:textId="7EB01A9C" w:rsidR="00AA1F10" w:rsidRPr="00697906" w:rsidRDefault="00AA1F10" w:rsidP="007C7E77">
      <w:pPr>
        <w:pStyle w:val="BodyText"/>
        <w:keepNext w:val="0"/>
      </w:pPr>
      <w:r w:rsidRPr="00697906">
        <w:t>CalSim II sets targets for San Luis storage each month that are dependent on the current South-of-Delta allocation and upstream reservoir storage</w:t>
      </w:r>
      <w:r>
        <w:t xml:space="preserve">. </w:t>
      </w:r>
      <w:r w:rsidRPr="00697906">
        <w:t>When upstream reservoir storage is high, allocations and San Luis fill targets are increased</w:t>
      </w:r>
      <w:r>
        <w:t xml:space="preserve">. </w:t>
      </w:r>
      <w:r w:rsidRPr="00697906">
        <w:t>During a prolonged drought when upstream storage is low, allocations and fill targets are correspondingly low</w:t>
      </w:r>
      <w:r>
        <w:t xml:space="preserve">. </w:t>
      </w:r>
      <w:r w:rsidRPr="00697906">
        <w:t xml:space="preserve">For the </w:t>
      </w:r>
      <w:r w:rsidR="00950D77">
        <w:t>Benchmark</w:t>
      </w:r>
      <w:r w:rsidR="001B2603" w:rsidRPr="001B2603">
        <w:t xml:space="preserve"> 011721 HIST</w:t>
      </w:r>
      <w:r w:rsidR="00B76CC1">
        <w:t xml:space="preserve"> </w:t>
      </w:r>
      <w:r w:rsidRPr="00697906">
        <w:t xml:space="preserve">simulation, the San Luis rule curve is managed to minimize situations in which shortages may occur due to lack of storage or exports. </w:t>
      </w:r>
    </w:p>
    <w:p w14:paraId="5FB55998" w14:textId="77777777" w:rsidR="00AA1F10" w:rsidRPr="00697906" w:rsidRDefault="00AA1F10" w:rsidP="007C7E77">
      <w:pPr>
        <w:pStyle w:val="Heading5"/>
        <w:keepNext/>
      </w:pPr>
      <w:r w:rsidRPr="00697906">
        <w:t>New Melones Operations</w:t>
      </w:r>
    </w:p>
    <w:p w14:paraId="4B3B1813" w14:textId="77777777" w:rsidR="00AA1F10" w:rsidRPr="00697906" w:rsidRDefault="00AA1F10" w:rsidP="008415AB">
      <w:pPr>
        <w:pStyle w:val="BodyText"/>
        <w:keepNext w:val="0"/>
      </w:pPr>
      <w:r w:rsidRPr="00697906">
        <w:t xml:space="preserve">In addition to flood control, New Melones is operated for four different purposes: </w:t>
      </w:r>
      <w:r>
        <w:t>minimum</w:t>
      </w:r>
      <w:r w:rsidRPr="00697906">
        <w:t xml:space="preserve"> flows, water quality, Bay-Delta flow, and water supply. </w:t>
      </w:r>
    </w:p>
    <w:p w14:paraId="35177468" w14:textId="77777777" w:rsidR="00AA1F10" w:rsidRPr="00CD2B13" w:rsidRDefault="00AA1F10" w:rsidP="008415AB">
      <w:pPr>
        <w:pStyle w:val="Heading6"/>
        <w:keepNext/>
        <w:rPr>
          <w:b/>
          <w:bCs w:val="0"/>
        </w:rPr>
      </w:pPr>
      <w:r w:rsidRPr="00CD2B13">
        <w:rPr>
          <w:b/>
          <w:bCs w:val="0"/>
        </w:rPr>
        <w:lastRenderedPageBreak/>
        <w:t>Minimum Flows</w:t>
      </w:r>
    </w:p>
    <w:p w14:paraId="5FD99C03" w14:textId="352CA8FE" w:rsidR="00AA1F10" w:rsidRPr="00697906" w:rsidRDefault="00AA1F10" w:rsidP="0098394B">
      <w:pPr>
        <w:pStyle w:val="BodyText"/>
        <w:keepNext w:val="0"/>
      </w:pPr>
      <w:r w:rsidRPr="00697906">
        <w:t>These flows are patterned to provide fall attraction flows in October and outmigration pulse flows in spring months (April 15 through May 15 in all years), and total up to 98.9 TAF to 483.7 TAF annually depending on the hydrological conditions based on the San Joaquin 60-20-20 Index (</w:t>
      </w:r>
      <w:r>
        <w:rPr>
          <w:highlight w:val="yellow"/>
        </w:rPr>
        <w:fldChar w:fldCharType="begin"/>
      </w:r>
      <w:r>
        <w:instrText xml:space="preserve"> REF _Ref63171139 \h </w:instrText>
      </w:r>
      <w:r>
        <w:rPr>
          <w:highlight w:val="yellow"/>
        </w:rPr>
      </w:r>
      <w:r>
        <w:rPr>
          <w:highlight w:val="yellow"/>
        </w:rPr>
        <w:fldChar w:fldCharType="separate"/>
      </w:r>
      <w:r>
        <w:t xml:space="preserve">Table </w:t>
      </w:r>
      <w:r w:rsidR="0060279E">
        <w:t>1</w:t>
      </w:r>
      <w:r w:rsidR="00207152">
        <w:t>-</w:t>
      </w:r>
      <w:r>
        <w:rPr>
          <w:noProof/>
        </w:rPr>
        <w:t>7</w:t>
      </w:r>
      <w:r>
        <w:rPr>
          <w:highlight w:val="yellow"/>
        </w:rPr>
        <w:fldChar w:fldCharType="end"/>
      </w:r>
      <w:r>
        <w:t xml:space="preserve"> through </w:t>
      </w:r>
      <w:r>
        <w:rPr>
          <w:highlight w:val="yellow"/>
        </w:rPr>
        <w:fldChar w:fldCharType="begin"/>
      </w:r>
      <w:r>
        <w:instrText xml:space="preserve"> REF _Ref63171151 \h </w:instrText>
      </w:r>
      <w:r>
        <w:rPr>
          <w:highlight w:val="yellow"/>
        </w:rPr>
      </w:r>
      <w:r>
        <w:rPr>
          <w:highlight w:val="yellow"/>
        </w:rPr>
        <w:fldChar w:fldCharType="separate"/>
      </w:r>
      <w:r>
        <w:t xml:space="preserve">Table </w:t>
      </w:r>
      <w:r w:rsidR="0060279E">
        <w:t>1</w:t>
      </w:r>
      <w:r w:rsidR="00207152">
        <w:t>-</w:t>
      </w:r>
      <w:r>
        <w:rPr>
          <w:noProof/>
        </w:rPr>
        <w:t>9</w:t>
      </w:r>
      <w:r>
        <w:rPr>
          <w:highlight w:val="yellow"/>
        </w:rPr>
        <w:fldChar w:fldCharType="end"/>
      </w:r>
      <w:r w:rsidRPr="00697906">
        <w:t>).</w:t>
      </w:r>
      <w:r>
        <w:t xml:space="preserve"> The 60-20-20 Index used in the modeling implements a 75% exceedance forecasted water year type for the months of February through April. The final water year type is used for May thorough January.</w:t>
      </w:r>
    </w:p>
    <w:p w14:paraId="3A42FDF3" w14:textId="4A4AC371" w:rsidR="00AA1F10" w:rsidRPr="00DB2AC5" w:rsidRDefault="00AA1F10" w:rsidP="0098394B">
      <w:pPr>
        <w:pStyle w:val="Caption"/>
        <w:keepNext/>
      </w:pPr>
      <w:r w:rsidRPr="00DB2AC5">
        <w:t xml:space="preserve"> </w:t>
      </w:r>
      <w:bookmarkStart w:id="86" w:name="_Ref63171139"/>
      <w:r>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7</w:t>
      </w:r>
      <w:r w:rsidR="001917C5">
        <w:rPr>
          <w:noProof/>
        </w:rPr>
        <w:fldChar w:fldCharType="end"/>
      </w:r>
      <w:bookmarkEnd w:id="86"/>
      <w:r>
        <w:t xml:space="preserve">. Stanislaus </w:t>
      </w:r>
      <w:r w:rsidRPr="008524E5">
        <w:t>Annual Flow Allocation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AA1F10" w:rsidRPr="007F17CA" w14:paraId="7D1905D5" w14:textId="77777777" w:rsidTr="005E5CB4">
        <w:tc>
          <w:tcPr>
            <w:tcW w:w="4675" w:type="dxa"/>
          </w:tcPr>
          <w:p w14:paraId="37152B78" w14:textId="77777777" w:rsidR="00AA1F10" w:rsidRPr="007F17CA" w:rsidRDefault="00AA1F10" w:rsidP="005E5CB4">
            <w:pPr>
              <w:pStyle w:val="TableText"/>
              <w:rPr>
                <w:b/>
              </w:rPr>
            </w:pPr>
            <w:r w:rsidRPr="007F17CA">
              <w:rPr>
                <w:b/>
              </w:rPr>
              <w:t>60-20-20 Index</w:t>
            </w:r>
          </w:p>
        </w:tc>
        <w:tc>
          <w:tcPr>
            <w:tcW w:w="4675" w:type="dxa"/>
          </w:tcPr>
          <w:p w14:paraId="42316C6A" w14:textId="77777777" w:rsidR="00AA1F10" w:rsidRPr="007F17CA" w:rsidRDefault="00AA1F10" w:rsidP="005E5CB4">
            <w:pPr>
              <w:pStyle w:val="TableText"/>
              <w:rPr>
                <w:b/>
              </w:rPr>
            </w:pPr>
            <w:r>
              <w:rPr>
                <w:b/>
              </w:rPr>
              <w:t>Minimum Flow Allocation</w:t>
            </w:r>
            <w:r w:rsidRPr="007F17CA">
              <w:rPr>
                <w:b/>
              </w:rPr>
              <w:t xml:space="preserve"> (TAF)</w:t>
            </w:r>
          </w:p>
        </w:tc>
      </w:tr>
      <w:tr w:rsidR="00AA1F10" w:rsidRPr="00AD1F23" w14:paraId="78B8C193" w14:textId="77777777" w:rsidTr="005E5CB4">
        <w:tc>
          <w:tcPr>
            <w:tcW w:w="4675" w:type="dxa"/>
          </w:tcPr>
          <w:p w14:paraId="4401A8BA" w14:textId="77777777" w:rsidR="00AA1F10" w:rsidRPr="00AD1F23" w:rsidRDefault="00AA1F10" w:rsidP="005E5CB4">
            <w:pPr>
              <w:pStyle w:val="TableText"/>
            </w:pPr>
            <w:r w:rsidRPr="00AD1F23">
              <w:t>Critical</w:t>
            </w:r>
          </w:p>
        </w:tc>
        <w:tc>
          <w:tcPr>
            <w:tcW w:w="4675" w:type="dxa"/>
          </w:tcPr>
          <w:p w14:paraId="0EB2B43A" w14:textId="77777777" w:rsidR="00AA1F10" w:rsidRPr="00AD1F23" w:rsidRDefault="00AA1F10" w:rsidP="005E5CB4">
            <w:pPr>
              <w:pStyle w:val="TableText"/>
            </w:pPr>
            <w:r w:rsidRPr="00AD1F23">
              <w:t>185.3</w:t>
            </w:r>
          </w:p>
        </w:tc>
      </w:tr>
      <w:tr w:rsidR="00AA1F10" w:rsidRPr="00AD1F23" w14:paraId="37244359" w14:textId="77777777" w:rsidTr="005E5CB4">
        <w:tc>
          <w:tcPr>
            <w:tcW w:w="4675" w:type="dxa"/>
          </w:tcPr>
          <w:p w14:paraId="62E7208F" w14:textId="77777777" w:rsidR="00AA1F10" w:rsidRPr="00AD1F23" w:rsidRDefault="00AA1F10" w:rsidP="005E5CB4">
            <w:pPr>
              <w:pStyle w:val="TableText"/>
            </w:pPr>
            <w:r w:rsidRPr="00AD1F23">
              <w:t>Dry</w:t>
            </w:r>
          </w:p>
        </w:tc>
        <w:tc>
          <w:tcPr>
            <w:tcW w:w="4675" w:type="dxa"/>
          </w:tcPr>
          <w:p w14:paraId="57D8E70A" w14:textId="77777777" w:rsidR="00AA1F10" w:rsidRPr="00AD1F23" w:rsidRDefault="00AA1F10" w:rsidP="005E5CB4">
            <w:pPr>
              <w:pStyle w:val="TableText"/>
            </w:pPr>
            <w:r w:rsidRPr="00AD1F23">
              <w:t>234.1</w:t>
            </w:r>
          </w:p>
        </w:tc>
      </w:tr>
      <w:tr w:rsidR="00AA1F10" w:rsidRPr="00AD1F23" w14:paraId="29A366EC" w14:textId="77777777" w:rsidTr="005E5CB4">
        <w:tc>
          <w:tcPr>
            <w:tcW w:w="4675" w:type="dxa"/>
          </w:tcPr>
          <w:p w14:paraId="05388993" w14:textId="77777777" w:rsidR="00AA1F10" w:rsidRPr="00AD1F23" w:rsidRDefault="00AA1F10" w:rsidP="005E5CB4">
            <w:pPr>
              <w:pStyle w:val="TableText"/>
            </w:pPr>
            <w:r w:rsidRPr="00AD1F23">
              <w:t>Below Normal</w:t>
            </w:r>
          </w:p>
        </w:tc>
        <w:tc>
          <w:tcPr>
            <w:tcW w:w="4675" w:type="dxa"/>
          </w:tcPr>
          <w:p w14:paraId="65027084" w14:textId="77777777" w:rsidR="00AA1F10" w:rsidRPr="00AD1F23" w:rsidRDefault="00AA1F10" w:rsidP="005E5CB4">
            <w:pPr>
              <w:pStyle w:val="TableText"/>
            </w:pPr>
            <w:r w:rsidRPr="00AD1F23">
              <w:t>346.7</w:t>
            </w:r>
          </w:p>
        </w:tc>
      </w:tr>
      <w:tr w:rsidR="00AA1F10" w:rsidRPr="00AD1F23" w14:paraId="4EA5C5D2" w14:textId="77777777" w:rsidTr="005E5CB4">
        <w:tc>
          <w:tcPr>
            <w:tcW w:w="4675" w:type="dxa"/>
          </w:tcPr>
          <w:p w14:paraId="7CB045F2" w14:textId="77777777" w:rsidR="00AA1F10" w:rsidRPr="00AD1F23" w:rsidRDefault="00AA1F10" w:rsidP="005E5CB4">
            <w:pPr>
              <w:pStyle w:val="TableText"/>
            </w:pPr>
            <w:r w:rsidRPr="00AD1F23">
              <w:t>Above Normal</w:t>
            </w:r>
          </w:p>
        </w:tc>
        <w:tc>
          <w:tcPr>
            <w:tcW w:w="4675" w:type="dxa"/>
          </w:tcPr>
          <w:p w14:paraId="1178496E" w14:textId="77777777" w:rsidR="00AA1F10" w:rsidRPr="00AD1F23" w:rsidRDefault="00AA1F10" w:rsidP="005E5CB4">
            <w:pPr>
              <w:pStyle w:val="TableText"/>
            </w:pPr>
            <w:r w:rsidRPr="00AD1F23">
              <w:t>346.7</w:t>
            </w:r>
          </w:p>
        </w:tc>
      </w:tr>
      <w:tr w:rsidR="00AA1F10" w:rsidRPr="00AD1F23" w14:paraId="49D9F0D4" w14:textId="77777777" w:rsidTr="005E5CB4">
        <w:tc>
          <w:tcPr>
            <w:tcW w:w="4675" w:type="dxa"/>
          </w:tcPr>
          <w:p w14:paraId="48A2E05B" w14:textId="77777777" w:rsidR="00AA1F10" w:rsidRPr="00AD1F23" w:rsidRDefault="00AA1F10" w:rsidP="005E5CB4">
            <w:pPr>
              <w:pStyle w:val="TableText"/>
            </w:pPr>
            <w:r w:rsidRPr="00AD1F23">
              <w:t>Wet</w:t>
            </w:r>
          </w:p>
        </w:tc>
        <w:tc>
          <w:tcPr>
            <w:tcW w:w="4675" w:type="dxa"/>
          </w:tcPr>
          <w:p w14:paraId="2B85DF72" w14:textId="77777777" w:rsidR="00AA1F10" w:rsidRPr="00AD1F23" w:rsidRDefault="00AA1F10" w:rsidP="005E5CB4">
            <w:pPr>
              <w:pStyle w:val="TableText"/>
            </w:pPr>
            <w:r w:rsidRPr="00AD1F23">
              <w:t>483.7</w:t>
            </w:r>
          </w:p>
        </w:tc>
      </w:tr>
    </w:tbl>
    <w:p w14:paraId="48F8DBBE" w14:textId="77777777" w:rsidR="00AA1F10" w:rsidRDefault="00AA1F10" w:rsidP="00AA1F10"/>
    <w:p w14:paraId="0E12E2FD" w14:textId="36180A7C" w:rsidR="00AA1F10" w:rsidRDefault="00AA1F10" w:rsidP="00AA1F10">
      <w:pPr>
        <w:pStyle w:val="Caption"/>
      </w:pPr>
      <w:r>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8</w:t>
      </w:r>
      <w:r w:rsidR="001917C5">
        <w:rPr>
          <w:noProof/>
        </w:rPr>
        <w:fldChar w:fldCharType="end"/>
      </w:r>
      <w:r>
        <w:t xml:space="preserve">. </w:t>
      </w:r>
      <w:r w:rsidRPr="00C67CBC">
        <w:t>Monthly “Base” Shaping of Minimum Flows Based on the Annual Volume</w:t>
      </w:r>
    </w:p>
    <w:tbl>
      <w:tblPr>
        <w:tblStyle w:val="TableGrid5"/>
        <w:tblW w:w="0" w:type="auto"/>
        <w:tblCellMar>
          <w:left w:w="58" w:type="dxa"/>
          <w:right w:w="58" w:type="dxa"/>
        </w:tblCellMar>
        <w:tblLook w:val="04A0" w:firstRow="1" w:lastRow="0" w:firstColumn="1" w:lastColumn="0" w:noHBand="0" w:noVBand="1"/>
      </w:tblPr>
      <w:tblGrid>
        <w:gridCol w:w="987"/>
        <w:gridCol w:w="690"/>
        <w:gridCol w:w="654"/>
        <w:gridCol w:w="614"/>
        <w:gridCol w:w="688"/>
        <w:gridCol w:w="688"/>
        <w:gridCol w:w="688"/>
        <w:gridCol w:w="867"/>
        <w:gridCol w:w="867"/>
        <w:gridCol w:w="688"/>
        <w:gridCol w:w="579"/>
        <w:gridCol w:w="650"/>
        <w:gridCol w:w="690"/>
      </w:tblGrid>
      <w:tr w:rsidR="00AA1F10" w:rsidRPr="007F17CA" w14:paraId="139FFFF6" w14:textId="77777777" w:rsidTr="005E5CB4">
        <w:tc>
          <w:tcPr>
            <w:tcW w:w="784" w:type="dxa"/>
            <w:vMerge w:val="restart"/>
            <w:vAlign w:val="bottom"/>
          </w:tcPr>
          <w:p w14:paraId="059ACB05" w14:textId="77777777" w:rsidR="00AA1F10" w:rsidRPr="007F17CA" w:rsidRDefault="00AA1F10" w:rsidP="005E5CB4">
            <w:pPr>
              <w:pStyle w:val="TableText"/>
              <w:rPr>
                <w:b/>
              </w:rPr>
            </w:pPr>
            <w:r w:rsidRPr="007F17CA">
              <w:rPr>
                <w:b/>
              </w:rPr>
              <w:t>Annual Fishery Flow Volume (TAF)</w:t>
            </w:r>
          </w:p>
        </w:tc>
        <w:tc>
          <w:tcPr>
            <w:tcW w:w="8566" w:type="dxa"/>
            <w:gridSpan w:val="12"/>
            <w:vAlign w:val="bottom"/>
          </w:tcPr>
          <w:p w14:paraId="1E6B40C1" w14:textId="77777777" w:rsidR="00AA1F10" w:rsidRPr="007F17CA" w:rsidRDefault="00AA1F10" w:rsidP="005E5CB4">
            <w:pPr>
              <w:pStyle w:val="TableText"/>
              <w:jc w:val="center"/>
              <w:rPr>
                <w:b/>
              </w:rPr>
            </w:pPr>
            <w:r w:rsidRPr="007F17CA">
              <w:rPr>
                <w:b/>
              </w:rPr>
              <w:t>Monthly Base Flows (cfs)</w:t>
            </w:r>
          </w:p>
        </w:tc>
      </w:tr>
      <w:tr w:rsidR="00AA1F10" w:rsidRPr="007F17CA" w14:paraId="1E323F9D" w14:textId="77777777" w:rsidTr="005E5CB4">
        <w:tc>
          <w:tcPr>
            <w:tcW w:w="784" w:type="dxa"/>
            <w:vMerge/>
            <w:vAlign w:val="bottom"/>
          </w:tcPr>
          <w:p w14:paraId="7C2B3DA8" w14:textId="77777777" w:rsidR="00AA1F10" w:rsidRPr="007F17CA" w:rsidRDefault="00AA1F10" w:rsidP="005E5CB4">
            <w:pPr>
              <w:pStyle w:val="TableText"/>
              <w:rPr>
                <w:b/>
              </w:rPr>
            </w:pPr>
          </w:p>
        </w:tc>
        <w:tc>
          <w:tcPr>
            <w:tcW w:w="713" w:type="dxa"/>
            <w:vAlign w:val="bottom"/>
          </w:tcPr>
          <w:p w14:paraId="21E94633" w14:textId="77777777" w:rsidR="00AA1F10" w:rsidRPr="007F17CA" w:rsidRDefault="00AA1F10" w:rsidP="005E5CB4">
            <w:pPr>
              <w:pStyle w:val="TableText"/>
              <w:rPr>
                <w:b/>
              </w:rPr>
            </w:pPr>
            <w:r w:rsidRPr="007F17CA">
              <w:rPr>
                <w:b/>
              </w:rPr>
              <w:t>Oct.</w:t>
            </w:r>
          </w:p>
        </w:tc>
        <w:tc>
          <w:tcPr>
            <w:tcW w:w="711" w:type="dxa"/>
            <w:vAlign w:val="bottom"/>
          </w:tcPr>
          <w:p w14:paraId="0D36E939" w14:textId="77777777" w:rsidR="00AA1F10" w:rsidRPr="007F17CA" w:rsidRDefault="00AA1F10" w:rsidP="005E5CB4">
            <w:pPr>
              <w:pStyle w:val="TableText"/>
              <w:rPr>
                <w:b/>
              </w:rPr>
            </w:pPr>
            <w:r w:rsidRPr="007F17CA">
              <w:rPr>
                <w:b/>
              </w:rPr>
              <w:t>Nov.</w:t>
            </w:r>
          </w:p>
        </w:tc>
        <w:tc>
          <w:tcPr>
            <w:tcW w:w="709" w:type="dxa"/>
            <w:vAlign w:val="bottom"/>
          </w:tcPr>
          <w:p w14:paraId="0E9DE941" w14:textId="77777777" w:rsidR="00AA1F10" w:rsidRPr="007F17CA" w:rsidRDefault="00AA1F10" w:rsidP="005E5CB4">
            <w:pPr>
              <w:pStyle w:val="TableText"/>
              <w:rPr>
                <w:b/>
              </w:rPr>
            </w:pPr>
            <w:r w:rsidRPr="007F17CA">
              <w:rPr>
                <w:b/>
              </w:rPr>
              <w:t>Dec.</w:t>
            </w:r>
          </w:p>
        </w:tc>
        <w:tc>
          <w:tcPr>
            <w:tcW w:w="712" w:type="dxa"/>
            <w:vAlign w:val="bottom"/>
          </w:tcPr>
          <w:p w14:paraId="5B0A2945" w14:textId="77777777" w:rsidR="00AA1F10" w:rsidRPr="007F17CA" w:rsidRDefault="00AA1F10" w:rsidP="005E5CB4">
            <w:pPr>
              <w:pStyle w:val="TableText"/>
              <w:rPr>
                <w:b/>
              </w:rPr>
            </w:pPr>
            <w:r w:rsidRPr="007F17CA">
              <w:rPr>
                <w:b/>
              </w:rPr>
              <w:t>Jan.</w:t>
            </w:r>
          </w:p>
        </w:tc>
        <w:tc>
          <w:tcPr>
            <w:tcW w:w="712" w:type="dxa"/>
            <w:vAlign w:val="bottom"/>
          </w:tcPr>
          <w:p w14:paraId="2FDE20EC" w14:textId="77777777" w:rsidR="00AA1F10" w:rsidRPr="007F17CA" w:rsidRDefault="00AA1F10" w:rsidP="005E5CB4">
            <w:pPr>
              <w:pStyle w:val="TableText"/>
              <w:rPr>
                <w:b/>
              </w:rPr>
            </w:pPr>
            <w:r w:rsidRPr="007F17CA">
              <w:rPr>
                <w:b/>
              </w:rPr>
              <w:t>Feb.</w:t>
            </w:r>
          </w:p>
        </w:tc>
        <w:tc>
          <w:tcPr>
            <w:tcW w:w="712" w:type="dxa"/>
            <w:vAlign w:val="bottom"/>
          </w:tcPr>
          <w:p w14:paraId="77A1C3F0" w14:textId="77777777" w:rsidR="00AA1F10" w:rsidRPr="007F17CA" w:rsidRDefault="00AA1F10" w:rsidP="005E5CB4">
            <w:pPr>
              <w:pStyle w:val="TableText"/>
              <w:rPr>
                <w:b/>
              </w:rPr>
            </w:pPr>
            <w:r w:rsidRPr="007F17CA">
              <w:rPr>
                <w:b/>
              </w:rPr>
              <w:t>Mar.</w:t>
            </w:r>
          </w:p>
        </w:tc>
        <w:tc>
          <w:tcPr>
            <w:tcW w:w="726" w:type="dxa"/>
            <w:vAlign w:val="bottom"/>
          </w:tcPr>
          <w:p w14:paraId="13E6D5F6" w14:textId="77777777" w:rsidR="00AA1F10" w:rsidRPr="007F17CA" w:rsidRDefault="00AA1F10" w:rsidP="005E5CB4">
            <w:pPr>
              <w:pStyle w:val="TableText"/>
              <w:rPr>
                <w:b/>
              </w:rPr>
            </w:pPr>
            <w:r w:rsidRPr="007F17CA">
              <w:rPr>
                <w:b/>
              </w:rPr>
              <w:t>Apr. 1</w:t>
            </w:r>
            <w:r>
              <w:rPr>
                <w:b/>
              </w:rPr>
              <w:t>–</w:t>
            </w:r>
            <w:r w:rsidRPr="007F17CA">
              <w:rPr>
                <w:b/>
              </w:rPr>
              <w:t>14</w:t>
            </w:r>
          </w:p>
        </w:tc>
        <w:tc>
          <w:tcPr>
            <w:tcW w:w="726" w:type="dxa"/>
            <w:vAlign w:val="bottom"/>
          </w:tcPr>
          <w:p w14:paraId="19AAF6F1" w14:textId="77777777" w:rsidR="00AA1F10" w:rsidRPr="007F17CA" w:rsidRDefault="00AA1F10" w:rsidP="005E5CB4">
            <w:pPr>
              <w:pStyle w:val="TableText"/>
              <w:rPr>
                <w:b/>
              </w:rPr>
            </w:pPr>
            <w:r w:rsidRPr="007F17CA">
              <w:rPr>
                <w:b/>
              </w:rPr>
              <w:t>May 16</w:t>
            </w:r>
            <w:r>
              <w:rPr>
                <w:b/>
              </w:rPr>
              <w:t>–</w:t>
            </w:r>
            <w:r w:rsidRPr="007F17CA">
              <w:rPr>
                <w:b/>
              </w:rPr>
              <w:t>31</w:t>
            </w:r>
          </w:p>
        </w:tc>
        <w:tc>
          <w:tcPr>
            <w:tcW w:w="712" w:type="dxa"/>
            <w:vAlign w:val="bottom"/>
          </w:tcPr>
          <w:p w14:paraId="4ED03459" w14:textId="77777777" w:rsidR="00AA1F10" w:rsidRPr="007F17CA" w:rsidRDefault="00AA1F10" w:rsidP="005E5CB4">
            <w:pPr>
              <w:pStyle w:val="TableText"/>
              <w:rPr>
                <w:b/>
              </w:rPr>
            </w:pPr>
            <w:r w:rsidRPr="007F17CA">
              <w:rPr>
                <w:b/>
              </w:rPr>
              <w:t>June</w:t>
            </w:r>
          </w:p>
        </w:tc>
        <w:tc>
          <w:tcPr>
            <w:tcW w:w="710" w:type="dxa"/>
            <w:vAlign w:val="bottom"/>
          </w:tcPr>
          <w:p w14:paraId="24750809" w14:textId="77777777" w:rsidR="00AA1F10" w:rsidRPr="007F17CA" w:rsidRDefault="00AA1F10" w:rsidP="005E5CB4">
            <w:pPr>
              <w:pStyle w:val="TableText"/>
              <w:rPr>
                <w:b/>
              </w:rPr>
            </w:pPr>
            <w:r w:rsidRPr="007F17CA">
              <w:rPr>
                <w:b/>
              </w:rPr>
              <w:t>July</w:t>
            </w:r>
          </w:p>
        </w:tc>
        <w:tc>
          <w:tcPr>
            <w:tcW w:w="711" w:type="dxa"/>
            <w:vAlign w:val="bottom"/>
          </w:tcPr>
          <w:p w14:paraId="38C2029C" w14:textId="77777777" w:rsidR="00AA1F10" w:rsidRPr="007F17CA" w:rsidRDefault="00AA1F10" w:rsidP="005E5CB4">
            <w:pPr>
              <w:pStyle w:val="TableText"/>
              <w:rPr>
                <w:b/>
              </w:rPr>
            </w:pPr>
            <w:r w:rsidRPr="007F17CA">
              <w:rPr>
                <w:b/>
              </w:rPr>
              <w:t>Aug.</w:t>
            </w:r>
          </w:p>
        </w:tc>
        <w:tc>
          <w:tcPr>
            <w:tcW w:w="712" w:type="dxa"/>
            <w:vAlign w:val="bottom"/>
          </w:tcPr>
          <w:p w14:paraId="05EADD23" w14:textId="77777777" w:rsidR="00AA1F10" w:rsidRPr="007F17CA" w:rsidRDefault="00AA1F10" w:rsidP="005E5CB4">
            <w:pPr>
              <w:pStyle w:val="TableText"/>
              <w:rPr>
                <w:b/>
              </w:rPr>
            </w:pPr>
            <w:r w:rsidRPr="007F17CA">
              <w:rPr>
                <w:b/>
              </w:rPr>
              <w:t>Sept.</w:t>
            </w:r>
          </w:p>
        </w:tc>
      </w:tr>
      <w:tr w:rsidR="00AA1F10" w:rsidRPr="00AD1F23" w14:paraId="4C126D4B" w14:textId="77777777" w:rsidTr="005E5CB4">
        <w:tc>
          <w:tcPr>
            <w:tcW w:w="784" w:type="dxa"/>
          </w:tcPr>
          <w:p w14:paraId="08BF30D9" w14:textId="77777777" w:rsidR="00AA1F10" w:rsidRPr="00AD1F23" w:rsidRDefault="00AA1F10" w:rsidP="005E5CB4">
            <w:pPr>
              <w:pStyle w:val="TableText"/>
            </w:pPr>
            <w:r w:rsidRPr="00AD1F23">
              <w:t>185.3</w:t>
            </w:r>
          </w:p>
        </w:tc>
        <w:tc>
          <w:tcPr>
            <w:tcW w:w="713" w:type="dxa"/>
          </w:tcPr>
          <w:p w14:paraId="29C19AE6" w14:textId="77777777" w:rsidR="00AA1F10" w:rsidRPr="00AD1F23" w:rsidRDefault="00AA1F10" w:rsidP="005E5CB4">
            <w:pPr>
              <w:pStyle w:val="TableText"/>
            </w:pPr>
            <w:r w:rsidRPr="00AD1F23">
              <w:t>577.4</w:t>
            </w:r>
          </w:p>
        </w:tc>
        <w:tc>
          <w:tcPr>
            <w:tcW w:w="711" w:type="dxa"/>
          </w:tcPr>
          <w:p w14:paraId="03602786" w14:textId="77777777" w:rsidR="00AA1F10" w:rsidRPr="00AD1F23" w:rsidRDefault="00AA1F10" w:rsidP="005E5CB4">
            <w:pPr>
              <w:pStyle w:val="TableText"/>
            </w:pPr>
            <w:r w:rsidRPr="00AD1F23">
              <w:t>200</w:t>
            </w:r>
          </w:p>
        </w:tc>
        <w:tc>
          <w:tcPr>
            <w:tcW w:w="709" w:type="dxa"/>
          </w:tcPr>
          <w:p w14:paraId="1AD8FB7A" w14:textId="77777777" w:rsidR="00AA1F10" w:rsidRPr="00AD1F23" w:rsidRDefault="00AA1F10" w:rsidP="005E5CB4">
            <w:pPr>
              <w:pStyle w:val="TableText"/>
            </w:pPr>
            <w:r w:rsidRPr="00AD1F23">
              <w:t>200</w:t>
            </w:r>
          </w:p>
        </w:tc>
        <w:tc>
          <w:tcPr>
            <w:tcW w:w="712" w:type="dxa"/>
          </w:tcPr>
          <w:p w14:paraId="113428DA" w14:textId="77777777" w:rsidR="00AA1F10" w:rsidRPr="00AD1F23" w:rsidRDefault="00AA1F10" w:rsidP="005E5CB4">
            <w:pPr>
              <w:pStyle w:val="TableText"/>
            </w:pPr>
            <w:r w:rsidRPr="00AD1F23">
              <w:t>212.9</w:t>
            </w:r>
          </w:p>
        </w:tc>
        <w:tc>
          <w:tcPr>
            <w:tcW w:w="712" w:type="dxa"/>
          </w:tcPr>
          <w:p w14:paraId="190FE925" w14:textId="77777777" w:rsidR="00AA1F10" w:rsidRPr="00AD1F23" w:rsidRDefault="00AA1F10" w:rsidP="005E5CB4">
            <w:pPr>
              <w:pStyle w:val="TableText"/>
            </w:pPr>
            <w:r w:rsidRPr="00AD1F23">
              <w:t>214.3</w:t>
            </w:r>
          </w:p>
        </w:tc>
        <w:tc>
          <w:tcPr>
            <w:tcW w:w="712" w:type="dxa"/>
          </w:tcPr>
          <w:p w14:paraId="127001E4" w14:textId="77777777" w:rsidR="00AA1F10" w:rsidRPr="00AD1F23" w:rsidRDefault="00AA1F10" w:rsidP="005E5CB4">
            <w:pPr>
              <w:pStyle w:val="TableText"/>
              <w:tabs>
                <w:tab w:val="decimal" w:pos="427"/>
              </w:tabs>
            </w:pPr>
            <w:r w:rsidRPr="00AD1F23">
              <w:t>200</w:t>
            </w:r>
          </w:p>
        </w:tc>
        <w:tc>
          <w:tcPr>
            <w:tcW w:w="726" w:type="dxa"/>
          </w:tcPr>
          <w:p w14:paraId="6E054C4F" w14:textId="77777777" w:rsidR="00AA1F10" w:rsidRPr="00AD1F23" w:rsidRDefault="00AA1F10" w:rsidP="005E5CB4">
            <w:pPr>
              <w:pStyle w:val="TableText"/>
              <w:tabs>
                <w:tab w:val="decimal" w:pos="460"/>
              </w:tabs>
            </w:pPr>
            <w:r w:rsidRPr="00AD1F23">
              <w:t>200</w:t>
            </w:r>
          </w:p>
        </w:tc>
        <w:tc>
          <w:tcPr>
            <w:tcW w:w="726" w:type="dxa"/>
          </w:tcPr>
          <w:p w14:paraId="5C4D73A6" w14:textId="77777777" w:rsidR="00AA1F10" w:rsidRPr="00AD1F23" w:rsidRDefault="00AA1F10" w:rsidP="005E5CB4">
            <w:pPr>
              <w:pStyle w:val="TableText"/>
              <w:tabs>
                <w:tab w:val="decimal" w:pos="460"/>
              </w:tabs>
            </w:pPr>
            <w:r w:rsidRPr="00AD1F23">
              <w:t>150</w:t>
            </w:r>
          </w:p>
        </w:tc>
        <w:tc>
          <w:tcPr>
            <w:tcW w:w="712" w:type="dxa"/>
          </w:tcPr>
          <w:p w14:paraId="225A9860" w14:textId="77777777" w:rsidR="00AA1F10" w:rsidRPr="00AD1F23" w:rsidRDefault="00AA1F10" w:rsidP="005E5CB4">
            <w:pPr>
              <w:pStyle w:val="TableText"/>
            </w:pPr>
            <w:r w:rsidRPr="00AD1F23">
              <w:t>150</w:t>
            </w:r>
          </w:p>
        </w:tc>
        <w:tc>
          <w:tcPr>
            <w:tcW w:w="710" w:type="dxa"/>
          </w:tcPr>
          <w:p w14:paraId="08945207" w14:textId="77777777" w:rsidR="00AA1F10" w:rsidRPr="00AD1F23" w:rsidRDefault="00AA1F10" w:rsidP="005E5CB4">
            <w:pPr>
              <w:pStyle w:val="TableText"/>
            </w:pPr>
            <w:r w:rsidRPr="00AD1F23">
              <w:t>150</w:t>
            </w:r>
          </w:p>
        </w:tc>
        <w:tc>
          <w:tcPr>
            <w:tcW w:w="711" w:type="dxa"/>
          </w:tcPr>
          <w:p w14:paraId="3D1B7E08" w14:textId="77777777" w:rsidR="00AA1F10" w:rsidRPr="00AD1F23" w:rsidRDefault="00AA1F10" w:rsidP="005E5CB4">
            <w:pPr>
              <w:pStyle w:val="TableText"/>
            </w:pPr>
            <w:r w:rsidRPr="00AD1F23">
              <w:t>150</w:t>
            </w:r>
          </w:p>
        </w:tc>
        <w:tc>
          <w:tcPr>
            <w:tcW w:w="712" w:type="dxa"/>
          </w:tcPr>
          <w:p w14:paraId="62BEC82E" w14:textId="77777777" w:rsidR="00AA1F10" w:rsidRPr="00AD1F23" w:rsidRDefault="00AA1F10" w:rsidP="005E5CB4">
            <w:pPr>
              <w:pStyle w:val="TableText"/>
            </w:pPr>
            <w:r w:rsidRPr="00AD1F23">
              <w:t>150</w:t>
            </w:r>
          </w:p>
        </w:tc>
      </w:tr>
      <w:tr w:rsidR="00AA1F10" w:rsidRPr="00AD1F23" w14:paraId="3DC544DF" w14:textId="77777777" w:rsidTr="005E5CB4">
        <w:tc>
          <w:tcPr>
            <w:tcW w:w="784" w:type="dxa"/>
          </w:tcPr>
          <w:p w14:paraId="79F7B541" w14:textId="77777777" w:rsidR="00AA1F10" w:rsidRPr="00AD1F23" w:rsidRDefault="00AA1F10" w:rsidP="005E5CB4">
            <w:pPr>
              <w:pStyle w:val="TableText"/>
            </w:pPr>
            <w:r w:rsidRPr="00AD1F23">
              <w:t>234.1</w:t>
            </w:r>
          </w:p>
        </w:tc>
        <w:tc>
          <w:tcPr>
            <w:tcW w:w="713" w:type="dxa"/>
          </w:tcPr>
          <w:p w14:paraId="2EF164BE" w14:textId="77777777" w:rsidR="00AA1F10" w:rsidRPr="00AD1F23" w:rsidRDefault="00AA1F10" w:rsidP="005E5CB4">
            <w:pPr>
              <w:pStyle w:val="TableText"/>
            </w:pPr>
            <w:r w:rsidRPr="00AD1F23">
              <w:t>635.5</w:t>
            </w:r>
          </w:p>
        </w:tc>
        <w:tc>
          <w:tcPr>
            <w:tcW w:w="711" w:type="dxa"/>
          </w:tcPr>
          <w:p w14:paraId="7DB296AD" w14:textId="77777777" w:rsidR="00AA1F10" w:rsidRPr="00AD1F23" w:rsidRDefault="00AA1F10" w:rsidP="005E5CB4">
            <w:pPr>
              <w:pStyle w:val="TableText"/>
            </w:pPr>
            <w:r w:rsidRPr="00AD1F23">
              <w:t>200</w:t>
            </w:r>
          </w:p>
        </w:tc>
        <w:tc>
          <w:tcPr>
            <w:tcW w:w="709" w:type="dxa"/>
          </w:tcPr>
          <w:p w14:paraId="474B59E4" w14:textId="77777777" w:rsidR="00AA1F10" w:rsidRPr="00AD1F23" w:rsidRDefault="00AA1F10" w:rsidP="005E5CB4">
            <w:pPr>
              <w:pStyle w:val="TableText"/>
            </w:pPr>
            <w:r w:rsidRPr="00AD1F23">
              <w:t>200</w:t>
            </w:r>
          </w:p>
        </w:tc>
        <w:tc>
          <w:tcPr>
            <w:tcW w:w="712" w:type="dxa"/>
          </w:tcPr>
          <w:p w14:paraId="30C46129" w14:textId="77777777" w:rsidR="00AA1F10" w:rsidRPr="00AD1F23" w:rsidRDefault="00AA1F10" w:rsidP="005E5CB4">
            <w:pPr>
              <w:pStyle w:val="TableText"/>
            </w:pPr>
            <w:r w:rsidRPr="00AD1F23">
              <w:t>219.4</w:t>
            </w:r>
          </w:p>
        </w:tc>
        <w:tc>
          <w:tcPr>
            <w:tcW w:w="712" w:type="dxa"/>
          </w:tcPr>
          <w:p w14:paraId="78D039DB" w14:textId="77777777" w:rsidR="00AA1F10" w:rsidRPr="00AD1F23" w:rsidRDefault="00AA1F10" w:rsidP="005E5CB4">
            <w:pPr>
              <w:pStyle w:val="TableText"/>
            </w:pPr>
            <w:r w:rsidRPr="00AD1F23">
              <w:t>221.4</w:t>
            </w:r>
          </w:p>
        </w:tc>
        <w:tc>
          <w:tcPr>
            <w:tcW w:w="712" w:type="dxa"/>
          </w:tcPr>
          <w:p w14:paraId="67489033" w14:textId="77777777" w:rsidR="00AA1F10" w:rsidRPr="00AD1F23" w:rsidRDefault="00AA1F10" w:rsidP="005E5CB4">
            <w:pPr>
              <w:pStyle w:val="TableText"/>
              <w:tabs>
                <w:tab w:val="decimal" w:pos="427"/>
              </w:tabs>
            </w:pPr>
            <w:r w:rsidRPr="00AD1F23">
              <w:t>200</w:t>
            </w:r>
          </w:p>
        </w:tc>
        <w:tc>
          <w:tcPr>
            <w:tcW w:w="726" w:type="dxa"/>
          </w:tcPr>
          <w:p w14:paraId="65D0E84A" w14:textId="77777777" w:rsidR="00AA1F10" w:rsidRPr="00AD1F23" w:rsidRDefault="00AA1F10" w:rsidP="005E5CB4">
            <w:pPr>
              <w:pStyle w:val="TableText"/>
              <w:tabs>
                <w:tab w:val="decimal" w:pos="460"/>
              </w:tabs>
            </w:pPr>
            <w:r w:rsidRPr="00AD1F23">
              <w:t>500</w:t>
            </w:r>
          </w:p>
        </w:tc>
        <w:tc>
          <w:tcPr>
            <w:tcW w:w="726" w:type="dxa"/>
          </w:tcPr>
          <w:p w14:paraId="1A6C5113" w14:textId="77777777" w:rsidR="00AA1F10" w:rsidRPr="00AD1F23" w:rsidRDefault="00AA1F10" w:rsidP="005E5CB4">
            <w:pPr>
              <w:pStyle w:val="TableText"/>
              <w:tabs>
                <w:tab w:val="decimal" w:pos="460"/>
              </w:tabs>
            </w:pPr>
            <w:r w:rsidRPr="00AD1F23">
              <w:t>284.4</w:t>
            </w:r>
          </w:p>
        </w:tc>
        <w:tc>
          <w:tcPr>
            <w:tcW w:w="712" w:type="dxa"/>
          </w:tcPr>
          <w:p w14:paraId="486F18D9" w14:textId="77777777" w:rsidR="00AA1F10" w:rsidRPr="00AD1F23" w:rsidRDefault="00AA1F10" w:rsidP="005E5CB4">
            <w:pPr>
              <w:pStyle w:val="TableText"/>
            </w:pPr>
            <w:r w:rsidRPr="00AD1F23">
              <w:t>200</w:t>
            </w:r>
          </w:p>
        </w:tc>
        <w:tc>
          <w:tcPr>
            <w:tcW w:w="710" w:type="dxa"/>
          </w:tcPr>
          <w:p w14:paraId="69191997" w14:textId="77777777" w:rsidR="00AA1F10" w:rsidRPr="00AD1F23" w:rsidRDefault="00AA1F10" w:rsidP="005E5CB4">
            <w:pPr>
              <w:pStyle w:val="TableText"/>
            </w:pPr>
            <w:r w:rsidRPr="00AD1F23">
              <w:t>200</w:t>
            </w:r>
          </w:p>
        </w:tc>
        <w:tc>
          <w:tcPr>
            <w:tcW w:w="711" w:type="dxa"/>
          </w:tcPr>
          <w:p w14:paraId="02F7B11E" w14:textId="77777777" w:rsidR="00AA1F10" w:rsidRPr="00AD1F23" w:rsidRDefault="00AA1F10" w:rsidP="005E5CB4">
            <w:pPr>
              <w:pStyle w:val="TableText"/>
            </w:pPr>
            <w:r w:rsidRPr="00AD1F23">
              <w:t>200</w:t>
            </w:r>
          </w:p>
        </w:tc>
        <w:tc>
          <w:tcPr>
            <w:tcW w:w="712" w:type="dxa"/>
          </w:tcPr>
          <w:p w14:paraId="735277A7" w14:textId="77777777" w:rsidR="00AA1F10" w:rsidRPr="00AD1F23" w:rsidRDefault="00AA1F10" w:rsidP="005E5CB4">
            <w:pPr>
              <w:pStyle w:val="TableText"/>
            </w:pPr>
            <w:r w:rsidRPr="00AD1F23">
              <w:t>200</w:t>
            </w:r>
          </w:p>
        </w:tc>
      </w:tr>
      <w:tr w:rsidR="00AA1F10" w:rsidRPr="00AD1F23" w14:paraId="50944930" w14:textId="77777777" w:rsidTr="005E5CB4">
        <w:tc>
          <w:tcPr>
            <w:tcW w:w="784" w:type="dxa"/>
          </w:tcPr>
          <w:p w14:paraId="53EFEB83" w14:textId="77777777" w:rsidR="00AA1F10" w:rsidRPr="00AD1F23" w:rsidRDefault="00AA1F10" w:rsidP="005E5CB4">
            <w:pPr>
              <w:pStyle w:val="TableText"/>
            </w:pPr>
            <w:r w:rsidRPr="00AD1F23">
              <w:t>346.7</w:t>
            </w:r>
          </w:p>
        </w:tc>
        <w:tc>
          <w:tcPr>
            <w:tcW w:w="713" w:type="dxa"/>
          </w:tcPr>
          <w:p w14:paraId="362AEBE3" w14:textId="77777777" w:rsidR="00AA1F10" w:rsidRPr="00AD1F23" w:rsidRDefault="00AA1F10" w:rsidP="005E5CB4">
            <w:pPr>
              <w:pStyle w:val="TableText"/>
            </w:pPr>
            <w:r w:rsidRPr="00AD1F23">
              <w:t>774.2</w:t>
            </w:r>
          </w:p>
        </w:tc>
        <w:tc>
          <w:tcPr>
            <w:tcW w:w="711" w:type="dxa"/>
          </w:tcPr>
          <w:p w14:paraId="27A84180" w14:textId="77777777" w:rsidR="00AA1F10" w:rsidRPr="00AD1F23" w:rsidRDefault="00AA1F10" w:rsidP="005E5CB4">
            <w:pPr>
              <w:pStyle w:val="TableText"/>
            </w:pPr>
            <w:r w:rsidRPr="00AD1F23">
              <w:t>200</w:t>
            </w:r>
          </w:p>
        </w:tc>
        <w:tc>
          <w:tcPr>
            <w:tcW w:w="709" w:type="dxa"/>
          </w:tcPr>
          <w:p w14:paraId="7CE5A3C3" w14:textId="77777777" w:rsidR="00AA1F10" w:rsidRPr="00AD1F23" w:rsidRDefault="00AA1F10" w:rsidP="005E5CB4">
            <w:pPr>
              <w:pStyle w:val="TableText"/>
            </w:pPr>
            <w:r w:rsidRPr="00AD1F23">
              <w:t>200</w:t>
            </w:r>
          </w:p>
        </w:tc>
        <w:tc>
          <w:tcPr>
            <w:tcW w:w="712" w:type="dxa"/>
          </w:tcPr>
          <w:p w14:paraId="10C86EFF" w14:textId="77777777" w:rsidR="00AA1F10" w:rsidRPr="00AD1F23" w:rsidRDefault="00AA1F10" w:rsidP="005E5CB4">
            <w:pPr>
              <w:pStyle w:val="TableText"/>
            </w:pPr>
            <w:r w:rsidRPr="00AD1F23">
              <w:t>225.8</w:t>
            </w:r>
          </w:p>
        </w:tc>
        <w:tc>
          <w:tcPr>
            <w:tcW w:w="712" w:type="dxa"/>
          </w:tcPr>
          <w:p w14:paraId="7456E98D" w14:textId="77777777" w:rsidR="00AA1F10" w:rsidRPr="00AD1F23" w:rsidRDefault="00AA1F10" w:rsidP="005E5CB4">
            <w:pPr>
              <w:pStyle w:val="TableText"/>
            </w:pPr>
            <w:r w:rsidRPr="00AD1F23">
              <w:t>228.6</w:t>
            </w:r>
          </w:p>
        </w:tc>
        <w:tc>
          <w:tcPr>
            <w:tcW w:w="712" w:type="dxa"/>
          </w:tcPr>
          <w:p w14:paraId="454AB9E9" w14:textId="77777777" w:rsidR="00AA1F10" w:rsidRPr="00AD1F23" w:rsidRDefault="00AA1F10" w:rsidP="005E5CB4">
            <w:pPr>
              <w:pStyle w:val="TableText"/>
              <w:tabs>
                <w:tab w:val="decimal" w:pos="427"/>
              </w:tabs>
            </w:pPr>
            <w:r w:rsidRPr="00AD1F23">
              <w:t>200</w:t>
            </w:r>
          </w:p>
        </w:tc>
        <w:tc>
          <w:tcPr>
            <w:tcW w:w="726" w:type="dxa"/>
          </w:tcPr>
          <w:p w14:paraId="5ECB0ADE" w14:textId="77777777" w:rsidR="00AA1F10" w:rsidRPr="00AD1F23" w:rsidRDefault="00AA1F10" w:rsidP="005E5CB4">
            <w:pPr>
              <w:pStyle w:val="TableText"/>
              <w:tabs>
                <w:tab w:val="decimal" w:pos="460"/>
              </w:tabs>
            </w:pPr>
            <w:r w:rsidRPr="00AD1F23">
              <w:t>1,471.4</w:t>
            </w:r>
          </w:p>
        </w:tc>
        <w:tc>
          <w:tcPr>
            <w:tcW w:w="726" w:type="dxa"/>
          </w:tcPr>
          <w:p w14:paraId="2E6CBDB7" w14:textId="77777777" w:rsidR="00AA1F10" w:rsidRPr="00AD1F23" w:rsidRDefault="00AA1F10" w:rsidP="005E5CB4">
            <w:pPr>
              <w:pStyle w:val="TableText"/>
              <w:tabs>
                <w:tab w:val="decimal" w:pos="460"/>
              </w:tabs>
            </w:pPr>
            <w:r w:rsidRPr="00AD1F23">
              <w:t>1,031.3</w:t>
            </w:r>
          </w:p>
        </w:tc>
        <w:tc>
          <w:tcPr>
            <w:tcW w:w="712" w:type="dxa"/>
          </w:tcPr>
          <w:p w14:paraId="1CB6F1DF" w14:textId="77777777" w:rsidR="00AA1F10" w:rsidRPr="00AD1F23" w:rsidRDefault="00AA1F10" w:rsidP="005E5CB4">
            <w:pPr>
              <w:pStyle w:val="TableText"/>
            </w:pPr>
            <w:r w:rsidRPr="00AD1F23">
              <w:t>363.3</w:t>
            </w:r>
          </w:p>
        </w:tc>
        <w:tc>
          <w:tcPr>
            <w:tcW w:w="710" w:type="dxa"/>
          </w:tcPr>
          <w:p w14:paraId="3169AA11" w14:textId="77777777" w:rsidR="00AA1F10" w:rsidRPr="00AD1F23" w:rsidRDefault="00AA1F10" w:rsidP="005E5CB4">
            <w:pPr>
              <w:pStyle w:val="TableText"/>
            </w:pPr>
            <w:r w:rsidRPr="00AD1F23">
              <w:t>250</w:t>
            </w:r>
          </w:p>
        </w:tc>
        <w:tc>
          <w:tcPr>
            <w:tcW w:w="711" w:type="dxa"/>
          </w:tcPr>
          <w:p w14:paraId="3DAE0E8A" w14:textId="77777777" w:rsidR="00AA1F10" w:rsidRPr="00AD1F23" w:rsidRDefault="00AA1F10" w:rsidP="005E5CB4">
            <w:pPr>
              <w:pStyle w:val="TableText"/>
            </w:pPr>
            <w:r w:rsidRPr="00AD1F23">
              <w:t>250</w:t>
            </w:r>
          </w:p>
        </w:tc>
        <w:tc>
          <w:tcPr>
            <w:tcW w:w="712" w:type="dxa"/>
          </w:tcPr>
          <w:p w14:paraId="59709F18" w14:textId="77777777" w:rsidR="00AA1F10" w:rsidRPr="00AD1F23" w:rsidRDefault="00AA1F10" w:rsidP="005E5CB4">
            <w:pPr>
              <w:pStyle w:val="TableText"/>
            </w:pPr>
            <w:r w:rsidRPr="00AD1F23">
              <w:t>250</w:t>
            </w:r>
          </w:p>
        </w:tc>
      </w:tr>
      <w:tr w:rsidR="00AA1F10" w:rsidRPr="00AD1F23" w14:paraId="0C86A468" w14:textId="77777777" w:rsidTr="005E5CB4">
        <w:tc>
          <w:tcPr>
            <w:tcW w:w="784" w:type="dxa"/>
          </w:tcPr>
          <w:p w14:paraId="63C89EBC" w14:textId="77777777" w:rsidR="00AA1F10" w:rsidRPr="00AD1F23" w:rsidRDefault="00AA1F10" w:rsidP="005E5CB4">
            <w:pPr>
              <w:pStyle w:val="TableText"/>
            </w:pPr>
            <w:r w:rsidRPr="00AD1F23">
              <w:t>483.7</w:t>
            </w:r>
          </w:p>
        </w:tc>
        <w:tc>
          <w:tcPr>
            <w:tcW w:w="713" w:type="dxa"/>
          </w:tcPr>
          <w:p w14:paraId="227E8C82" w14:textId="77777777" w:rsidR="00AA1F10" w:rsidRPr="00AD1F23" w:rsidRDefault="00AA1F10" w:rsidP="005E5CB4">
            <w:pPr>
              <w:pStyle w:val="TableText"/>
            </w:pPr>
            <w:r w:rsidRPr="00AD1F23">
              <w:t>796.8</w:t>
            </w:r>
          </w:p>
        </w:tc>
        <w:tc>
          <w:tcPr>
            <w:tcW w:w="711" w:type="dxa"/>
          </w:tcPr>
          <w:p w14:paraId="6BE11484" w14:textId="77777777" w:rsidR="00AA1F10" w:rsidRPr="00AD1F23" w:rsidRDefault="00AA1F10" w:rsidP="005E5CB4">
            <w:pPr>
              <w:pStyle w:val="TableText"/>
            </w:pPr>
            <w:r w:rsidRPr="00AD1F23">
              <w:t>200</w:t>
            </w:r>
          </w:p>
        </w:tc>
        <w:tc>
          <w:tcPr>
            <w:tcW w:w="709" w:type="dxa"/>
          </w:tcPr>
          <w:p w14:paraId="34DCFC1F" w14:textId="77777777" w:rsidR="00AA1F10" w:rsidRPr="00AD1F23" w:rsidRDefault="00AA1F10" w:rsidP="005E5CB4">
            <w:pPr>
              <w:pStyle w:val="TableText"/>
            </w:pPr>
            <w:r w:rsidRPr="00AD1F23">
              <w:t>200</w:t>
            </w:r>
          </w:p>
        </w:tc>
        <w:tc>
          <w:tcPr>
            <w:tcW w:w="712" w:type="dxa"/>
          </w:tcPr>
          <w:p w14:paraId="1CC107F5" w14:textId="77777777" w:rsidR="00AA1F10" w:rsidRPr="00AD1F23" w:rsidRDefault="00AA1F10" w:rsidP="005E5CB4">
            <w:pPr>
              <w:pStyle w:val="TableText"/>
            </w:pPr>
            <w:r w:rsidRPr="00AD1F23">
              <w:t>232.3</w:t>
            </w:r>
          </w:p>
        </w:tc>
        <w:tc>
          <w:tcPr>
            <w:tcW w:w="712" w:type="dxa"/>
          </w:tcPr>
          <w:p w14:paraId="345AFB8D" w14:textId="77777777" w:rsidR="00AA1F10" w:rsidRPr="00AD1F23" w:rsidRDefault="00AA1F10" w:rsidP="005E5CB4">
            <w:pPr>
              <w:pStyle w:val="TableText"/>
            </w:pPr>
            <w:r w:rsidRPr="00AD1F23">
              <w:t>235.7</w:t>
            </w:r>
          </w:p>
        </w:tc>
        <w:tc>
          <w:tcPr>
            <w:tcW w:w="712" w:type="dxa"/>
          </w:tcPr>
          <w:p w14:paraId="217116E2" w14:textId="77777777" w:rsidR="00AA1F10" w:rsidRPr="00AD1F23" w:rsidRDefault="00AA1F10" w:rsidP="005E5CB4">
            <w:pPr>
              <w:pStyle w:val="TableText"/>
              <w:tabs>
                <w:tab w:val="decimal" w:pos="427"/>
              </w:tabs>
            </w:pPr>
            <w:r w:rsidRPr="00AD1F23">
              <w:t>1,521</w:t>
            </w:r>
          </w:p>
        </w:tc>
        <w:tc>
          <w:tcPr>
            <w:tcW w:w="726" w:type="dxa"/>
          </w:tcPr>
          <w:p w14:paraId="0A879A98" w14:textId="77777777" w:rsidR="00AA1F10" w:rsidRPr="00AD1F23" w:rsidRDefault="00AA1F10" w:rsidP="005E5CB4">
            <w:pPr>
              <w:pStyle w:val="TableText"/>
              <w:tabs>
                <w:tab w:val="decimal" w:pos="460"/>
              </w:tabs>
            </w:pPr>
            <w:r w:rsidRPr="00AD1F23">
              <w:t>1,614.3</w:t>
            </w:r>
          </w:p>
        </w:tc>
        <w:tc>
          <w:tcPr>
            <w:tcW w:w="726" w:type="dxa"/>
          </w:tcPr>
          <w:p w14:paraId="0F427F6E" w14:textId="77777777" w:rsidR="00AA1F10" w:rsidRPr="00AD1F23" w:rsidRDefault="00AA1F10" w:rsidP="005E5CB4">
            <w:pPr>
              <w:pStyle w:val="TableText"/>
              <w:tabs>
                <w:tab w:val="decimal" w:pos="460"/>
              </w:tabs>
            </w:pPr>
            <w:r w:rsidRPr="00AD1F23">
              <w:t>1,200</w:t>
            </w:r>
          </w:p>
        </w:tc>
        <w:tc>
          <w:tcPr>
            <w:tcW w:w="712" w:type="dxa"/>
          </w:tcPr>
          <w:p w14:paraId="051F5A02" w14:textId="77777777" w:rsidR="00AA1F10" w:rsidRPr="00AD1F23" w:rsidRDefault="00AA1F10" w:rsidP="005E5CB4">
            <w:pPr>
              <w:pStyle w:val="TableText"/>
            </w:pPr>
            <w:r w:rsidRPr="00AD1F23">
              <w:t>940</w:t>
            </w:r>
          </w:p>
        </w:tc>
        <w:tc>
          <w:tcPr>
            <w:tcW w:w="710" w:type="dxa"/>
          </w:tcPr>
          <w:p w14:paraId="1ECCB74D" w14:textId="77777777" w:rsidR="00AA1F10" w:rsidRPr="00AD1F23" w:rsidRDefault="00AA1F10" w:rsidP="005E5CB4">
            <w:pPr>
              <w:pStyle w:val="TableText"/>
            </w:pPr>
            <w:r w:rsidRPr="00AD1F23">
              <w:t>300</w:t>
            </w:r>
          </w:p>
        </w:tc>
        <w:tc>
          <w:tcPr>
            <w:tcW w:w="711" w:type="dxa"/>
          </w:tcPr>
          <w:p w14:paraId="2EA0BDC5" w14:textId="77777777" w:rsidR="00AA1F10" w:rsidRPr="00AD1F23" w:rsidRDefault="00AA1F10" w:rsidP="005E5CB4">
            <w:pPr>
              <w:pStyle w:val="TableText"/>
            </w:pPr>
            <w:r w:rsidRPr="00AD1F23">
              <w:t>300</w:t>
            </w:r>
          </w:p>
        </w:tc>
        <w:tc>
          <w:tcPr>
            <w:tcW w:w="712" w:type="dxa"/>
          </w:tcPr>
          <w:p w14:paraId="679CFC44" w14:textId="77777777" w:rsidR="00AA1F10" w:rsidRPr="00AD1F23" w:rsidRDefault="00AA1F10" w:rsidP="005E5CB4">
            <w:pPr>
              <w:pStyle w:val="TableText"/>
            </w:pPr>
            <w:r w:rsidRPr="00AD1F23">
              <w:t>300</w:t>
            </w:r>
          </w:p>
        </w:tc>
      </w:tr>
    </w:tbl>
    <w:p w14:paraId="245DEC3F" w14:textId="77777777" w:rsidR="00AA1F10" w:rsidRDefault="00AA1F10" w:rsidP="00AA1F10"/>
    <w:p w14:paraId="423CE4C9" w14:textId="24FF98DF" w:rsidR="00AA1F10" w:rsidRPr="00DB2AC5" w:rsidRDefault="00AA1F10" w:rsidP="007F771B">
      <w:pPr>
        <w:pStyle w:val="Caption"/>
        <w:keepNext/>
      </w:pPr>
      <w:bookmarkStart w:id="87" w:name="_Ref63171151"/>
      <w:r>
        <w:lastRenderedPageBreak/>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9</w:t>
      </w:r>
      <w:r w:rsidR="001917C5">
        <w:rPr>
          <w:noProof/>
        </w:rPr>
        <w:fldChar w:fldCharType="end"/>
      </w:r>
      <w:bookmarkEnd w:id="87"/>
      <w:r>
        <w:t xml:space="preserve">. </w:t>
      </w:r>
      <w:r w:rsidRPr="00D22373">
        <w:t>April 15 through May 15 “Pulse” Flows Based on the Annual Fishery Volume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16"/>
        <w:gridCol w:w="3117"/>
        <w:gridCol w:w="3117"/>
      </w:tblGrid>
      <w:tr w:rsidR="00AA1F10" w:rsidRPr="007F17CA" w14:paraId="3BE3C161" w14:textId="77777777" w:rsidTr="005E5CB4">
        <w:tc>
          <w:tcPr>
            <w:tcW w:w="3116" w:type="dxa"/>
            <w:vMerge w:val="restart"/>
            <w:vAlign w:val="bottom"/>
          </w:tcPr>
          <w:p w14:paraId="3521B9D4" w14:textId="77777777" w:rsidR="00AA1F10" w:rsidRPr="007F17CA" w:rsidRDefault="00AA1F10" w:rsidP="005E5CB4">
            <w:pPr>
              <w:pStyle w:val="TableText"/>
              <w:rPr>
                <w:b/>
              </w:rPr>
            </w:pPr>
            <w:r w:rsidRPr="007F17CA">
              <w:rPr>
                <w:b/>
              </w:rPr>
              <w:t>Annual Fishery Flow Volume (TAF)</w:t>
            </w:r>
          </w:p>
        </w:tc>
        <w:tc>
          <w:tcPr>
            <w:tcW w:w="6234" w:type="dxa"/>
            <w:gridSpan w:val="2"/>
            <w:vAlign w:val="bottom"/>
          </w:tcPr>
          <w:p w14:paraId="69E2C671" w14:textId="77777777" w:rsidR="00AA1F10" w:rsidRPr="007F17CA" w:rsidRDefault="00AA1F10" w:rsidP="005E5CB4">
            <w:pPr>
              <w:pStyle w:val="TableText"/>
              <w:ind w:hanging="720"/>
              <w:jc w:val="center"/>
              <w:rPr>
                <w:b/>
              </w:rPr>
            </w:pPr>
            <w:r w:rsidRPr="007F17CA">
              <w:rPr>
                <w:b/>
              </w:rPr>
              <w:t>Fishery Pulse Flows (cfs)</w:t>
            </w:r>
          </w:p>
        </w:tc>
      </w:tr>
      <w:tr w:rsidR="00AA1F10" w:rsidRPr="007F17CA" w14:paraId="7248227F" w14:textId="77777777" w:rsidTr="005E5CB4">
        <w:tc>
          <w:tcPr>
            <w:tcW w:w="3116" w:type="dxa"/>
            <w:vMerge/>
            <w:vAlign w:val="bottom"/>
          </w:tcPr>
          <w:p w14:paraId="2B7E8865" w14:textId="77777777" w:rsidR="00AA1F10" w:rsidRPr="007F17CA" w:rsidRDefault="00AA1F10" w:rsidP="005E5CB4">
            <w:pPr>
              <w:pStyle w:val="TableText"/>
              <w:ind w:hanging="720"/>
              <w:rPr>
                <w:b/>
              </w:rPr>
            </w:pPr>
          </w:p>
        </w:tc>
        <w:tc>
          <w:tcPr>
            <w:tcW w:w="3117" w:type="dxa"/>
            <w:vAlign w:val="bottom"/>
          </w:tcPr>
          <w:p w14:paraId="30436295" w14:textId="77777777" w:rsidR="00AA1F10" w:rsidRPr="007F17CA" w:rsidRDefault="00AA1F10" w:rsidP="005E5CB4">
            <w:pPr>
              <w:pStyle w:val="TableText"/>
              <w:ind w:left="720" w:hanging="720"/>
              <w:rPr>
                <w:b/>
              </w:rPr>
            </w:pPr>
            <w:r w:rsidRPr="007F17CA">
              <w:rPr>
                <w:b/>
              </w:rPr>
              <w:t>April 15</w:t>
            </w:r>
            <w:r>
              <w:rPr>
                <w:b/>
              </w:rPr>
              <w:t>–</w:t>
            </w:r>
            <w:r w:rsidRPr="007F17CA">
              <w:rPr>
                <w:b/>
              </w:rPr>
              <w:t>30</w:t>
            </w:r>
          </w:p>
        </w:tc>
        <w:tc>
          <w:tcPr>
            <w:tcW w:w="3117" w:type="dxa"/>
            <w:vAlign w:val="bottom"/>
          </w:tcPr>
          <w:p w14:paraId="2429CA71" w14:textId="77777777" w:rsidR="00AA1F10" w:rsidRPr="007F17CA" w:rsidRDefault="00AA1F10" w:rsidP="005E5CB4">
            <w:pPr>
              <w:pStyle w:val="TableText"/>
              <w:ind w:left="720" w:hanging="720"/>
              <w:rPr>
                <w:b/>
              </w:rPr>
            </w:pPr>
            <w:r w:rsidRPr="007F17CA">
              <w:rPr>
                <w:b/>
              </w:rPr>
              <w:t>May 1</w:t>
            </w:r>
            <w:r>
              <w:rPr>
                <w:b/>
              </w:rPr>
              <w:t>–</w:t>
            </w:r>
            <w:r w:rsidRPr="007F17CA">
              <w:rPr>
                <w:b/>
              </w:rPr>
              <w:t>15</w:t>
            </w:r>
          </w:p>
        </w:tc>
      </w:tr>
      <w:tr w:rsidR="00AA1F10" w:rsidRPr="00697906" w14:paraId="1B2FA94B" w14:textId="77777777" w:rsidTr="005E5CB4">
        <w:tc>
          <w:tcPr>
            <w:tcW w:w="3116" w:type="dxa"/>
          </w:tcPr>
          <w:p w14:paraId="54604CFC" w14:textId="77777777" w:rsidR="00AA1F10" w:rsidRPr="00697906" w:rsidRDefault="00AA1F10" w:rsidP="005E5CB4">
            <w:pPr>
              <w:pStyle w:val="TableText"/>
            </w:pPr>
            <w:r w:rsidRPr="00697906">
              <w:t>185.3</w:t>
            </w:r>
          </w:p>
        </w:tc>
        <w:tc>
          <w:tcPr>
            <w:tcW w:w="3117" w:type="dxa"/>
          </w:tcPr>
          <w:p w14:paraId="0D763A4A" w14:textId="77777777" w:rsidR="00AA1F10" w:rsidRPr="00697906" w:rsidRDefault="00AA1F10" w:rsidP="005E5CB4">
            <w:pPr>
              <w:pStyle w:val="TableText"/>
              <w:tabs>
                <w:tab w:val="decimal" w:pos="481"/>
              </w:tabs>
            </w:pPr>
            <w:r w:rsidRPr="00697906">
              <w:t>687.5</w:t>
            </w:r>
          </w:p>
        </w:tc>
        <w:tc>
          <w:tcPr>
            <w:tcW w:w="3117" w:type="dxa"/>
          </w:tcPr>
          <w:p w14:paraId="0BA6DB17" w14:textId="77777777" w:rsidR="00AA1F10" w:rsidRPr="00697906" w:rsidRDefault="00AA1F10" w:rsidP="005E5CB4">
            <w:pPr>
              <w:pStyle w:val="TableText"/>
              <w:tabs>
                <w:tab w:val="decimal" w:pos="481"/>
              </w:tabs>
            </w:pPr>
            <w:r w:rsidRPr="00697906">
              <w:t>666.7</w:t>
            </w:r>
          </w:p>
        </w:tc>
      </w:tr>
      <w:tr w:rsidR="00AA1F10" w:rsidRPr="00697906" w14:paraId="046714C5" w14:textId="77777777" w:rsidTr="005E5CB4">
        <w:tc>
          <w:tcPr>
            <w:tcW w:w="3116" w:type="dxa"/>
          </w:tcPr>
          <w:p w14:paraId="0E7E74F8" w14:textId="77777777" w:rsidR="00AA1F10" w:rsidRPr="00697906" w:rsidRDefault="00AA1F10" w:rsidP="005E5CB4">
            <w:pPr>
              <w:pStyle w:val="TableText"/>
            </w:pPr>
            <w:r w:rsidRPr="00697906">
              <w:t>234.1</w:t>
            </w:r>
          </w:p>
        </w:tc>
        <w:tc>
          <w:tcPr>
            <w:tcW w:w="3117" w:type="dxa"/>
          </w:tcPr>
          <w:p w14:paraId="245A15F4" w14:textId="77777777" w:rsidR="00AA1F10" w:rsidRPr="00697906" w:rsidRDefault="00AA1F10" w:rsidP="005E5CB4">
            <w:pPr>
              <w:pStyle w:val="TableText"/>
              <w:tabs>
                <w:tab w:val="decimal" w:pos="481"/>
              </w:tabs>
            </w:pPr>
            <w:r w:rsidRPr="00697906">
              <w:t>1,000</w:t>
            </w:r>
          </w:p>
        </w:tc>
        <w:tc>
          <w:tcPr>
            <w:tcW w:w="3117" w:type="dxa"/>
          </w:tcPr>
          <w:p w14:paraId="2F08EC89" w14:textId="77777777" w:rsidR="00AA1F10" w:rsidRPr="00697906" w:rsidRDefault="00AA1F10" w:rsidP="005E5CB4">
            <w:pPr>
              <w:pStyle w:val="TableText"/>
              <w:tabs>
                <w:tab w:val="decimal" w:pos="481"/>
              </w:tabs>
            </w:pPr>
            <w:r w:rsidRPr="00697906">
              <w:t>1,000</w:t>
            </w:r>
          </w:p>
        </w:tc>
      </w:tr>
      <w:tr w:rsidR="00AA1F10" w:rsidRPr="00697906" w14:paraId="48CA04FB" w14:textId="77777777" w:rsidTr="005E5CB4">
        <w:tc>
          <w:tcPr>
            <w:tcW w:w="3116" w:type="dxa"/>
          </w:tcPr>
          <w:p w14:paraId="01948A9C" w14:textId="77777777" w:rsidR="00AA1F10" w:rsidRPr="00697906" w:rsidRDefault="00AA1F10" w:rsidP="005E5CB4">
            <w:pPr>
              <w:pStyle w:val="TableText"/>
            </w:pPr>
            <w:r w:rsidRPr="00697906">
              <w:t>346.7</w:t>
            </w:r>
          </w:p>
        </w:tc>
        <w:tc>
          <w:tcPr>
            <w:tcW w:w="3117" w:type="dxa"/>
          </w:tcPr>
          <w:p w14:paraId="3A962943" w14:textId="77777777" w:rsidR="00AA1F10" w:rsidRPr="00697906" w:rsidRDefault="00AA1F10" w:rsidP="005E5CB4">
            <w:pPr>
              <w:pStyle w:val="TableText"/>
              <w:tabs>
                <w:tab w:val="decimal" w:pos="481"/>
              </w:tabs>
            </w:pPr>
            <w:r w:rsidRPr="00697906">
              <w:t>1,625</w:t>
            </w:r>
          </w:p>
        </w:tc>
        <w:tc>
          <w:tcPr>
            <w:tcW w:w="3117" w:type="dxa"/>
          </w:tcPr>
          <w:p w14:paraId="2DB9B7B9" w14:textId="77777777" w:rsidR="00AA1F10" w:rsidRPr="00697906" w:rsidRDefault="00AA1F10" w:rsidP="005E5CB4">
            <w:pPr>
              <w:pStyle w:val="TableText"/>
              <w:tabs>
                <w:tab w:val="decimal" w:pos="481"/>
              </w:tabs>
            </w:pPr>
            <w:r w:rsidRPr="00697906">
              <w:t>1,466.7</w:t>
            </w:r>
          </w:p>
        </w:tc>
      </w:tr>
      <w:tr w:rsidR="00AA1F10" w:rsidRPr="00697906" w14:paraId="1E6ACED9" w14:textId="77777777" w:rsidTr="005E5CB4">
        <w:tc>
          <w:tcPr>
            <w:tcW w:w="3116" w:type="dxa"/>
          </w:tcPr>
          <w:p w14:paraId="092DE3AF" w14:textId="77777777" w:rsidR="00AA1F10" w:rsidRPr="00697906" w:rsidRDefault="00AA1F10" w:rsidP="005E5CB4">
            <w:pPr>
              <w:pStyle w:val="TableText"/>
            </w:pPr>
            <w:r w:rsidRPr="00697906">
              <w:t>483.7</w:t>
            </w:r>
          </w:p>
        </w:tc>
        <w:tc>
          <w:tcPr>
            <w:tcW w:w="3117" w:type="dxa"/>
          </w:tcPr>
          <w:p w14:paraId="40846387" w14:textId="77777777" w:rsidR="00AA1F10" w:rsidRPr="00697906" w:rsidRDefault="00AA1F10" w:rsidP="005E5CB4">
            <w:pPr>
              <w:pStyle w:val="TableText"/>
              <w:tabs>
                <w:tab w:val="decimal" w:pos="481"/>
              </w:tabs>
            </w:pPr>
            <w:r w:rsidRPr="00697906">
              <w:t>1,212.5</w:t>
            </w:r>
          </w:p>
        </w:tc>
        <w:tc>
          <w:tcPr>
            <w:tcW w:w="3117" w:type="dxa"/>
          </w:tcPr>
          <w:p w14:paraId="31EAF94D" w14:textId="77777777" w:rsidR="00AA1F10" w:rsidRPr="00697906" w:rsidRDefault="00AA1F10" w:rsidP="005E5CB4">
            <w:pPr>
              <w:pStyle w:val="TableText"/>
              <w:tabs>
                <w:tab w:val="decimal" w:pos="481"/>
              </w:tabs>
            </w:pPr>
            <w:r w:rsidRPr="00697906">
              <w:t>1,933.3</w:t>
            </w:r>
          </w:p>
        </w:tc>
      </w:tr>
    </w:tbl>
    <w:p w14:paraId="028E2670" w14:textId="77777777" w:rsidR="00AA1F10" w:rsidRPr="00697906" w:rsidRDefault="00AA1F10" w:rsidP="00AA1F10"/>
    <w:p w14:paraId="226554BB" w14:textId="77777777" w:rsidR="00AA1F10" w:rsidRPr="00CD2B13" w:rsidRDefault="00AA1F10" w:rsidP="00CD2B13">
      <w:pPr>
        <w:pStyle w:val="Heading6"/>
        <w:rPr>
          <w:b/>
          <w:bCs w:val="0"/>
        </w:rPr>
      </w:pPr>
      <w:r w:rsidRPr="00CD2B13">
        <w:rPr>
          <w:b/>
          <w:bCs w:val="0"/>
        </w:rPr>
        <w:t>Water</w:t>
      </w:r>
      <w:r w:rsidRPr="00CD2B13">
        <w:rPr>
          <w:b/>
          <w:bCs w:val="0"/>
          <w:spacing w:val="-1"/>
        </w:rPr>
        <w:t xml:space="preserve"> </w:t>
      </w:r>
      <w:r w:rsidRPr="00CD2B13">
        <w:rPr>
          <w:b/>
          <w:bCs w:val="0"/>
        </w:rPr>
        <w:t>Quality</w:t>
      </w:r>
    </w:p>
    <w:p w14:paraId="24704CB3" w14:textId="7476ABB9" w:rsidR="00AA1F10" w:rsidRPr="00697906" w:rsidRDefault="00AA1F10" w:rsidP="0098394B">
      <w:pPr>
        <w:pStyle w:val="BodyText"/>
        <w:keepNext w:val="0"/>
      </w:pPr>
      <w:r w:rsidRPr="00697906">
        <w:t>Releases are made to the Stanislaus River below Goodwin Dam to meet the D-1422 dissolved oxygen content objective. Surrogate flows representing releases for dissolved oxygen requirement in CalSim II are presented in</w:t>
      </w:r>
      <w:r>
        <w:t xml:space="preserve"> </w:t>
      </w:r>
      <w:r>
        <w:fldChar w:fldCharType="begin"/>
      </w:r>
      <w:r>
        <w:instrText xml:space="preserve"> REF _Ref63171187 \h </w:instrText>
      </w:r>
      <w:r>
        <w:fldChar w:fldCharType="separate"/>
      </w:r>
      <w:r>
        <w:t xml:space="preserve">Table </w:t>
      </w:r>
      <w:r w:rsidR="0060279E">
        <w:t>1</w:t>
      </w:r>
      <w:r w:rsidR="00207152">
        <w:t>-</w:t>
      </w:r>
      <w:r>
        <w:rPr>
          <w:noProof/>
        </w:rPr>
        <w:t>10</w:t>
      </w:r>
      <w:r>
        <w:fldChar w:fldCharType="end"/>
      </w:r>
      <w:r w:rsidRPr="00697906">
        <w:t>. The surrogate flows are reduced for critical years under the San Joaquin 60-20-20 Index. These flows are met through releases from New Melones without any annual volumetric limit.</w:t>
      </w:r>
    </w:p>
    <w:p w14:paraId="033B3371" w14:textId="0D6BF1E7" w:rsidR="00AA1F10" w:rsidRPr="00DB2AC5" w:rsidRDefault="00AA1F10" w:rsidP="00AA1F10">
      <w:pPr>
        <w:pStyle w:val="Caption"/>
      </w:pPr>
      <w:bookmarkStart w:id="88" w:name="_Ref63171187"/>
      <w:r>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10</w:t>
      </w:r>
      <w:r w:rsidR="001917C5">
        <w:rPr>
          <w:noProof/>
        </w:rPr>
        <w:fldChar w:fldCharType="end"/>
      </w:r>
      <w:bookmarkEnd w:id="88"/>
      <w:r w:rsidRPr="00C60E93">
        <w:t>. Surrogate flows representing releases for dissolved oxygen requirement in CalSim II</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048"/>
        <w:gridCol w:w="3247"/>
        <w:gridCol w:w="3065"/>
      </w:tblGrid>
      <w:tr w:rsidR="00AA1F10" w:rsidRPr="00697906" w14:paraId="148DFAB5" w14:textId="77777777" w:rsidTr="005E5CB4">
        <w:tc>
          <w:tcPr>
            <w:tcW w:w="3048" w:type="dxa"/>
          </w:tcPr>
          <w:p w14:paraId="11312350" w14:textId="77777777" w:rsidR="00AA1F10" w:rsidRPr="00697906" w:rsidRDefault="00AA1F10" w:rsidP="005E5CB4">
            <w:pPr>
              <w:pStyle w:val="TableText"/>
            </w:pPr>
          </w:p>
        </w:tc>
        <w:tc>
          <w:tcPr>
            <w:tcW w:w="3247" w:type="dxa"/>
          </w:tcPr>
          <w:p w14:paraId="25245C74" w14:textId="77777777" w:rsidR="00AA1F10" w:rsidRPr="00697906" w:rsidRDefault="00AA1F10" w:rsidP="005E5CB4">
            <w:pPr>
              <w:pStyle w:val="TableText"/>
              <w:rPr>
                <w:b/>
              </w:rPr>
            </w:pPr>
            <w:r w:rsidRPr="00697906">
              <w:rPr>
                <w:b/>
              </w:rPr>
              <w:t>Non-Critical Years</w:t>
            </w:r>
          </w:p>
        </w:tc>
        <w:tc>
          <w:tcPr>
            <w:tcW w:w="3065" w:type="dxa"/>
          </w:tcPr>
          <w:p w14:paraId="7EFB94F2" w14:textId="77777777" w:rsidR="00AA1F10" w:rsidRPr="00697906" w:rsidRDefault="00AA1F10" w:rsidP="005E5CB4">
            <w:pPr>
              <w:pStyle w:val="TableText"/>
              <w:rPr>
                <w:b/>
              </w:rPr>
            </w:pPr>
            <w:r w:rsidRPr="00697906">
              <w:rPr>
                <w:b/>
              </w:rPr>
              <w:t>Critical Years</w:t>
            </w:r>
          </w:p>
        </w:tc>
      </w:tr>
      <w:tr w:rsidR="00AA1F10" w:rsidRPr="00697906" w14:paraId="4DD66A24" w14:textId="77777777" w:rsidTr="005E5CB4">
        <w:tc>
          <w:tcPr>
            <w:tcW w:w="3048" w:type="dxa"/>
          </w:tcPr>
          <w:p w14:paraId="25D7AFB9" w14:textId="77777777" w:rsidR="00AA1F10" w:rsidRPr="00697906" w:rsidRDefault="00AA1F10" w:rsidP="005E5CB4">
            <w:pPr>
              <w:pStyle w:val="TableText"/>
            </w:pPr>
            <w:r w:rsidRPr="00697906">
              <w:t>January</w:t>
            </w:r>
          </w:p>
        </w:tc>
        <w:tc>
          <w:tcPr>
            <w:tcW w:w="3247" w:type="dxa"/>
          </w:tcPr>
          <w:p w14:paraId="5E7D0800" w14:textId="77777777" w:rsidR="00AA1F10" w:rsidRPr="00697906" w:rsidRDefault="00AA1F10" w:rsidP="005E5CB4">
            <w:pPr>
              <w:pStyle w:val="TableText"/>
              <w:tabs>
                <w:tab w:val="decimal" w:pos="276"/>
              </w:tabs>
            </w:pPr>
            <w:r w:rsidRPr="00697906">
              <w:t>0.0</w:t>
            </w:r>
          </w:p>
        </w:tc>
        <w:tc>
          <w:tcPr>
            <w:tcW w:w="3065" w:type="dxa"/>
          </w:tcPr>
          <w:p w14:paraId="7DA8BFE3" w14:textId="77777777" w:rsidR="00AA1F10" w:rsidRPr="00697906" w:rsidRDefault="00AA1F10" w:rsidP="005E5CB4">
            <w:pPr>
              <w:pStyle w:val="TableText"/>
              <w:tabs>
                <w:tab w:val="decimal" w:pos="276"/>
              </w:tabs>
            </w:pPr>
            <w:r w:rsidRPr="00697906">
              <w:t>0.0</w:t>
            </w:r>
          </w:p>
        </w:tc>
      </w:tr>
      <w:tr w:rsidR="00AA1F10" w:rsidRPr="00697906" w14:paraId="1DB0817C" w14:textId="77777777" w:rsidTr="005E5CB4">
        <w:tc>
          <w:tcPr>
            <w:tcW w:w="3048" w:type="dxa"/>
          </w:tcPr>
          <w:p w14:paraId="35B2B887" w14:textId="77777777" w:rsidR="00AA1F10" w:rsidRPr="00697906" w:rsidRDefault="00AA1F10" w:rsidP="005E5CB4">
            <w:pPr>
              <w:pStyle w:val="TableText"/>
            </w:pPr>
            <w:r w:rsidRPr="00697906">
              <w:t>February</w:t>
            </w:r>
          </w:p>
        </w:tc>
        <w:tc>
          <w:tcPr>
            <w:tcW w:w="3247" w:type="dxa"/>
          </w:tcPr>
          <w:p w14:paraId="245DD788" w14:textId="77777777" w:rsidR="00AA1F10" w:rsidRPr="00697906" w:rsidRDefault="00AA1F10" w:rsidP="005E5CB4">
            <w:pPr>
              <w:pStyle w:val="TableText"/>
              <w:tabs>
                <w:tab w:val="decimal" w:pos="276"/>
              </w:tabs>
            </w:pPr>
            <w:r w:rsidRPr="00697906">
              <w:t>0.0</w:t>
            </w:r>
          </w:p>
        </w:tc>
        <w:tc>
          <w:tcPr>
            <w:tcW w:w="3065" w:type="dxa"/>
          </w:tcPr>
          <w:p w14:paraId="3F2230A2" w14:textId="77777777" w:rsidR="00AA1F10" w:rsidRPr="00697906" w:rsidRDefault="00AA1F10" w:rsidP="005E5CB4">
            <w:pPr>
              <w:pStyle w:val="TableText"/>
              <w:tabs>
                <w:tab w:val="decimal" w:pos="276"/>
              </w:tabs>
            </w:pPr>
            <w:r w:rsidRPr="00697906">
              <w:t>0.0</w:t>
            </w:r>
          </w:p>
        </w:tc>
      </w:tr>
      <w:tr w:rsidR="00AA1F10" w:rsidRPr="00697906" w14:paraId="2CC6DE5F" w14:textId="77777777" w:rsidTr="005E5CB4">
        <w:tc>
          <w:tcPr>
            <w:tcW w:w="3048" w:type="dxa"/>
          </w:tcPr>
          <w:p w14:paraId="1764223B" w14:textId="77777777" w:rsidR="00AA1F10" w:rsidRPr="00697906" w:rsidRDefault="00AA1F10" w:rsidP="005E5CB4">
            <w:pPr>
              <w:pStyle w:val="TableText"/>
            </w:pPr>
            <w:r w:rsidRPr="00697906">
              <w:t>March</w:t>
            </w:r>
          </w:p>
        </w:tc>
        <w:tc>
          <w:tcPr>
            <w:tcW w:w="3247" w:type="dxa"/>
          </w:tcPr>
          <w:p w14:paraId="7781DD0A" w14:textId="77777777" w:rsidR="00AA1F10" w:rsidRPr="00697906" w:rsidRDefault="00AA1F10" w:rsidP="005E5CB4">
            <w:pPr>
              <w:pStyle w:val="TableText"/>
              <w:tabs>
                <w:tab w:val="decimal" w:pos="276"/>
              </w:tabs>
            </w:pPr>
            <w:r w:rsidRPr="00697906">
              <w:t>0.0</w:t>
            </w:r>
          </w:p>
        </w:tc>
        <w:tc>
          <w:tcPr>
            <w:tcW w:w="3065" w:type="dxa"/>
          </w:tcPr>
          <w:p w14:paraId="4C09BDE5" w14:textId="77777777" w:rsidR="00AA1F10" w:rsidRPr="00697906" w:rsidRDefault="00AA1F10" w:rsidP="005E5CB4">
            <w:pPr>
              <w:pStyle w:val="TableText"/>
              <w:tabs>
                <w:tab w:val="decimal" w:pos="276"/>
              </w:tabs>
            </w:pPr>
            <w:r w:rsidRPr="00697906">
              <w:t>0.0</w:t>
            </w:r>
          </w:p>
        </w:tc>
      </w:tr>
      <w:tr w:rsidR="00AA1F10" w:rsidRPr="00697906" w14:paraId="05AABA28" w14:textId="77777777" w:rsidTr="005E5CB4">
        <w:tc>
          <w:tcPr>
            <w:tcW w:w="3048" w:type="dxa"/>
          </w:tcPr>
          <w:p w14:paraId="644DB6BB" w14:textId="77777777" w:rsidR="00AA1F10" w:rsidRPr="00697906" w:rsidRDefault="00AA1F10" w:rsidP="005E5CB4">
            <w:pPr>
              <w:pStyle w:val="TableText"/>
            </w:pPr>
            <w:r w:rsidRPr="00697906">
              <w:t>April</w:t>
            </w:r>
          </w:p>
        </w:tc>
        <w:tc>
          <w:tcPr>
            <w:tcW w:w="3247" w:type="dxa"/>
          </w:tcPr>
          <w:p w14:paraId="14680412" w14:textId="77777777" w:rsidR="00AA1F10" w:rsidRPr="00697906" w:rsidRDefault="00AA1F10" w:rsidP="005E5CB4">
            <w:pPr>
              <w:pStyle w:val="TableText"/>
              <w:tabs>
                <w:tab w:val="decimal" w:pos="276"/>
              </w:tabs>
            </w:pPr>
            <w:r w:rsidRPr="00697906">
              <w:t>0.0</w:t>
            </w:r>
          </w:p>
        </w:tc>
        <w:tc>
          <w:tcPr>
            <w:tcW w:w="3065" w:type="dxa"/>
          </w:tcPr>
          <w:p w14:paraId="7570DBBC" w14:textId="77777777" w:rsidR="00AA1F10" w:rsidRPr="00697906" w:rsidRDefault="00AA1F10" w:rsidP="005E5CB4">
            <w:pPr>
              <w:pStyle w:val="TableText"/>
              <w:tabs>
                <w:tab w:val="decimal" w:pos="276"/>
              </w:tabs>
            </w:pPr>
            <w:r w:rsidRPr="00697906">
              <w:t>0.0</w:t>
            </w:r>
          </w:p>
        </w:tc>
      </w:tr>
      <w:tr w:rsidR="00AA1F10" w:rsidRPr="00697906" w14:paraId="2E2524C3" w14:textId="77777777" w:rsidTr="005E5CB4">
        <w:tc>
          <w:tcPr>
            <w:tcW w:w="3048" w:type="dxa"/>
          </w:tcPr>
          <w:p w14:paraId="01B43194" w14:textId="77777777" w:rsidR="00AA1F10" w:rsidRPr="00697906" w:rsidRDefault="00AA1F10" w:rsidP="005E5CB4">
            <w:pPr>
              <w:pStyle w:val="TableText"/>
            </w:pPr>
            <w:r w:rsidRPr="00697906">
              <w:t>May</w:t>
            </w:r>
          </w:p>
        </w:tc>
        <w:tc>
          <w:tcPr>
            <w:tcW w:w="3247" w:type="dxa"/>
          </w:tcPr>
          <w:p w14:paraId="78DEB236" w14:textId="77777777" w:rsidR="00AA1F10" w:rsidRPr="00697906" w:rsidRDefault="00AA1F10" w:rsidP="005E5CB4">
            <w:pPr>
              <w:pStyle w:val="TableText"/>
              <w:tabs>
                <w:tab w:val="decimal" w:pos="276"/>
              </w:tabs>
            </w:pPr>
            <w:r w:rsidRPr="00697906">
              <w:t>15.2</w:t>
            </w:r>
          </w:p>
        </w:tc>
        <w:tc>
          <w:tcPr>
            <w:tcW w:w="3065" w:type="dxa"/>
          </w:tcPr>
          <w:p w14:paraId="1267AB59" w14:textId="77777777" w:rsidR="00AA1F10" w:rsidRPr="00697906" w:rsidRDefault="00AA1F10" w:rsidP="005E5CB4">
            <w:pPr>
              <w:pStyle w:val="TableText"/>
              <w:tabs>
                <w:tab w:val="decimal" w:pos="276"/>
              </w:tabs>
            </w:pPr>
            <w:r w:rsidRPr="00697906">
              <w:t>11.9</w:t>
            </w:r>
          </w:p>
        </w:tc>
      </w:tr>
      <w:tr w:rsidR="00AA1F10" w:rsidRPr="00697906" w14:paraId="43887AC5" w14:textId="77777777" w:rsidTr="005E5CB4">
        <w:tc>
          <w:tcPr>
            <w:tcW w:w="3048" w:type="dxa"/>
          </w:tcPr>
          <w:p w14:paraId="620025DA" w14:textId="77777777" w:rsidR="00AA1F10" w:rsidRPr="00697906" w:rsidRDefault="00AA1F10" w:rsidP="005E5CB4">
            <w:pPr>
              <w:pStyle w:val="TableText"/>
            </w:pPr>
            <w:r w:rsidRPr="00697906">
              <w:t>June</w:t>
            </w:r>
          </w:p>
        </w:tc>
        <w:tc>
          <w:tcPr>
            <w:tcW w:w="3247" w:type="dxa"/>
          </w:tcPr>
          <w:p w14:paraId="3AB9144E" w14:textId="77777777" w:rsidR="00AA1F10" w:rsidRPr="00697906" w:rsidRDefault="00AA1F10" w:rsidP="005E5CB4">
            <w:pPr>
              <w:pStyle w:val="TableText"/>
              <w:tabs>
                <w:tab w:val="decimal" w:pos="276"/>
              </w:tabs>
            </w:pPr>
            <w:r w:rsidRPr="00697906">
              <w:t>16.3</w:t>
            </w:r>
          </w:p>
        </w:tc>
        <w:tc>
          <w:tcPr>
            <w:tcW w:w="3065" w:type="dxa"/>
          </w:tcPr>
          <w:p w14:paraId="694CD4B1" w14:textId="77777777" w:rsidR="00AA1F10" w:rsidRPr="00697906" w:rsidRDefault="00AA1F10" w:rsidP="005E5CB4">
            <w:pPr>
              <w:pStyle w:val="TableText"/>
              <w:tabs>
                <w:tab w:val="decimal" w:pos="276"/>
              </w:tabs>
            </w:pPr>
            <w:r w:rsidRPr="00697906">
              <w:t>12.3</w:t>
            </w:r>
          </w:p>
        </w:tc>
      </w:tr>
      <w:tr w:rsidR="00AA1F10" w:rsidRPr="00697906" w14:paraId="6B369D86" w14:textId="77777777" w:rsidTr="005E5CB4">
        <w:tc>
          <w:tcPr>
            <w:tcW w:w="3048" w:type="dxa"/>
          </w:tcPr>
          <w:p w14:paraId="65DAA3B1" w14:textId="77777777" w:rsidR="00AA1F10" w:rsidRPr="00697906" w:rsidRDefault="00AA1F10" w:rsidP="005E5CB4">
            <w:pPr>
              <w:pStyle w:val="TableText"/>
            </w:pPr>
            <w:r w:rsidRPr="00697906">
              <w:t>July</w:t>
            </w:r>
          </w:p>
        </w:tc>
        <w:tc>
          <w:tcPr>
            <w:tcW w:w="3247" w:type="dxa"/>
          </w:tcPr>
          <w:p w14:paraId="0FC6AC1F" w14:textId="77777777" w:rsidR="00AA1F10" w:rsidRPr="00697906" w:rsidRDefault="00AA1F10" w:rsidP="005E5CB4">
            <w:pPr>
              <w:pStyle w:val="TableText"/>
              <w:tabs>
                <w:tab w:val="decimal" w:pos="276"/>
              </w:tabs>
            </w:pPr>
            <w:r w:rsidRPr="00697906">
              <w:t>17.4</w:t>
            </w:r>
          </w:p>
        </w:tc>
        <w:tc>
          <w:tcPr>
            <w:tcW w:w="3065" w:type="dxa"/>
          </w:tcPr>
          <w:p w14:paraId="53C5ED8A" w14:textId="77777777" w:rsidR="00AA1F10" w:rsidRPr="00697906" w:rsidRDefault="00AA1F10" w:rsidP="005E5CB4">
            <w:pPr>
              <w:pStyle w:val="TableText"/>
              <w:tabs>
                <w:tab w:val="decimal" w:pos="276"/>
              </w:tabs>
            </w:pPr>
            <w:r w:rsidRPr="00697906">
              <w:t>12.3</w:t>
            </w:r>
          </w:p>
        </w:tc>
      </w:tr>
      <w:tr w:rsidR="00AA1F10" w:rsidRPr="00697906" w14:paraId="656B3628" w14:textId="77777777" w:rsidTr="005E5CB4">
        <w:tc>
          <w:tcPr>
            <w:tcW w:w="3048" w:type="dxa"/>
          </w:tcPr>
          <w:p w14:paraId="29460814" w14:textId="77777777" w:rsidR="00AA1F10" w:rsidRPr="00697906" w:rsidRDefault="00AA1F10" w:rsidP="005E5CB4">
            <w:pPr>
              <w:pStyle w:val="TableText"/>
            </w:pPr>
            <w:r w:rsidRPr="00697906">
              <w:t>August</w:t>
            </w:r>
          </w:p>
        </w:tc>
        <w:tc>
          <w:tcPr>
            <w:tcW w:w="3247" w:type="dxa"/>
          </w:tcPr>
          <w:p w14:paraId="7EB0BE67" w14:textId="77777777" w:rsidR="00AA1F10" w:rsidRPr="00697906" w:rsidRDefault="00AA1F10" w:rsidP="005E5CB4">
            <w:pPr>
              <w:pStyle w:val="TableText"/>
              <w:tabs>
                <w:tab w:val="decimal" w:pos="276"/>
              </w:tabs>
            </w:pPr>
            <w:r w:rsidRPr="00697906">
              <w:t>14.8</w:t>
            </w:r>
          </w:p>
        </w:tc>
        <w:tc>
          <w:tcPr>
            <w:tcW w:w="3065" w:type="dxa"/>
          </w:tcPr>
          <w:p w14:paraId="5D857F22" w14:textId="77777777" w:rsidR="00AA1F10" w:rsidRPr="00697906" w:rsidRDefault="00AA1F10" w:rsidP="005E5CB4">
            <w:pPr>
              <w:pStyle w:val="TableText"/>
              <w:tabs>
                <w:tab w:val="decimal" w:pos="276"/>
              </w:tabs>
            </w:pPr>
            <w:r w:rsidRPr="00697906">
              <w:t>11.9</w:t>
            </w:r>
          </w:p>
        </w:tc>
      </w:tr>
      <w:tr w:rsidR="00AA1F10" w:rsidRPr="00697906" w14:paraId="3D597D0F" w14:textId="77777777" w:rsidTr="005E5CB4">
        <w:tc>
          <w:tcPr>
            <w:tcW w:w="3048" w:type="dxa"/>
          </w:tcPr>
          <w:p w14:paraId="5D099191" w14:textId="77777777" w:rsidR="00AA1F10" w:rsidRPr="00697906" w:rsidRDefault="00AA1F10" w:rsidP="005E5CB4">
            <w:pPr>
              <w:pStyle w:val="TableText"/>
            </w:pPr>
            <w:r w:rsidRPr="00697906">
              <w:t>September</w:t>
            </w:r>
          </w:p>
        </w:tc>
        <w:tc>
          <w:tcPr>
            <w:tcW w:w="3247" w:type="dxa"/>
          </w:tcPr>
          <w:p w14:paraId="53225D3D" w14:textId="77777777" w:rsidR="00AA1F10" w:rsidRPr="00697906" w:rsidRDefault="00AA1F10" w:rsidP="005E5CB4">
            <w:pPr>
              <w:pStyle w:val="TableText"/>
              <w:tabs>
                <w:tab w:val="decimal" w:pos="276"/>
              </w:tabs>
            </w:pPr>
            <w:r w:rsidRPr="00697906">
              <w:t>0.0</w:t>
            </w:r>
          </w:p>
        </w:tc>
        <w:tc>
          <w:tcPr>
            <w:tcW w:w="3065" w:type="dxa"/>
          </w:tcPr>
          <w:p w14:paraId="685FC6C6" w14:textId="77777777" w:rsidR="00AA1F10" w:rsidRPr="00697906" w:rsidRDefault="00AA1F10" w:rsidP="005E5CB4">
            <w:pPr>
              <w:pStyle w:val="TableText"/>
              <w:tabs>
                <w:tab w:val="decimal" w:pos="276"/>
              </w:tabs>
            </w:pPr>
            <w:r w:rsidRPr="00697906">
              <w:t>0.0</w:t>
            </w:r>
          </w:p>
        </w:tc>
      </w:tr>
      <w:tr w:rsidR="00AA1F10" w:rsidRPr="00697906" w14:paraId="3CF86749" w14:textId="77777777" w:rsidTr="005E5CB4">
        <w:tc>
          <w:tcPr>
            <w:tcW w:w="3048" w:type="dxa"/>
          </w:tcPr>
          <w:p w14:paraId="2D1F8E34" w14:textId="77777777" w:rsidR="00AA1F10" w:rsidRPr="00697906" w:rsidRDefault="00AA1F10" w:rsidP="005E5CB4">
            <w:pPr>
              <w:pStyle w:val="TableText"/>
            </w:pPr>
            <w:r w:rsidRPr="00697906">
              <w:t>October</w:t>
            </w:r>
          </w:p>
        </w:tc>
        <w:tc>
          <w:tcPr>
            <w:tcW w:w="3247" w:type="dxa"/>
          </w:tcPr>
          <w:p w14:paraId="2E9F2DFE" w14:textId="77777777" w:rsidR="00AA1F10" w:rsidRPr="00697906" w:rsidRDefault="00AA1F10" w:rsidP="005E5CB4">
            <w:pPr>
              <w:pStyle w:val="TableText"/>
              <w:tabs>
                <w:tab w:val="decimal" w:pos="276"/>
              </w:tabs>
            </w:pPr>
            <w:r w:rsidRPr="00697906">
              <w:t>0.0</w:t>
            </w:r>
          </w:p>
        </w:tc>
        <w:tc>
          <w:tcPr>
            <w:tcW w:w="3065" w:type="dxa"/>
          </w:tcPr>
          <w:p w14:paraId="2BB43F98" w14:textId="77777777" w:rsidR="00AA1F10" w:rsidRPr="00697906" w:rsidRDefault="00AA1F10" w:rsidP="005E5CB4">
            <w:pPr>
              <w:pStyle w:val="TableText"/>
              <w:tabs>
                <w:tab w:val="decimal" w:pos="276"/>
              </w:tabs>
            </w:pPr>
            <w:r w:rsidRPr="00697906">
              <w:t>0.0</w:t>
            </w:r>
          </w:p>
        </w:tc>
      </w:tr>
      <w:tr w:rsidR="00AA1F10" w:rsidRPr="00697906" w14:paraId="64771A3F" w14:textId="77777777" w:rsidTr="005E5CB4">
        <w:tc>
          <w:tcPr>
            <w:tcW w:w="3048" w:type="dxa"/>
          </w:tcPr>
          <w:p w14:paraId="209F36C9" w14:textId="77777777" w:rsidR="00AA1F10" w:rsidRPr="00697906" w:rsidRDefault="00AA1F10" w:rsidP="005E5CB4">
            <w:pPr>
              <w:pStyle w:val="TableText"/>
            </w:pPr>
            <w:r w:rsidRPr="00697906">
              <w:t>November</w:t>
            </w:r>
          </w:p>
        </w:tc>
        <w:tc>
          <w:tcPr>
            <w:tcW w:w="3247" w:type="dxa"/>
          </w:tcPr>
          <w:p w14:paraId="170579A4" w14:textId="77777777" w:rsidR="00AA1F10" w:rsidRPr="00697906" w:rsidRDefault="00AA1F10" w:rsidP="005E5CB4">
            <w:pPr>
              <w:pStyle w:val="TableText"/>
              <w:tabs>
                <w:tab w:val="decimal" w:pos="276"/>
              </w:tabs>
            </w:pPr>
            <w:r w:rsidRPr="00697906">
              <w:t>0.0</w:t>
            </w:r>
          </w:p>
        </w:tc>
        <w:tc>
          <w:tcPr>
            <w:tcW w:w="3065" w:type="dxa"/>
          </w:tcPr>
          <w:p w14:paraId="48183A08" w14:textId="77777777" w:rsidR="00AA1F10" w:rsidRPr="00697906" w:rsidRDefault="00AA1F10" w:rsidP="005E5CB4">
            <w:pPr>
              <w:pStyle w:val="TableText"/>
              <w:tabs>
                <w:tab w:val="decimal" w:pos="276"/>
              </w:tabs>
            </w:pPr>
            <w:r w:rsidRPr="00697906">
              <w:t>0.0</w:t>
            </w:r>
          </w:p>
        </w:tc>
      </w:tr>
      <w:tr w:rsidR="00AA1F10" w:rsidRPr="00697906" w14:paraId="24A0C77E" w14:textId="77777777" w:rsidTr="005E5CB4">
        <w:tc>
          <w:tcPr>
            <w:tcW w:w="3048" w:type="dxa"/>
          </w:tcPr>
          <w:p w14:paraId="4836DED1" w14:textId="77777777" w:rsidR="00AA1F10" w:rsidRPr="00697906" w:rsidRDefault="00AA1F10" w:rsidP="005E5CB4">
            <w:pPr>
              <w:pStyle w:val="TableText"/>
            </w:pPr>
            <w:r w:rsidRPr="00697906">
              <w:t>December</w:t>
            </w:r>
          </w:p>
        </w:tc>
        <w:tc>
          <w:tcPr>
            <w:tcW w:w="3247" w:type="dxa"/>
          </w:tcPr>
          <w:p w14:paraId="7C0EE265" w14:textId="77777777" w:rsidR="00AA1F10" w:rsidRPr="00697906" w:rsidRDefault="00AA1F10" w:rsidP="005E5CB4">
            <w:pPr>
              <w:pStyle w:val="TableText"/>
              <w:tabs>
                <w:tab w:val="decimal" w:pos="276"/>
              </w:tabs>
            </w:pPr>
            <w:r w:rsidRPr="00697906">
              <w:t>0.0</w:t>
            </w:r>
          </w:p>
        </w:tc>
        <w:tc>
          <w:tcPr>
            <w:tcW w:w="3065" w:type="dxa"/>
          </w:tcPr>
          <w:p w14:paraId="6210412A" w14:textId="77777777" w:rsidR="00AA1F10" w:rsidRPr="00697906" w:rsidRDefault="00AA1F10" w:rsidP="005E5CB4">
            <w:pPr>
              <w:pStyle w:val="TableText"/>
              <w:tabs>
                <w:tab w:val="decimal" w:pos="276"/>
              </w:tabs>
            </w:pPr>
            <w:r w:rsidRPr="00697906">
              <w:t>0.0</w:t>
            </w:r>
          </w:p>
        </w:tc>
      </w:tr>
    </w:tbl>
    <w:p w14:paraId="47120171" w14:textId="77777777" w:rsidR="00AA1F10" w:rsidRDefault="00AA1F10" w:rsidP="00AA1F10"/>
    <w:p w14:paraId="18CE2FA2" w14:textId="77777777" w:rsidR="00AA1F10" w:rsidRPr="00CD2B13" w:rsidRDefault="00AA1F10" w:rsidP="007F771B">
      <w:pPr>
        <w:pStyle w:val="Heading6"/>
        <w:keepNext/>
        <w:rPr>
          <w:b/>
          <w:bCs w:val="0"/>
        </w:rPr>
      </w:pPr>
      <w:r w:rsidRPr="00CD2B13">
        <w:rPr>
          <w:b/>
          <w:bCs w:val="0"/>
        </w:rPr>
        <w:lastRenderedPageBreak/>
        <w:t>Water</w:t>
      </w:r>
      <w:r w:rsidRPr="00CD2B13">
        <w:rPr>
          <w:b/>
          <w:bCs w:val="0"/>
          <w:spacing w:val="-1"/>
        </w:rPr>
        <w:t xml:space="preserve"> </w:t>
      </w:r>
      <w:r w:rsidRPr="00CD2B13">
        <w:rPr>
          <w:b/>
          <w:bCs w:val="0"/>
        </w:rPr>
        <w:t>Supply</w:t>
      </w:r>
    </w:p>
    <w:p w14:paraId="39061CB0" w14:textId="77777777" w:rsidR="00AA1F10" w:rsidRPr="00697906" w:rsidRDefault="00AA1F10" w:rsidP="00AA1F10">
      <w:pPr>
        <w:pStyle w:val="BodyText"/>
      </w:pPr>
      <w:r w:rsidRPr="00697906">
        <w:t>Water supply refers to deliveries from New Melones to water rights holders (Oakdale Irrigation District [ID] and South San Joaquin ID) and CVP eastside contractors (Stockton East Water District [WD] and Central San Joaquin Water Control District [WCD]).</w:t>
      </w:r>
    </w:p>
    <w:p w14:paraId="3A8766AD" w14:textId="77777777" w:rsidR="00AA1F10" w:rsidRPr="00697906" w:rsidRDefault="00AA1F10" w:rsidP="00AA1F10">
      <w:pPr>
        <w:pStyle w:val="BodyText"/>
      </w:pPr>
      <w:r w:rsidRPr="00697906">
        <w:t>Water is provided to Oakdale ID and South San Joaquin ID in accordance with their 1988 Settlement Agreement with Reclamation (up to 600 TAF based on hydrologic conditions), limited by consumptive use. The conservation account of up to 200 TAF storage capacity defined under this agreement is not modeled in CalSim II.</w:t>
      </w:r>
    </w:p>
    <w:p w14:paraId="777AD369" w14:textId="77777777" w:rsidR="00AA1F10" w:rsidRPr="00697906" w:rsidRDefault="00AA1F10" w:rsidP="00CD2B13">
      <w:pPr>
        <w:pStyle w:val="Heading7"/>
      </w:pPr>
      <w:r w:rsidRPr="00697906">
        <w:t xml:space="preserve">Water Supply-CVP Eastside Contractors </w:t>
      </w:r>
    </w:p>
    <w:p w14:paraId="3E0D57CF" w14:textId="0F3A55C1" w:rsidR="00AA1F10" w:rsidRPr="00697906" w:rsidRDefault="00AA1F10" w:rsidP="0098394B">
      <w:pPr>
        <w:pStyle w:val="BodyText"/>
        <w:keepNext w:val="0"/>
      </w:pPr>
      <w:r w:rsidRPr="00697906">
        <w:t xml:space="preserve">Annual allocations are determined using the San Joaquin 60-20-20 Index </w:t>
      </w:r>
      <w:r>
        <w:t xml:space="preserve">(using a 75% exceedance forecast for February through April) </w:t>
      </w:r>
      <w:r w:rsidRPr="00697906">
        <w:t>for Stockton East WD and Central San Joaquin WCD (</w:t>
      </w:r>
      <w:r>
        <w:rPr>
          <w:highlight w:val="yellow"/>
        </w:rPr>
        <w:fldChar w:fldCharType="begin"/>
      </w:r>
      <w:r>
        <w:instrText xml:space="preserve"> REF _Ref63171236 \h </w:instrText>
      </w:r>
      <w:r>
        <w:rPr>
          <w:highlight w:val="yellow"/>
        </w:rPr>
      </w:r>
      <w:r>
        <w:rPr>
          <w:highlight w:val="yellow"/>
        </w:rPr>
        <w:fldChar w:fldCharType="separate"/>
      </w:r>
      <w:r>
        <w:t xml:space="preserve">Table </w:t>
      </w:r>
      <w:r w:rsidR="0060279E">
        <w:t>1</w:t>
      </w:r>
      <w:r w:rsidR="00207152">
        <w:t>-</w:t>
      </w:r>
      <w:r>
        <w:rPr>
          <w:noProof/>
        </w:rPr>
        <w:t>11</w:t>
      </w:r>
      <w:r>
        <w:rPr>
          <w:highlight w:val="yellow"/>
        </w:rPr>
        <w:fldChar w:fldCharType="end"/>
      </w:r>
      <w:r w:rsidRPr="00697906">
        <w:t>) and are distributed throughout 1 year using monthly patterns.</w:t>
      </w:r>
    </w:p>
    <w:p w14:paraId="20EE72FF" w14:textId="180291DE" w:rsidR="00AA1F10" w:rsidRPr="00DB2AC5" w:rsidRDefault="00AA1F10" w:rsidP="0098394B">
      <w:pPr>
        <w:pStyle w:val="Caption"/>
        <w:keepNext/>
      </w:pPr>
      <w:bookmarkStart w:id="89" w:name="_Ref63171236"/>
      <w:r>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11</w:t>
      </w:r>
      <w:r w:rsidR="001917C5">
        <w:rPr>
          <w:noProof/>
        </w:rPr>
        <w:fldChar w:fldCharType="end"/>
      </w:r>
      <w:bookmarkEnd w:id="89"/>
      <w:r w:rsidRPr="006028D1">
        <w:t>. Annual allocations for Stockton East WD and Central San Joaquin WCD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AA1F10" w:rsidRPr="007F17CA" w14:paraId="2265FAD0" w14:textId="77777777" w:rsidTr="005E5CB4">
        <w:tc>
          <w:tcPr>
            <w:tcW w:w="4675" w:type="dxa"/>
          </w:tcPr>
          <w:p w14:paraId="76BE6F75" w14:textId="77777777" w:rsidR="00AA1F10" w:rsidRPr="007F17CA" w:rsidRDefault="00AA1F10" w:rsidP="005E5CB4">
            <w:pPr>
              <w:pStyle w:val="TableText"/>
              <w:rPr>
                <w:b/>
              </w:rPr>
            </w:pPr>
            <w:r w:rsidRPr="007F17CA">
              <w:rPr>
                <w:b/>
              </w:rPr>
              <w:t>60-20-20 Index</w:t>
            </w:r>
          </w:p>
        </w:tc>
        <w:tc>
          <w:tcPr>
            <w:tcW w:w="4675" w:type="dxa"/>
          </w:tcPr>
          <w:p w14:paraId="02C6DF02" w14:textId="77777777" w:rsidR="00AA1F10" w:rsidRPr="007F17CA" w:rsidRDefault="00AA1F10" w:rsidP="005E5CB4">
            <w:pPr>
              <w:pStyle w:val="TableText"/>
              <w:rPr>
                <w:b/>
              </w:rPr>
            </w:pPr>
            <w:r w:rsidRPr="007F17CA">
              <w:rPr>
                <w:b/>
              </w:rPr>
              <w:t>CVP Contractor Allocation (TAF)</w:t>
            </w:r>
          </w:p>
        </w:tc>
      </w:tr>
      <w:tr w:rsidR="00AA1F10" w:rsidRPr="00AD1F23" w14:paraId="5A974D34" w14:textId="77777777" w:rsidTr="005E5CB4">
        <w:tc>
          <w:tcPr>
            <w:tcW w:w="4675" w:type="dxa"/>
          </w:tcPr>
          <w:p w14:paraId="3D53C20D" w14:textId="77777777" w:rsidR="00AA1F10" w:rsidRPr="00AD1F23" w:rsidRDefault="00AA1F10" w:rsidP="005E5CB4">
            <w:pPr>
              <w:pStyle w:val="TableText"/>
            </w:pPr>
            <w:r w:rsidRPr="00AD1F23">
              <w:t>Critical</w:t>
            </w:r>
          </w:p>
        </w:tc>
        <w:tc>
          <w:tcPr>
            <w:tcW w:w="4675" w:type="dxa"/>
          </w:tcPr>
          <w:p w14:paraId="514837F3" w14:textId="77777777" w:rsidR="00AA1F10" w:rsidRPr="00AD1F23" w:rsidRDefault="00AA1F10" w:rsidP="005E5CB4">
            <w:pPr>
              <w:pStyle w:val="TableText"/>
              <w:tabs>
                <w:tab w:val="decimal" w:pos="342"/>
              </w:tabs>
            </w:pPr>
            <w:r w:rsidRPr="00AD1F23">
              <w:t>0</w:t>
            </w:r>
          </w:p>
        </w:tc>
      </w:tr>
      <w:tr w:rsidR="00AA1F10" w:rsidRPr="00AD1F23" w14:paraId="1E35CD62" w14:textId="77777777" w:rsidTr="005E5CB4">
        <w:tc>
          <w:tcPr>
            <w:tcW w:w="4675" w:type="dxa"/>
          </w:tcPr>
          <w:p w14:paraId="79799B41" w14:textId="77777777" w:rsidR="00AA1F10" w:rsidRPr="00AD1F23" w:rsidRDefault="00AA1F10" w:rsidP="005E5CB4">
            <w:pPr>
              <w:pStyle w:val="TableText"/>
            </w:pPr>
            <w:r w:rsidRPr="00AD1F23">
              <w:t>Dry</w:t>
            </w:r>
          </w:p>
        </w:tc>
        <w:tc>
          <w:tcPr>
            <w:tcW w:w="4675" w:type="dxa"/>
          </w:tcPr>
          <w:p w14:paraId="494604DF" w14:textId="77777777" w:rsidR="00AA1F10" w:rsidRPr="00AD1F23" w:rsidRDefault="00AA1F10" w:rsidP="005E5CB4">
            <w:pPr>
              <w:pStyle w:val="TableText"/>
              <w:tabs>
                <w:tab w:val="decimal" w:pos="342"/>
              </w:tabs>
            </w:pPr>
            <w:r w:rsidRPr="00AD1F23">
              <w:t>49</w:t>
            </w:r>
          </w:p>
        </w:tc>
      </w:tr>
      <w:tr w:rsidR="00AA1F10" w:rsidRPr="00AD1F23" w14:paraId="00FFFF6C" w14:textId="77777777" w:rsidTr="005E5CB4">
        <w:tc>
          <w:tcPr>
            <w:tcW w:w="4675" w:type="dxa"/>
          </w:tcPr>
          <w:p w14:paraId="1114F16F" w14:textId="77777777" w:rsidR="00AA1F10" w:rsidRPr="00AD1F23" w:rsidRDefault="00AA1F10" w:rsidP="005E5CB4">
            <w:pPr>
              <w:pStyle w:val="TableText"/>
            </w:pPr>
            <w:r w:rsidRPr="00AD1F23">
              <w:t>Below Normal, Above Normal, and Wet</w:t>
            </w:r>
          </w:p>
        </w:tc>
        <w:tc>
          <w:tcPr>
            <w:tcW w:w="4675" w:type="dxa"/>
          </w:tcPr>
          <w:p w14:paraId="6B7EF814" w14:textId="77777777" w:rsidR="00AA1F10" w:rsidRPr="00AD1F23" w:rsidRDefault="00AA1F10" w:rsidP="005E5CB4">
            <w:pPr>
              <w:pStyle w:val="TableText"/>
              <w:tabs>
                <w:tab w:val="decimal" w:pos="342"/>
              </w:tabs>
            </w:pPr>
            <w:r w:rsidRPr="00AD1F23">
              <w:t>155</w:t>
            </w:r>
          </w:p>
        </w:tc>
      </w:tr>
    </w:tbl>
    <w:p w14:paraId="77F671ED" w14:textId="77777777" w:rsidR="00AA1F10" w:rsidRDefault="00AA1F10" w:rsidP="00AA1F10"/>
    <w:p w14:paraId="447D8AEF" w14:textId="77777777" w:rsidR="00AA1F10" w:rsidRDefault="00AA1F10" w:rsidP="00CD2B13">
      <w:pPr>
        <w:pStyle w:val="Heading4"/>
      </w:pPr>
      <w:r>
        <w:t>Non-CVP/SWP Operations</w:t>
      </w:r>
    </w:p>
    <w:p w14:paraId="1F47BF2E" w14:textId="77777777" w:rsidR="00AA1F10" w:rsidRDefault="00AA1F10" w:rsidP="00CD2B13">
      <w:pPr>
        <w:pStyle w:val="Heading5"/>
      </w:pPr>
      <w:r>
        <w:t>Yuba</w:t>
      </w:r>
    </w:p>
    <w:p w14:paraId="1E7DFEB6" w14:textId="77777777" w:rsidR="00AA1F10" w:rsidRPr="00B02FD5" w:rsidRDefault="00AA1F10" w:rsidP="007F771B">
      <w:pPr>
        <w:pStyle w:val="BodyText"/>
      </w:pPr>
      <w:r>
        <w:t xml:space="preserve">The </w:t>
      </w:r>
      <w:r w:rsidRPr="00CF69A8">
        <w:t>Yuba</w:t>
      </w:r>
      <w:r>
        <w:t xml:space="preserve"> County</w:t>
      </w:r>
      <w:r w:rsidRPr="00CF69A8">
        <w:t xml:space="preserve"> Water Agency (Y</w:t>
      </w:r>
      <w:r>
        <w:t>C</w:t>
      </w:r>
      <w:r w:rsidRPr="00CF69A8">
        <w:t>WA) converted their operations model from a monthly timestep to a daily timestep as part of their FERC Relicensing process for a more accurate representation of Yuba River Development Project (YRDP) operations. To be consistent with Y</w:t>
      </w:r>
      <w:r>
        <w:t>C</w:t>
      </w:r>
      <w:r w:rsidRPr="00CF69A8">
        <w:t>WA’s planning model, Yuba River Development Project Model (YRDPM), the CalSim II inputs related to the Yuba River operations have been updated.</w:t>
      </w:r>
    </w:p>
    <w:p w14:paraId="62A14C07" w14:textId="77777777" w:rsidR="00AA1F10" w:rsidRDefault="00AA1F10" w:rsidP="00CD2B13">
      <w:pPr>
        <w:pStyle w:val="Heading5"/>
      </w:pPr>
      <w:r>
        <w:t>Mokelumne</w:t>
      </w:r>
    </w:p>
    <w:p w14:paraId="60EEA66C" w14:textId="77777777" w:rsidR="00AA1F10" w:rsidRPr="00406F14" w:rsidRDefault="00AA1F10" w:rsidP="007F771B">
      <w:pPr>
        <w:pStyle w:val="BodyText"/>
      </w:pPr>
      <w:r>
        <w:t xml:space="preserve">East Bay Municipal Utility District (EBMUD) provided the timeseries input for the Mokelumne River operation from EBMUD Study #8151. This model included a planning level demand of 194 MGD for EBMUD, assumptions for upstream diversions, Water Rights Permit 10478 Mitigation Measure FISH-1, the in-stream flow requirements from the Joint Settlement Agreement (JSA) with CDFW and U.S.FWS and the Drought Management Program Guidelines from June 2020. </w:t>
      </w:r>
    </w:p>
    <w:p w14:paraId="3E735D11" w14:textId="77777777" w:rsidR="00AA1F10" w:rsidRDefault="00AA1F10" w:rsidP="00CD2B13">
      <w:pPr>
        <w:pStyle w:val="Heading5"/>
      </w:pPr>
      <w:r>
        <w:t>Tuolumne</w:t>
      </w:r>
    </w:p>
    <w:p w14:paraId="6AC63B3A" w14:textId="6BD4C5EF" w:rsidR="00AA1F10" w:rsidRPr="00987BE7" w:rsidRDefault="00AA1F10" w:rsidP="0098394B">
      <w:pPr>
        <w:pStyle w:val="BodyText"/>
        <w:keepNext w:val="0"/>
        <w:rPr>
          <w:shd w:val="clear" w:color="auto" w:fill="FFFFFF"/>
        </w:rPr>
      </w:pPr>
      <w:r w:rsidRPr="00987BE7">
        <w:rPr>
          <w:shd w:val="clear" w:color="auto" w:fill="FFFFFF"/>
        </w:rPr>
        <w:t>1996 FERC license number 2299 requires flows based on the San Joaquin Index. The Tuolumne simulation uses the final San Joaquin Index starting in April. The Base Flows (including an attraction pulse flow Oct 1-15) as set at LaGrange are shown in</w:t>
      </w:r>
      <w:r>
        <w:rPr>
          <w:shd w:val="clear" w:color="auto" w:fill="FFFFFF"/>
        </w:rPr>
        <w:t xml:space="preserve"> </w:t>
      </w:r>
      <w:r>
        <w:rPr>
          <w:shd w:val="clear" w:color="auto" w:fill="FFFFFF"/>
        </w:rPr>
        <w:fldChar w:fldCharType="begin"/>
      </w:r>
      <w:r>
        <w:rPr>
          <w:shd w:val="clear" w:color="auto" w:fill="FFFFFF"/>
        </w:rPr>
        <w:instrText xml:space="preserve"> REF _Ref63171279 \h </w:instrText>
      </w:r>
      <w:r w:rsidR="007F771B">
        <w:rPr>
          <w:shd w:val="clear" w:color="auto" w:fill="FFFFFF"/>
        </w:rPr>
        <w:instrText xml:space="preserve"> \* MERGEFORMAT </w:instrText>
      </w:r>
      <w:r>
        <w:rPr>
          <w:shd w:val="clear" w:color="auto" w:fill="FFFFFF"/>
        </w:rPr>
      </w:r>
      <w:r>
        <w:rPr>
          <w:shd w:val="clear" w:color="auto" w:fill="FFFFFF"/>
        </w:rPr>
        <w:fldChar w:fldCharType="separate"/>
      </w:r>
      <w:r>
        <w:t xml:space="preserve">Table </w:t>
      </w:r>
      <w:r w:rsidR="0060279E">
        <w:t>1</w:t>
      </w:r>
      <w:r w:rsidR="00207152">
        <w:t>-</w:t>
      </w:r>
      <w:r>
        <w:rPr>
          <w:noProof/>
        </w:rPr>
        <w:t>12</w:t>
      </w:r>
      <w:r>
        <w:rPr>
          <w:shd w:val="clear" w:color="auto" w:fill="FFFFFF"/>
        </w:rPr>
        <w:fldChar w:fldCharType="end"/>
      </w:r>
      <w:r w:rsidRPr="00987BE7">
        <w:rPr>
          <w:shd w:val="clear" w:color="auto" w:fill="FFFFFF"/>
        </w:rPr>
        <w:t xml:space="preserve">. For the Base Flows, </w:t>
      </w:r>
      <w:r w:rsidRPr="00987BE7">
        <w:rPr>
          <w:shd w:val="clear" w:color="auto" w:fill="FFFFFF"/>
        </w:rPr>
        <w:lastRenderedPageBreak/>
        <w:t>if the actual Index is between to San Joaquin Index values in</w:t>
      </w:r>
      <w:r>
        <w:rPr>
          <w:shd w:val="clear" w:color="auto" w:fill="FFFFFF"/>
        </w:rPr>
        <w:t xml:space="preserve"> </w:t>
      </w:r>
      <w:r>
        <w:rPr>
          <w:highlight w:val="yellow"/>
          <w:shd w:val="clear" w:color="auto" w:fill="FFFFFF"/>
        </w:rPr>
        <w:fldChar w:fldCharType="begin"/>
      </w:r>
      <w:r>
        <w:rPr>
          <w:shd w:val="clear" w:color="auto" w:fill="FFFFFF"/>
        </w:rPr>
        <w:instrText xml:space="preserve"> REF _Ref63171279 \h </w:instrText>
      </w:r>
      <w:r w:rsidR="007F771B">
        <w:rPr>
          <w:highlight w:val="yellow"/>
          <w:shd w:val="clear" w:color="auto" w:fill="FFFFFF"/>
        </w:rPr>
        <w:instrText xml:space="preserve"> \* MERGEFORMAT </w:instrText>
      </w:r>
      <w:r>
        <w:rPr>
          <w:highlight w:val="yellow"/>
          <w:shd w:val="clear" w:color="auto" w:fill="FFFFFF"/>
        </w:rPr>
      </w:r>
      <w:r>
        <w:rPr>
          <w:highlight w:val="yellow"/>
          <w:shd w:val="clear" w:color="auto" w:fill="FFFFFF"/>
        </w:rPr>
        <w:fldChar w:fldCharType="separate"/>
      </w:r>
      <w:r>
        <w:t xml:space="preserve">Table </w:t>
      </w:r>
      <w:r w:rsidR="0060279E">
        <w:t>1</w:t>
      </w:r>
      <w:r w:rsidR="00207152">
        <w:t>-</w:t>
      </w:r>
      <w:r>
        <w:rPr>
          <w:noProof/>
        </w:rPr>
        <w:t>12</w:t>
      </w:r>
      <w:r>
        <w:rPr>
          <w:highlight w:val="yellow"/>
          <w:shd w:val="clear" w:color="auto" w:fill="FFFFFF"/>
        </w:rPr>
        <w:fldChar w:fldCharType="end"/>
      </w:r>
      <w:r w:rsidRPr="00987BE7">
        <w:rPr>
          <w:shd w:val="clear" w:color="auto" w:fill="FFFFFF"/>
        </w:rPr>
        <w:t>, the model releases the lower flow.</w:t>
      </w:r>
    </w:p>
    <w:p w14:paraId="51DB090B" w14:textId="4CCEAC4F" w:rsidR="00AA1F10" w:rsidRPr="00D460E7" w:rsidRDefault="00AA1F10" w:rsidP="0098394B">
      <w:pPr>
        <w:pStyle w:val="Caption"/>
        <w:keepNext/>
      </w:pPr>
      <w:bookmarkStart w:id="90" w:name="_Ref63171279"/>
      <w:r>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12</w:t>
      </w:r>
      <w:r w:rsidR="001917C5">
        <w:rPr>
          <w:noProof/>
        </w:rPr>
        <w:fldChar w:fldCharType="end"/>
      </w:r>
      <w:bookmarkEnd w:id="90"/>
      <w:r w:rsidRPr="0033355A">
        <w:t>. Tuolumne River Base Flow Requirement</w:t>
      </w:r>
    </w:p>
    <w:tbl>
      <w:tblPr>
        <w:tblStyle w:val="TableGrid"/>
        <w:tblW w:w="0" w:type="auto"/>
        <w:tblLook w:val="04A0" w:firstRow="1" w:lastRow="0" w:firstColumn="1" w:lastColumn="0" w:noHBand="0" w:noVBand="1"/>
      </w:tblPr>
      <w:tblGrid>
        <w:gridCol w:w="2337"/>
        <w:gridCol w:w="2337"/>
        <w:gridCol w:w="2338"/>
        <w:gridCol w:w="2338"/>
      </w:tblGrid>
      <w:tr w:rsidR="00AA1F10" w14:paraId="214C1055" w14:textId="77777777" w:rsidTr="005E5CB4">
        <w:trPr>
          <w:trHeight w:val="593"/>
        </w:trPr>
        <w:tc>
          <w:tcPr>
            <w:tcW w:w="2337" w:type="dxa"/>
          </w:tcPr>
          <w:p w14:paraId="5AF6D744" w14:textId="77777777" w:rsidR="00AA1F10" w:rsidRPr="000F4D90" w:rsidRDefault="00AA1F10" w:rsidP="005E5CB4">
            <w:pPr>
              <w:pStyle w:val="TableText"/>
              <w:rPr>
                <w:b/>
              </w:rPr>
            </w:pPr>
            <w:r w:rsidRPr="000F4D90">
              <w:rPr>
                <w:b/>
              </w:rPr>
              <w:t>San Joaquin Index</w:t>
            </w:r>
          </w:p>
        </w:tc>
        <w:tc>
          <w:tcPr>
            <w:tcW w:w="2337" w:type="dxa"/>
          </w:tcPr>
          <w:p w14:paraId="4AAD3799" w14:textId="77777777" w:rsidR="00AA1F10" w:rsidRPr="000F4D90" w:rsidRDefault="00AA1F10" w:rsidP="005E5CB4">
            <w:pPr>
              <w:pStyle w:val="TableText"/>
              <w:rPr>
                <w:b/>
              </w:rPr>
            </w:pPr>
            <w:r w:rsidRPr="000F4D90">
              <w:rPr>
                <w:b/>
              </w:rPr>
              <w:t>October (cfs)</w:t>
            </w:r>
          </w:p>
        </w:tc>
        <w:tc>
          <w:tcPr>
            <w:tcW w:w="2338" w:type="dxa"/>
          </w:tcPr>
          <w:p w14:paraId="723AD7FF" w14:textId="77777777" w:rsidR="00AA1F10" w:rsidRPr="000F4D90" w:rsidRDefault="00AA1F10" w:rsidP="005E5CB4">
            <w:pPr>
              <w:pStyle w:val="TableText"/>
              <w:rPr>
                <w:b/>
              </w:rPr>
            </w:pPr>
            <w:r w:rsidRPr="000F4D90">
              <w:rPr>
                <w:b/>
              </w:rPr>
              <w:t>November through May (cfs)</w:t>
            </w:r>
          </w:p>
        </w:tc>
        <w:tc>
          <w:tcPr>
            <w:tcW w:w="2338" w:type="dxa"/>
          </w:tcPr>
          <w:p w14:paraId="567D55A9" w14:textId="77777777" w:rsidR="00AA1F10" w:rsidRPr="000F4D90" w:rsidRDefault="00AA1F10" w:rsidP="005E5CB4">
            <w:pPr>
              <w:pStyle w:val="TableText"/>
              <w:rPr>
                <w:b/>
              </w:rPr>
            </w:pPr>
            <w:r w:rsidRPr="000F4D90">
              <w:rPr>
                <w:b/>
              </w:rPr>
              <w:t>June through September (cfs)</w:t>
            </w:r>
          </w:p>
        </w:tc>
      </w:tr>
      <w:tr w:rsidR="00AA1F10" w14:paraId="4D79CDB1" w14:textId="77777777" w:rsidTr="005E5CB4">
        <w:tc>
          <w:tcPr>
            <w:tcW w:w="2337" w:type="dxa"/>
          </w:tcPr>
          <w:p w14:paraId="7E1B61D8" w14:textId="77777777" w:rsidR="00AA1F10" w:rsidRPr="000F4D90" w:rsidRDefault="00AA1F10" w:rsidP="005E5CB4">
            <w:pPr>
              <w:pStyle w:val="TableText"/>
              <w:rPr>
                <w:bCs/>
              </w:rPr>
            </w:pPr>
            <w:r w:rsidRPr="000F4D90">
              <w:rPr>
                <w:bCs/>
              </w:rPr>
              <w:t>0</w:t>
            </w:r>
          </w:p>
        </w:tc>
        <w:tc>
          <w:tcPr>
            <w:tcW w:w="2337" w:type="dxa"/>
          </w:tcPr>
          <w:p w14:paraId="7B859AEB" w14:textId="77777777" w:rsidR="00AA1F10" w:rsidRPr="000F4D90" w:rsidRDefault="00AA1F10" w:rsidP="005E5CB4">
            <w:pPr>
              <w:pStyle w:val="TableText"/>
              <w:rPr>
                <w:bCs/>
              </w:rPr>
            </w:pPr>
            <w:r w:rsidRPr="000F4D90">
              <w:rPr>
                <w:bCs/>
              </w:rPr>
              <w:t>125</w:t>
            </w:r>
          </w:p>
        </w:tc>
        <w:tc>
          <w:tcPr>
            <w:tcW w:w="2338" w:type="dxa"/>
          </w:tcPr>
          <w:p w14:paraId="4F952886" w14:textId="77777777" w:rsidR="00AA1F10" w:rsidRPr="000F4D90" w:rsidRDefault="00AA1F10" w:rsidP="005E5CB4">
            <w:pPr>
              <w:pStyle w:val="TableText"/>
              <w:rPr>
                <w:bCs/>
              </w:rPr>
            </w:pPr>
            <w:r w:rsidRPr="000F4D90">
              <w:rPr>
                <w:bCs/>
              </w:rPr>
              <w:t>150</w:t>
            </w:r>
          </w:p>
        </w:tc>
        <w:tc>
          <w:tcPr>
            <w:tcW w:w="2338" w:type="dxa"/>
          </w:tcPr>
          <w:p w14:paraId="28407FF6" w14:textId="77777777" w:rsidR="00AA1F10" w:rsidRPr="000F4D90" w:rsidRDefault="00AA1F10" w:rsidP="005E5CB4">
            <w:pPr>
              <w:pStyle w:val="TableText"/>
              <w:rPr>
                <w:bCs/>
              </w:rPr>
            </w:pPr>
            <w:r w:rsidRPr="000F4D90">
              <w:rPr>
                <w:bCs/>
              </w:rPr>
              <w:t>50</w:t>
            </w:r>
          </w:p>
        </w:tc>
      </w:tr>
      <w:tr w:rsidR="00AA1F10" w:rsidRPr="000C5FFE" w14:paraId="1DBA3EB3" w14:textId="77777777" w:rsidTr="005E5CB4">
        <w:trPr>
          <w:trHeight w:val="300"/>
        </w:trPr>
        <w:tc>
          <w:tcPr>
            <w:tcW w:w="2337" w:type="dxa"/>
            <w:noWrap/>
            <w:hideMark/>
          </w:tcPr>
          <w:p w14:paraId="54D4EA86" w14:textId="77777777" w:rsidR="00AA1F10" w:rsidRPr="000F4D90" w:rsidRDefault="00AA1F10" w:rsidP="005E5CB4">
            <w:pPr>
              <w:pStyle w:val="TableText"/>
              <w:rPr>
                <w:bCs/>
              </w:rPr>
            </w:pPr>
            <w:r w:rsidRPr="000F4D90">
              <w:rPr>
                <w:bCs/>
              </w:rPr>
              <w:t>1499</w:t>
            </w:r>
          </w:p>
        </w:tc>
        <w:tc>
          <w:tcPr>
            <w:tcW w:w="2337" w:type="dxa"/>
            <w:noWrap/>
            <w:hideMark/>
          </w:tcPr>
          <w:p w14:paraId="0735EDC0" w14:textId="77777777" w:rsidR="00AA1F10" w:rsidRPr="000F4D90" w:rsidRDefault="00AA1F10" w:rsidP="005E5CB4">
            <w:pPr>
              <w:pStyle w:val="TableText"/>
              <w:rPr>
                <w:bCs/>
              </w:rPr>
            </w:pPr>
            <w:r w:rsidRPr="000F4D90">
              <w:rPr>
                <w:bCs/>
              </w:rPr>
              <w:t>125</w:t>
            </w:r>
          </w:p>
        </w:tc>
        <w:tc>
          <w:tcPr>
            <w:tcW w:w="2338" w:type="dxa"/>
            <w:noWrap/>
            <w:hideMark/>
          </w:tcPr>
          <w:p w14:paraId="3AEE94C6" w14:textId="77777777" w:rsidR="00AA1F10" w:rsidRPr="000F4D90" w:rsidRDefault="00AA1F10" w:rsidP="005E5CB4">
            <w:pPr>
              <w:pStyle w:val="TableText"/>
              <w:rPr>
                <w:bCs/>
              </w:rPr>
            </w:pPr>
            <w:r w:rsidRPr="000F4D90">
              <w:rPr>
                <w:bCs/>
              </w:rPr>
              <w:t>150</w:t>
            </w:r>
          </w:p>
        </w:tc>
        <w:tc>
          <w:tcPr>
            <w:tcW w:w="2338" w:type="dxa"/>
            <w:noWrap/>
            <w:hideMark/>
          </w:tcPr>
          <w:p w14:paraId="6DCE4858" w14:textId="77777777" w:rsidR="00AA1F10" w:rsidRPr="000F4D90" w:rsidRDefault="00AA1F10" w:rsidP="005E5CB4">
            <w:pPr>
              <w:pStyle w:val="TableText"/>
              <w:rPr>
                <w:bCs/>
              </w:rPr>
            </w:pPr>
            <w:r w:rsidRPr="000F4D90">
              <w:rPr>
                <w:bCs/>
              </w:rPr>
              <w:t>50</w:t>
            </w:r>
          </w:p>
        </w:tc>
      </w:tr>
      <w:tr w:rsidR="00AA1F10" w:rsidRPr="000C5FFE" w14:paraId="345AC0CA" w14:textId="77777777" w:rsidTr="005E5CB4">
        <w:trPr>
          <w:trHeight w:val="300"/>
        </w:trPr>
        <w:tc>
          <w:tcPr>
            <w:tcW w:w="2337" w:type="dxa"/>
            <w:noWrap/>
            <w:hideMark/>
          </w:tcPr>
          <w:p w14:paraId="0D040DB5" w14:textId="77777777" w:rsidR="00AA1F10" w:rsidRPr="000F4D90" w:rsidRDefault="00AA1F10" w:rsidP="005E5CB4">
            <w:pPr>
              <w:pStyle w:val="TableText"/>
              <w:rPr>
                <w:bCs/>
              </w:rPr>
            </w:pPr>
            <w:r w:rsidRPr="000F4D90">
              <w:rPr>
                <w:bCs/>
              </w:rPr>
              <w:t>1500</w:t>
            </w:r>
          </w:p>
        </w:tc>
        <w:tc>
          <w:tcPr>
            <w:tcW w:w="2337" w:type="dxa"/>
            <w:noWrap/>
            <w:hideMark/>
          </w:tcPr>
          <w:p w14:paraId="6F8E8077" w14:textId="77777777" w:rsidR="00AA1F10" w:rsidRPr="000F4D90" w:rsidRDefault="00AA1F10" w:rsidP="005E5CB4">
            <w:pPr>
              <w:pStyle w:val="TableText"/>
              <w:rPr>
                <w:bCs/>
              </w:rPr>
            </w:pPr>
            <w:r w:rsidRPr="000F4D90">
              <w:rPr>
                <w:bCs/>
              </w:rPr>
              <w:t>125</w:t>
            </w:r>
          </w:p>
        </w:tc>
        <w:tc>
          <w:tcPr>
            <w:tcW w:w="2338" w:type="dxa"/>
            <w:noWrap/>
            <w:hideMark/>
          </w:tcPr>
          <w:p w14:paraId="48E33969" w14:textId="77777777" w:rsidR="00AA1F10" w:rsidRPr="000F4D90" w:rsidRDefault="00AA1F10" w:rsidP="005E5CB4">
            <w:pPr>
              <w:pStyle w:val="TableText"/>
              <w:rPr>
                <w:bCs/>
              </w:rPr>
            </w:pPr>
            <w:r w:rsidRPr="000F4D90">
              <w:rPr>
                <w:bCs/>
              </w:rPr>
              <w:t>150</w:t>
            </w:r>
          </w:p>
        </w:tc>
        <w:tc>
          <w:tcPr>
            <w:tcW w:w="2338" w:type="dxa"/>
            <w:noWrap/>
            <w:hideMark/>
          </w:tcPr>
          <w:p w14:paraId="501E4570" w14:textId="77777777" w:rsidR="00AA1F10" w:rsidRPr="000F4D90" w:rsidRDefault="00AA1F10" w:rsidP="005E5CB4">
            <w:pPr>
              <w:pStyle w:val="TableText"/>
              <w:rPr>
                <w:bCs/>
              </w:rPr>
            </w:pPr>
            <w:r w:rsidRPr="000F4D90">
              <w:rPr>
                <w:bCs/>
              </w:rPr>
              <w:t>50</w:t>
            </w:r>
          </w:p>
        </w:tc>
      </w:tr>
      <w:tr w:rsidR="00AA1F10" w:rsidRPr="000C5FFE" w14:paraId="4CA18F6D" w14:textId="77777777" w:rsidTr="005E5CB4">
        <w:trPr>
          <w:trHeight w:val="300"/>
        </w:trPr>
        <w:tc>
          <w:tcPr>
            <w:tcW w:w="2337" w:type="dxa"/>
            <w:noWrap/>
            <w:hideMark/>
          </w:tcPr>
          <w:p w14:paraId="18A2DCD4" w14:textId="77777777" w:rsidR="00AA1F10" w:rsidRPr="000F4D90" w:rsidRDefault="00AA1F10" w:rsidP="005E5CB4">
            <w:pPr>
              <w:pStyle w:val="TableText"/>
              <w:rPr>
                <w:bCs/>
              </w:rPr>
            </w:pPr>
            <w:r w:rsidRPr="000F4D90">
              <w:rPr>
                <w:bCs/>
              </w:rPr>
              <w:t>2000</w:t>
            </w:r>
          </w:p>
        </w:tc>
        <w:tc>
          <w:tcPr>
            <w:tcW w:w="2337" w:type="dxa"/>
            <w:noWrap/>
            <w:hideMark/>
          </w:tcPr>
          <w:p w14:paraId="3AFE6385" w14:textId="77777777" w:rsidR="00AA1F10" w:rsidRPr="000F4D90" w:rsidRDefault="00AA1F10" w:rsidP="005E5CB4">
            <w:pPr>
              <w:pStyle w:val="TableText"/>
              <w:rPr>
                <w:bCs/>
              </w:rPr>
            </w:pPr>
            <w:r w:rsidRPr="000F4D90">
              <w:rPr>
                <w:bCs/>
              </w:rPr>
              <w:t>150</w:t>
            </w:r>
          </w:p>
        </w:tc>
        <w:tc>
          <w:tcPr>
            <w:tcW w:w="2338" w:type="dxa"/>
            <w:noWrap/>
            <w:hideMark/>
          </w:tcPr>
          <w:p w14:paraId="4C3CA920" w14:textId="77777777" w:rsidR="00AA1F10" w:rsidRPr="000F4D90" w:rsidRDefault="00AA1F10" w:rsidP="005E5CB4">
            <w:pPr>
              <w:pStyle w:val="TableText"/>
              <w:rPr>
                <w:bCs/>
              </w:rPr>
            </w:pPr>
            <w:r w:rsidRPr="000F4D90">
              <w:rPr>
                <w:bCs/>
              </w:rPr>
              <w:t>150</w:t>
            </w:r>
          </w:p>
        </w:tc>
        <w:tc>
          <w:tcPr>
            <w:tcW w:w="2338" w:type="dxa"/>
            <w:noWrap/>
            <w:hideMark/>
          </w:tcPr>
          <w:p w14:paraId="4E311939" w14:textId="77777777" w:rsidR="00AA1F10" w:rsidRPr="000F4D90" w:rsidRDefault="00AA1F10" w:rsidP="005E5CB4">
            <w:pPr>
              <w:pStyle w:val="TableText"/>
              <w:rPr>
                <w:bCs/>
              </w:rPr>
            </w:pPr>
            <w:r w:rsidRPr="000F4D90">
              <w:rPr>
                <w:bCs/>
              </w:rPr>
              <w:t>50</w:t>
            </w:r>
          </w:p>
        </w:tc>
      </w:tr>
      <w:tr w:rsidR="00AA1F10" w:rsidRPr="000C5FFE" w14:paraId="1031E622" w14:textId="77777777" w:rsidTr="005E5CB4">
        <w:trPr>
          <w:trHeight w:val="300"/>
        </w:trPr>
        <w:tc>
          <w:tcPr>
            <w:tcW w:w="2337" w:type="dxa"/>
            <w:noWrap/>
            <w:hideMark/>
          </w:tcPr>
          <w:p w14:paraId="6D081BC4" w14:textId="77777777" w:rsidR="00AA1F10" w:rsidRPr="000F4D90" w:rsidRDefault="00AA1F10" w:rsidP="005E5CB4">
            <w:pPr>
              <w:pStyle w:val="TableText"/>
              <w:rPr>
                <w:bCs/>
              </w:rPr>
            </w:pPr>
            <w:r w:rsidRPr="000F4D90">
              <w:rPr>
                <w:bCs/>
              </w:rPr>
              <w:t>2200</w:t>
            </w:r>
          </w:p>
        </w:tc>
        <w:tc>
          <w:tcPr>
            <w:tcW w:w="2337" w:type="dxa"/>
            <w:noWrap/>
            <w:hideMark/>
          </w:tcPr>
          <w:p w14:paraId="6B1E1FDE" w14:textId="77777777" w:rsidR="00AA1F10" w:rsidRPr="000F4D90" w:rsidRDefault="00AA1F10" w:rsidP="005E5CB4">
            <w:pPr>
              <w:pStyle w:val="TableText"/>
              <w:rPr>
                <w:bCs/>
              </w:rPr>
            </w:pPr>
            <w:r w:rsidRPr="000F4D90">
              <w:rPr>
                <w:bCs/>
              </w:rPr>
              <w:t>150</w:t>
            </w:r>
          </w:p>
        </w:tc>
        <w:tc>
          <w:tcPr>
            <w:tcW w:w="2338" w:type="dxa"/>
            <w:noWrap/>
            <w:hideMark/>
          </w:tcPr>
          <w:p w14:paraId="7DB9769D" w14:textId="77777777" w:rsidR="00AA1F10" w:rsidRPr="000F4D90" w:rsidRDefault="00AA1F10" w:rsidP="005E5CB4">
            <w:pPr>
              <w:pStyle w:val="TableText"/>
              <w:rPr>
                <w:bCs/>
              </w:rPr>
            </w:pPr>
            <w:r w:rsidRPr="000F4D90">
              <w:rPr>
                <w:bCs/>
              </w:rPr>
              <w:t>150</w:t>
            </w:r>
          </w:p>
        </w:tc>
        <w:tc>
          <w:tcPr>
            <w:tcW w:w="2338" w:type="dxa"/>
            <w:noWrap/>
            <w:hideMark/>
          </w:tcPr>
          <w:p w14:paraId="4F0865B0" w14:textId="77777777" w:rsidR="00AA1F10" w:rsidRPr="000F4D90" w:rsidRDefault="00AA1F10" w:rsidP="005E5CB4">
            <w:pPr>
              <w:pStyle w:val="TableText"/>
              <w:rPr>
                <w:bCs/>
              </w:rPr>
            </w:pPr>
            <w:r w:rsidRPr="000F4D90">
              <w:rPr>
                <w:bCs/>
              </w:rPr>
              <w:t>75</w:t>
            </w:r>
          </w:p>
        </w:tc>
      </w:tr>
      <w:tr w:rsidR="00AA1F10" w:rsidRPr="000C5FFE" w14:paraId="157A3F0A" w14:textId="77777777" w:rsidTr="005E5CB4">
        <w:trPr>
          <w:trHeight w:val="300"/>
        </w:trPr>
        <w:tc>
          <w:tcPr>
            <w:tcW w:w="2337" w:type="dxa"/>
            <w:noWrap/>
            <w:hideMark/>
          </w:tcPr>
          <w:p w14:paraId="65566DFB" w14:textId="77777777" w:rsidR="00AA1F10" w:rsidRPr="000F4D90" w:rsidRDefault="00AA1F10" w:rsidP="005E5CB4">
            <w:pPr>
              <w:pStyle w:val="TableText"/>
              <w:rPr>
                <w:bCs/>
              </w:rPr>
            </w:pPr>
            <w:r w:rsidRPr="000F4D90">
              <w:rPr>
                <w:bCs/>
              </w:rPr>
              <w:t>2400</w:t>
            </w:r>
          </w:p>
        </w:tc>
        <w:tc>
          <w:tcPr>
            <w:tcW w:w="2337" w:type="dxa"/>
            <w:noWrap/>
            <w:hideMark/>
          </w:tcPr>
          <w:p w14:paraId="3FC628E6" w14:textId="77777777" w:rsidR="00AA1F10" w:rsidRPr="000F4D90" w:rsidRDefault="00AA1F10" w:rsidP="005E5CB4">
            <w:pPr>
              <w:pStyle w:val="TableText"/>
              <w:rPr>
                <w:bCs/>
              </w:rPr>
            </w:pPr>
            <w:r w:rsidRPr="000F4D90">
              <w:rPr>
                <w:bCs/>
              </w:rPr>
              <w:t>207</w:t>
            </w:r>
          </w:p>
        </w:tc>
        <w:tc>
          <w:tcPr>
            <w:tcW w:w="2338" w:type="dxa"/>
            <w:noWrap/>
            <w:hideMark/>
          </w:tcPr>
          <w:p w14:paraId="301BDCEB" w14:textId="77777777" w:rsidR="00AA1F10" w:rsidRPr="000F4D90" w:rsidRDefault="00AA1F10" w:rsidP="005E5CB4">
            <w:pPr>
              <w:pStyle w:val="TableText"/>
              <w:rPr>
                <w:bCs/>
              </w:rPr>
            </w:pPr>
            <w:r w:rsidRPr="000F4D90">
              <w:rPr>
                <w:bCs/>
              </w:rPr>
              <w:t>180</w:t>
            </w:r>
          </w:p>
        </w:tc>
        <w:tc>
          <w:tcPr>
            <w:tcW w:w="2338" w:type="dxa"/>
            <w:noWrap/>
            <w:hideMark/>
          </w:tcPr>
          <w:p w14:paraId="37F6E349" w14:textId="77777777" w:rsidR="00AA1F10" w:rsidRPr="000F4D90" w:rsidRDefault="00AA1F10" w:rsidP="005E5CB4">
            <w:pPr>
              <w:pStyle w:val="TableText"/>
              <w:rPr>
                <w:bCs/>
              </w:rPr>
            </w:pPr>
            <w:r w:rsidRPr="000F4D90">
              <w:rPr>
                <w:bCs/>
              </w:rPr>
              <w:t>75</w:t>
            </w:r>
          </w:p>
        </w:tc>
      </w:tr>
      <w:tr w:rsidR="00AA1F10" w:rsidRPr="000C5FFE" w14:paraId="0BAFED15" w14:textId="77777777" w:rsidTr="005E5CB4">
        <w:trPr>
          <w:trHeight w:val="300"/>
        </w:trPr>
        <w:tc>
          <w:tcPr>
            <w:tcW w:w="2337" w:type="dxa"/>
            <w:noWrap/>
            <w:hideMark/>
          </w:tcPr>
          <w:p w14:paraId="0DD11C1B" w14:textId="77777777" w:rsidR="00AA1F10" w:rsidRPr="000F4D90" w:rsidRDefault="00AA1F10" w:rsidP="005E5CB4">
            <w:pPr>
              <w:pStyle w:val="TableText"/>
              <w:rPr>
                <w:bCs/>
              </w:rPr>
            </w:pPr>
            <w:r w:rsidRPr="000F4D90">
              <w:rPr>
                <w:bCs/>
              </w:rPr>
              <w:t>2700</w:t>
            </w:r>
          </w:p>
        </w:tc>
        <w:tc>
          <w:tcPr>
            <w:tcW w:w="2337" w:type="dxa"/>
            <w:noWrap/>
            <w:hideMark/>
          </w:tcPr>
          <w:p w14:paraId="2A2FF780" w14:textId="77777777" w:rsidR="00AA1F10" w:rsidRPr="000F4D90" w:rsidRDefault="00AA1F10" w:rsidP="005E5CB4">
            <w:pPr>
              <w:pStyle w:val="TableText"/>
              <w:rPr>
                <w:bCs/>
              </w:rPr>
            </w:pPr>
            <w:r w:rsidRPr="000F4D90">
              <w:rPr>
                <w:bCs/>
              </w:rPr>
              <w:t>215</w:t>
            </w:r>
          </w:p>
        </w:tc>
        <w:tc>
          <w:tcPr>
            <w:tcW w:w="2338" w:type="dxa"/>
            <w:noWrap/>
            <w:hideMark/>
          </w:tcPr>
          <w:p w14:paraId="0D36AC1D" w14:textId="77777777" w:rsidR="00AA1F10" w:rsidRPr="000F4D90" w:rsidRDefault="00AA1F10" w:rsidP="005E5CB4">
            <w:pPr>
              <w:pStyle w:val="TableText"/>
              <w:rPr>
                <w:bCs/>
              </w:rPr>
            </w:pPr>
            <w:r w:rsidRPr="000F4D90">
              <w:rPr>
                <w:bCs/>
              </w:rPr>
              <w:t>175</w:t>
            </w:r>
          </w:p>
        </w:tc>
        <w:tc>
          <w:tcPr>
            <w:tcW w:w="2338" w:type="dxa"/>
            <w:noWrap/>
            <w:hideMark/>
          </w:tcPr>
          <w:p w14:paraId="05759A5F" w14:textId="77777777" w:rsidR="00AA1F10" w:rsidRPr="000F4D90" w:rsidRDefault="00AA1F10" w:rsidP="005E5CB4">
            <w:pPr>
              <w:pStyle w:val="TableText"/>
              <w:rPr>
                <w:bCs/>
              </w:rPr>
            </w:pPr>
            <w:r w:rsidRPr="000F4D90">
              <w:rPr>
                <w:bCs/>
              </w:rPr>
              <w:t>75</w:t>
            </w:r>
          </w:p>
        </w:tc>
      </w:tr>
      <w:tr w:rsidR="00AA1F10" w:rsidRPr="000C5FFE" w14:paraId="79811045" w14:textId="77777777" w:rsidTr="005E5CB4">
        <w:trPr>
          <w:trHeight w:val="300"/>
        </w:trPr>
        <w:tc>
          <w:tcPr>
            <w:tcW w:w="2337" w:type="dxa"/>
            <w:noWrap/>
            <w:hideMark/>
          </w:tcPr>
          <w:p w14:paraId="7726E570" w14:textId="77777777" w:rsidR="00AA1F10" w:rsidRPr="000F4D90" w:rsidRDefault="00AA1F10" w:rsidP="005E5CB4">
            <w:pPr>
              <w:pStyle w:val="TableText"/>
              <w:rPr>
                <w:bCs/>
              </w:rPr>
            </w:pPr>
            <w:r w:rsidRPr="000F4D90">
              <w:rPr>
                <w:bCs/>
              </w:rPr>
              <w:t>3100</w:t>
            </w:r>
          </w:p>
        </w:tc>
        <w:tc>
          <w:tcPr>
            <w:tcW w:w="2337" w:type="dxa"/>
            <w:noWrap/>
            <w:hideMark/>
          </w:tcPr>
          <w:p w14:paraId="2A3CFD57" w14:textId="77777777" w:rsidR="00AA1F10" w:rsidRPr="000F4D90" w:rsidRDefault="00AA1F10" w:rsidP="005E5CB4">
            <w:pPr>
              <w:pStyle w:val="TableText"/>
              <w:rPr>
                <w:bCs/>
              </w:rPr>
            </w:pPr>
            <w:r w:rsidRPr="000F4D90">
              <w:rPr>
                <w:bCs/>
              </w:rPr>
              <w:t>397</w:t>
            </w:r>
          </w:p>
        </w:tc>
        <w:tc>
          <w:tcPr>
            <w:tcW w:w="2338" w:type="dxa"/>
            <w:noWrap/>
            <w:hideMark/>
          </w:tcPr>
          <w:p w14:paraId="00CFABA1" w14:textId="77777777" w:rsidR="00AA1F10" w:rsidRPr="000F4D90" w:rsidRDefault="00AA1F10" w:rsidP="005E5CB4">
            <w:pPr>
              <w:pStyle w:val="TableText"/>
              <w:rPr>
                <w:bCs/>
              </w:rPr>
            </w:pPr>
            <w:r w:rsidRPr="000F4D90">
              <w:rPr>
                <w:bCs/>
              </w:rPr>
              <w:t>300</w:t>
            </w:r>
          </w:p>
        </w:tc>
        <w:tc>
          <w:tcPr>
            <w:tcW w:w="2338" w:type="dxa"/>
            <w:noWrap/>
            <w:hideMark/>
          </w:tcPr>
          <w:p w14:paraId="39F7FBBB" w14:textId="77777777" w:rsidR="00AA1F10" w:rsidRPr="000F4D90" w:rsidRDefault="00AA1F10" w:rsidP="005E5CB4">
            <w:pPr>
              <w:pStyle w:val="TableText"/>
              <w:rPr>
                <w:bCs/>
              </w:rPr>
            </w:pPr>
            <w:r w:rsidRPr="000F4D90">
              <w:rPr>
                <w:bCs/>
              </w:rPr>
              <w:t>250</w:t>
            </w:r>
          </w:p>
        </w:tc>
      </w:tr>
      <w:tr w:rsidR="00AA1F10" w:rsidRPr="000C5FFE" w14:paraId="12AE4C1A" w14:textId="77777777" w:rsidTr="005E5CB4">
        <w:trPr>
          <w:trHeight w:val="300"/>
        </w:trPr>
        <w:tc>
          <w:tcPr>
            <w:tcW w:w="2337" w:type="dxa"/>
            <w:noWrap/>
            <w:hideMark/>
          </w:tcPr>
          <w:p w14:paraId="675A1C7A" w14:textId="77777777" w:rsidR="00AA1F10" w:rsidRPr="000F4D90" w:rsidRDefault="00AA1F10" w:rsidP="005E5CB4">
            <w:pPr>
              <w:pStyle w:val="TableText"/>
              <w:rPr>
                <w:bCs/>
              </w:rPr>
            </w:pPr>
            <w:r w:rsidRPr="000F4D90">
              <w:rPr>
                <w:bCs/>
              </w:rPr>
              <w:t>10000</w:t>
            </w:r>
          </w:p>
        </w:tc>
        <w:tc>
          <w:tcPr>
            <w:tcW w:w="2337" w:type="dxa"/>
            <w:noWrap/>
            <w:hideMark/>
          </w:tcPr>
          <w:p w14:paraId="07036671" w14:textId="77777777" w:rsidR="00AA1F10" w:rsidRPr="000F4D90" w:rsidRDefault="00AA1F10" w:rsidP="005E5CB4">
            <w:pPr>
              <w:pStyle w:val="TableText"/>
              <w:rPr>
                <w:bCs/>
              </w:rPr>
            </w:pPr>
            <w:r w:rsidRPr="000F4D90">
              <w:rPr>
                <w:bCs/>
              </w:rPr>
              <w:t>397</w:t>
            </w:r>
          </w:p>
        </w:tc>
        <w:tc>
          <w:tcPr>
            <w:tcW w:w="2338" w:type="dxa"/>
            <w:noWrap/>
            <w:hideMark/>
          </w:tcPr>
          <w:p w14:paraId="287DA2AB" w14:textId="77777777" w:rsidR="00AA1F10" w:rsidRPr="000F4D90" w:rsidRDefault="00AA1F10" w:rsidP="005E5CB4">
            <w:pPr>
              <w:pStyle w:val="TableText"/>
              <w:rPr>
                <w:bCs/>
              </w:rPr>
            </w:pPr>
            <w:r w:rsidRPr="000F4D90">
              <w:rPr>
                <w:bCs/>
              </w:rPr>
              <w:t>300</w:t>
            </w:r>
          </w:p>
        </w:tc>
        <w:tc>
          <w:tcPr>
            <w:tcW w:w="2338" w:type="dxa"/>
            <w:noWrap/>
            <w:hideMark/>
          </w:tcPr>
          <w:p w14:paraId="76D634A3" w14:textId="77777777" w:rsidR="00AA1F10" w:rsidRPr="000F4D90" w:rsidRDefault="00AA1F10" w:rsidP="005E5CB4">
            <w:pPr>
              <w:pStyle w:val="TableText"/>
              <w:rPr>
                <w:bCs/>
              </w:rPr>
            </w:pPr>
            <w:r w:rsidRPr="000F4D90">
              <w:rPr>
                <w:bCs/>
              </w:rPr>
              <w:t>250</w:t>
            </w:r>
          </w:p>
        </w:tc>
      </w:tr>
    </w:tbl>
    <w:p w14:paraId="43AA30BA" w14:textId="77777777" w:rsidR="00AA1F10" w:rsidRDefault="00AA1F10" w:rsidP="00AA1F10">
      <w:pPr>
        <w:rPr>
          <w:rFonts w:ascii="Calibri" w:hAnsi="Calibri" w:cs="Calibri"/>
          <w:color w:val="000000"/>
          <w:shd w:val="clear" w:color="auto" w:fill="FFFFFF"/>
        </w:rPr>
      </w:pPr>
    </w:p>
    <w:p w14:paraId="731C1AA5" w14:textId="3BEBA849" w:rsidR="00AA1F10" w:rsidRPr="00987BE7" w:rsidRDefault="00AA1F10" w:rsidP="00276177">
      <w:pPr>
        <w:pStyle w:val="BodyText"/>
        <w:rPr>
          <w:shd w:val="clear" w:color="auto" w:fill="FFFFFF"/>
        </w:rPr>
      </w:pPr>
      <w:r w:rsidRPr="00987BE7">
        <w:rPr>
          <w:shd w:val="clear" w:color="auto" w:fill="FFFFFF"/>
        </w:rPr>
        <w:t>The FERC flow requirement at La Grange also includes an Outmigration Pulse in April 15 through May 15. The Pulse Flow (shown in</w:t>
      </w:r>
      <w:r>
        <w:rPr>
          <w:shd w:val="clear" w:color="auto" w:fill="FFFFFF"/>
        </w:rPr>
        <w:t xml:space="preserve"> </w:t>
      </w:r>
      <w:r>
        <w:rPr>
          <w:highlight w:val="yellow"/>
          <w:shd w:val="clear" w:color="auto" w:fill="FFFFFF"/>
        </w:rPr>
        <w:fldChar w:fldCharType="begin"/>
      </w:r>
      <w:r>
        <w:rPr>
          <w:shd w:val="clear" w:color="auto" w:fill="FFFFFF"/>
        </w:rPr>
        <w:instrText xml:space="preserve"> REF _Ref63171456 \h </w:instrText>
      </w:r>
      <w:r w:rsidR="00276177">
        <w:rPr>
          <w:highlight w:val="yellow"/>
          <w:shd w:val="clear" w:color="auto" w:fill="FFFFFF"/>
        </w:rPr>
        <w:instrText xml:space="preserve"> \* MERGEFORMAT </w:instrText>
      </w:r>
      <w:r>
        <w:rPr>
          <w:highlight w:val="yellow"/>
          <w:shd w:val="clear" w:color="auto" w:fill="FFFFFF"/>
        </w:rPr>
      </w:r>
      <w:r>
        <w:rPr>
          <w:highlight w:val="yellow"/>
          <w:shd w:val="clear" w:color="auto" w:fill="FFFFFF"/>
        </w:rPr>
        <w:fldChar w:fldCharType="separate"/>
      </w:r>
      <w:r>
        <w:t xml:space="preserve">Table </w:t>
      </w:r>
      <w:r w:rsidR="0060279E">
        <w:t>1</w:t>
      </w:r>
      <w:r w:rsidR="00207152">
        <w:t>-</w:t>
      </w:r>
      <w:r>
        <w:rPr>
          <w:noProof/>
        </w:rPr>
        <w:t>13</w:t>
      </w:r>
      <w:r>
        <w:rPr>
          <w:highlight w:val="yellow"/>
          <w:shd w:val="clear" w:color="auto" w:fill="FFFFFF"/>
        </w:rPr>
        <w:fldChar w:fldCharType="end"/>
      </w:r>
      <w:r w:rsidRPr="00987BE7">
        <w:rPr>
          <w:shd w:val="clear" w:color="auto" w:fill="FFFFFF"/>
        </w:rPr>
        <w:t>) is in addition to the Base Flow. For the Pulse Flows, if the actual Index is between to San Joaquin Index values in</w:t>
      </w:r>
      <w:r>
        <w:rPr>
          <w:shd w:val="clear" w:color="auto" w:fill="FFFFFF"/>
        </w:rPr>
        <w:t xml:space="preserve"> </w:t>
      </w:r>
      <w:r>
        <w:rPr>
          <w:highlight w:val="yellow"/>
          <w:shd w:val="clear" w:color="auto" w:fill="FFFFFF"/>
        </w:rPr>
        <w:fldChar w:fldCharType="begin"/>
      </w:r>
      <w:r>
        <w:rPr>
          <w:shd w:val="clear" w:color="auto" w:fill="FFFFFF"/>
        </w:rPr>
        <w:instrText xml:space="preserve"> REF _Ref63171456 \h </w:instrText>
      </w:r>
      <w:r w:rsidR="00276177">
        <w:rPr>
          <w:highlight w:val="yellow"/>
          <w:shd w:val="clear" w:color="auto" w:fill="FFFFFF"/>
        </w:rPr>
        <w:instrText xml:space="preserve"> \* MERGEFORMAT </w:instrText>
      </w:r>
      <w:r>
        <w:rPr>
          <w:highlight w:val="yellow"/>
          <w:shd w:val="clear" w:color="auto" w:fill="FFFFFF"/>
        </w:rPr>
      </w:r>
      <w:r>
        <w:rPr>
          <w:highlight w:val="yellow"/>
          <w:shd w:val="clear" w:color="auto" w:fill="FFFFFF"/>
        </w:rPr>
        <w:fldChar w:fldCharType="separate"/>
      </w:r>
      <w:r>
        <w:t xml:space="preserve">Table </w:t>
      </w:r>
      <w:r w:rsidR="0060279E">
        <w:t>1</w:t>
      </w:r>
      <w:r w:rsidR="00207152">
        <w:t>-</w:t>
      </w:r>
      <w:r>
        <w:rPr>
          <w:noProof/>
        </w:rPr>
        <w:t>13</w:t>
      </w:r>
      <w:r>
        <w:rPr>
          <w:highlight w:val="yellow"/>
          <w:shd w:val="clear" w:color="auto" w:fill="FFFFFF"/>
        </w:rPr>
        <w:fldChar w:fldCharType="end"/>
      </w:r>
      <w:r w:rsidRPr="00987BE7">
        <w:rPr>
          <w:shd w:val="clear" w:color="auto" w:fill="FFFFFF"/>
        </w:rPr>
        <w:t>, the model releases the lower flow.</w:t>
      </w:r>
    </w:p>
    <w:p w14:paraId="18372C4C" w14:textId="234B38A1" w:rsidR="00AA1F10" w:rsidRPr="00DE3FF9" w:rsidRDefault="00AA1F10" w:rsidP="00AA1F10">
      <w:pPr>
        <w:pStyle w:val="Caption"/>
      </w:pPr>
      <w:bookmarkStart w:id="91" w:name="_Ref63171456"/>
      <w:r>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13</w:t>
      </w:r>
      <w:r w:rsidR="001917C5">
        <w:rPr>
          <w:noProof/>
        </w:rPr>
        <w:fldChar w:fldCharType="end"/>
      </w:r>
      <w:bookmarkEnd w:id="91"/>
      <w:r w:rsidRPr="003273F2">
        <w:t xml:space="preserve">. Tuolumne River </w:t>
      </w:r>
      <w:r>
        <w:t>Pulse</w:t>
      </w:r>
      <w:r w:rsidRPr="003273F2">
        <w:t xml:space="preserve"> Flow Requirement</w:t>
      </w:r>
    </w:p>
    <w:tbl>
      <w:tblPr>
        <w:tblStyle w:val="TableGrid"/>
        <w:tblW w:w="0" w:type="auto"/>
        <w:tblLook w:val="04A0" w:firstRow="1" w:lastRow="0" w:firstColumn="1" w:lastColumn="0" w:noHBand="0" w:noVBand="1"/>
      </w:tblPr>
      <w:tblGrid>
        <w:gridCol w:w="2337"/>
        <w:gridCol w:w="2337"/>
      </w:tblGrid>
      <w:tr w:rsidR="00AA1F10" w14:paraId="7D1C0A9E" w14:textId="77777777" w:rsidTr="005E5CB4">
        <w:trPr>
          <w:trHeight w:val="593"/>
        </w:trPr>
        <w:tc>
          <w:tcPr>
            <w:tcW w:w="2337" w:type="dxa"/>
          </w:tcPr>
          <w:p w14:paraId="17AB18EF" w14:textId="77777777" w:rsidR="00AA1F10" w:rsidRPr="000F4D90" w:rsidRDefault="00AA1F10" w:rsidP="005E5CB4">
            <w:pPr>
              <w:rPr>
                <w:b/>
                <w:bCs/>
                <w:color w:val="000000"/>
                <w:shd w:val="clear" w:color="auto" w:fill="FFFFFF"/>
              </w:rPr>
            </w:pPr>
            <w:r w:rsidRPr="000F4D90">
              <w:rPr>
                <w:b/>
                <w:bCs/>
                <w:color w:val="000000"/>
                <w:shd w:val="clear" w:color="auto" w:fill="FFFFFF"/>
              </w:rPr>
              <w:t>San Joaquin Index</w:t>
            </w:r>
          </w:p>
        </w:tc>
        <w:tc>
          <w:tcPr>
            <w:tcW w:w="2337" w:type="dxa"/>
          </w:tcPr>
          <w:p w14:paraId="19E83A94" w14:textId="77777777" w:rsidR="00AA1F10" w:rsidRPr="000F4D90" w:rsidRDefault="00AA1F10" w:rsidP="005E5CB4">
            <w:pPr>
              <w:rPr>
                <w:b/>
                <w:bCs/>
                <w:color w:val="000000"/>
                <w:shd w:val="clear" w:color="auto" w:fill="FFFFFF"/>
              </w:rPr>
            </w:pPr>
            <w:r w:rsidRPr="000F4D90">
              <w:rPr>
                <w:b/>
                <w:bCs/>
                <w:color w:val="000000"/>
                <w:shd w:val="clear" w:color="auto" w:fill="FFFFFF"/>
              </w:rPr>
              <w:t>Pulse (cfs)</w:t>
            </w:r>
          </w:p>
        </w:tc>
      </w:tr>
      <w:tr w:rsidR="00AA1F10" w14:paraId="06E2EAD2" w14:textId="77777777" w:rsidTr="005E5CB4">
        <w:tc>
          <w:tcPr>
            <w:tcW w:w="2337" w:type="dxa"/>
          </w:tcPr>
          <w:p w14:paraId="37D03AD9" w14:textId="77777777" w:rsidR="00AA1F10" w:rsidRPr="000F4D90" w:rsidRDefault="00AA1F10" w:rsidP="005E5CB4">
            <w:pPr>
              <w:spacing w:after="0"/>
              <w:jc w:val="right"/>
              <w:outlineLvl w:val="0"/>
              <w:rPr>
                <w:color w:val="000000"/>
              </w:rPr>
            </w:pPr>
            <w:r w:rsidRPr="000F4D90">
              <w:rPr>
                <w:color w:val="000000"/>
              </w:rPr>
              <w:t>0</w:t>
            </w:r>
          </w:p>
        </w:tc>
        <w:tc>
          <w:tcPr>
            <w:tcW w:w="2337" w:type="dxa"/>
          </w:tcPr>
          <w:p w14:paraId="4A6E5C97" w14:textId="77777777" w:rsidR="00AA1F10" w:rsidRPr="000F4D90" w:rsidRDefault="00AA1F10" w:rsidP="005E5CB4">
            <w:pPr>
              <w:spacing w:after="0"/>
              <w:jc w:val="right"/>
              <w:outlineLvl w:val="0"/>
              <w:rPr>
                <w:color w:val="000000"/>
              </w:rPr>
            </w:pPr>
            <w:r w:rsidRPr="000F4D90">
              <w:rPr>
                <w:color w:val="000000"/>
              </w:rPr>
              <w:t>92</w:t>
            </w:r>
          </w:p>
        </w:tc>
      </w:tr>
      <w:tr w:rsidR="00AA1F10" w:rsidRPr="000C5FFE" w14:paraId="6EF2083A" w14:textId="77777777" w:rsidTr="005E5CB4">
        <w:trPr>
          <w:trHeight w:val="300"/>
        </w:trPr>
        <w:tc>
          <w:tcPr>
            <w:tcW w:w="2337" w:type="dxa"/>
            <w:noWrap/>
            <w:hideMark/>
          </w:tcPr>
          <w:p w14:paraId="4A572539" w14:textId="77777777" w:rsidR="00AA1F10" w:rsidRPr="000F4D90" w:rsidRDefault="00AA1F10" w:rsidP="005E5CB4">
            <w:pPr>
              <w:spacing w:after="0"/>
              <w:jc w:val="right"/>
              <w:outlineLvl w:val="0"/>
              <w:rPr>
                <w:color w:val="000000"/>
              </w:rPr>
            </w:pPr>
            <w:r w:rsidRPr="000F4D90">
              <w:rPr>
                <w:color w:val="000000"/>
              </w:rPr>
              <w:t>1499</w:t>
            </w:r>
          </w:p>
        </w:tc>
        <w:tc>
          <w:tcPr>
            <w:tcW w:w="2337" w:type="dxa"/>
            <w:noWrap/>
          </w:tcPr>
          <w:p w14:paraId="0C3BD89F" w14:textId="77777777" w:rsidR="00AA1F10" w:rsidRPr="000F4D90" w:rsidRDefault="00AA1F10" w:rsidP="005E5CB4">
            <w:pPr>
              <w:spacing w:after="0"/>
              <w:jc w:val="right"/>
              <w:outlineLvl w:val="0"/>
              <w:rPr>
                <w:color w:val="000000"/>
              </w:rPr>
            </w:pPr>
            <w:r w:rsidRPr="000F4D90">
              <w:rPr>
                <w:color w:val="000000"/>
              </w:rPr>
              <w:t>92</w:t>
            </w:r>
          </w:p>
        </w:tc>
      </w:tr>
      <w:tr w:rsidR="00AA1F10" w:rsidRPr="000C5FFE" w14:paraId="576137DD" w14:textId="77777777" w:rsidTr="005E5CB4">
        <w:trPr>
          <w:trHeight w:val="300"/>
        </w:trPr>
        <w:tc>
          <w:tcPr>
            <w:tcW w:w="2337" w:type="dxa"/>
            <w:noWrap/>
            <w:hideMark/>
          </w:tcPr>
          <w:p w14:paraId="56328950" w14:textId="77777777" w:rsidR="00AA1F10" w:rsidRPr="000F4D90" w:rsidRDefault="00AA1F10" w:rsidP="005E5CB4">
            <w:pPr>
              <w:spacing w:after="0"/>
              <w:jc w:val="right"/>
              <w:outlineLvl w:val="0"/>
              <w:rPr>
                <w:color w:val="000000"/>
              </w:rPr>
            </w:pPr>
            <w:r w:rsidRPr="000F4D90">
              <w:rPr>
                <w:color w:val="000000"/>
              </w:rPr>
              <w:t>1500</w:t>
            </w:r>
          </w:p>
        </w:tc>
        <w:tc>
          <w:tcPr>
            <w:tcW w:w="2337" w:type="dxa"/>
            <w:noWrap/>
          </w:tcPr>
          <w:p w14:paraId="6BCA9FCC" w14:textId="77777777" w:rsidR="00AA1F10" w:rsidRPr="000F4D90" w:rsidRDefault="00AA1F10" w:rsidP="005E5CB4">
            <w:pPr>
              <w:spacing w:after="0"/>
              <w:jc w:val="right"/>
              <w:outlineLvl w:val="0"/>
              <w:rPr>
                <w:color w:val="000000"/>
              </w:rPr>
            </w:pPr>
            <w:r w:rsidRPr="000F4D90">
              <w:rPr>
                <w:color w:val="000000"/>
              </w:rPr>
              <w:t>166</w:t>
            </w:r>
          </w:p>
        </w:tc>
      </w:tr>
      <w:tr w:rsidR="00AA1F10" w:rsidRPr="000C5FFE" w14:paraId="73101A41" w14:textId="77777777" w:rsidTr="005E5CB4">
        <w:trPr>
          <w:trHeight w:val="300"/>
        </w:trPr>
        <w:tc>
          <w:tcPr>
            <w:tcW w:w="2337" w:type="dxa"/>
            <w:noWrap/>
            <w:hideMark/>
          </w:tcPr>
          <w:p w14:paraId="47A902B6" w14:textId="77777777" w:rsidR="00AA1F10" w:rsidRPr="000F4D90" w:rsidRDefault="00AA1F10" w:rsidP="005E5CB4">
            <w:pPr>
              <w:spacing w:after="0"/>
              <w:jc w:val="right"/>
              <w:outlineLvl w:val="0"/>
              <w:rPr>
                <w:color w:val="000000"/>
              </w:rPr>
            </w:pPr>
            <w:r w:rsidRPr="000F4D90">
              <w:rPr>
                <w:color w:val="000000"/>
              </w:rPr>
              <w:t>2000</w:t>
            </w:r>
          </w:p>
        </w:tc>
        <w:tc>
          <w:tcPr>
            <w:tcW w:w="2337" w:type="dxa"/>
            <w:noWrap/>
          </w:tcPr>
          <w:p w14:paraId="39D9C966" w14:textId="77777777" w:rsidR="00AA1F10" w:rsidRPr="000F4D90" w:rsidRDefault="00AA1F10" w:rsidP="005E5CB4">
            <w:pPr>
              <w:spacing w:after="0"/>
              <w:jc w:val="right"/>
              <w:outlineLvl w:val="0"/>
              <w:rPr>
                <w:color w:val="000000"/>
              </w:rPr>
            </w:pPr>
            <w:r w:rsidRPr="000F4D90">
              <w:rPr>
                <w:color w:val="000000"/>
              </w:rPr>
              <w:t>270</w:t>
            </w:r>
          </w:p>
        </w:tc>
      </w:tr>
      <w:tr w:rsidR="00AA1F10" w:rsidRPr="000C5FFE" w14:paraId="7A26E62B" w14:textId="77777777" w:rsidTr="005E5CB4">
        <w:trPr>
          <w:trHeight w:val="300"/>
        </w:trPr>
        <w:tc>
          <w:tcPr>
            <w:tcW w:w="2337" w:type="dxa"/>
            <w:noWrap/>
            <w:hideMark/>
          </w:tcPr>
          <w:p w14:paraId="4BCC2566" w14:textId="77777777" w:rsidR="00AA1F10" w:rsidRPr="000F4D90" w:rsidRDefault="00AA1F10" w:rsidP="005E5CB4">
            <w:pPr>
              <w:spacing w:after="0"/>
              <w:jc w:val="right"/>
              <w:outlineLvl w:val="0"/>
              <w:rPr>
                <w:color w:val="000000"/>
              </w:rPr>
            </w:pPr>
            <w:r w:rsidRPr="000F4D90">
              <w:rPr>
                <w:color w:val="000000"/>
              </w:rPr>
              <w:t>2200</w:t>
            </w:r>
          </w:p>
        </w:tc>
        <w:tc>
          <w:tcPr>
            <w:tcW w:w="2337" w:type="dxa"/>
            <w:noWrap/>
          </w:tcPr>
          <w:p w14:paraId="71C3A892" w14:textId="77777777" w:rsidR="00AA1F10" w:rsidRPr="000F4D90" w:rsidRDefault="00AA1F10" w:rsidP="005E5CB4">
            <w:pPr>
              <w:spacing w:after="0"/>
              <w:jc w:val="right"/>
              <w:outlineLvl w:val="0"/>
              <w:rPr>
                <w:color w:val="000000"/>
              </w:rPr>
            </w:pPr>
            <w:r w:rsidRPr="000F4D90">
              <w:rPr>
                <w:color w:val="000000"/>
              </w:rPr>
              <w:t>306</w:t>
            </w:r>
          </w:p>
        </w:tc>
      </w:tr>
      <w:tr w:rsidR="00AA1F10" w:rsidRPr="000C5FFE" w14:paraId="1A991527" w14:textId="77777777" w:rsidTr="005E5CB4">
        <w:trPr>
          <w:trHeight w:val="300"/>
        </w:trPr>
        <w:tc>
          <w:tcPr>
            <w:tcW w:w="2337" w:type="dxa"/>
            <w:noWrap/>
            <w:hideMark/>
          </w:tcPr>
          <w:p w14:paraId="4158E6A6" w14:textId="77777777" w:rsidR="00AA1F10" w:rsidRPr="000F4D90" w:rsidRDefault="00AA1F10" w:rsidP="005E5CB4">
            <w:pPr>
              <w:spacing w:after="0"/>
              <w:jc w:val="right"/>
              <w:outlineLvl w:val="0"/>
              <w:rPr>
                <w:color w:val="000000"/>
              </w:rPr>
            </w:pPr>
            <w:r w:rsidRPr="000F4D90">
              <w:rPr>
                <w:color w:val="000000"/>
              </w:rPr>
              <w:t>2400</w:t>
            </w:r>
          </w:p>
        </w:tc>
        <w:tc>
          <w:tcPr>
            <w:tcW w:w="2337" w:type="dxa"/>
            <w:noWrap/>
          </w:tcPr>
          <w:p w14:paraId="0A953EDB" w14:textId="77777777" w:rsidR="00AA1F10" w:rsidRPr="000F4D90" w:rsidRDefault="00AA1F10" w:rsidP="005E5CB4">
            <w:pPr>
              <w:spacing w:after="0"/>
              <w:jc w:val="right"/>
              <w:outlineLvl w:val="0"/>
              <w:rPr>
                <w:color w:val="000000"/>
              </w:rPr>
            </w:pPr>
            <w:r w:rsidRPr="000F4D90">
              <w:rPr>
                <w:color w:val="000000"/>
              </w:rPr>
              <w:t>297</w:t>
            </w:r>
          </w:p>
        </w:tc>
      </w:tr>
      <w:tr w:rsidR="00AA1F10" w:rsidRPr="000C5FFE" w14:paraId="2D72C627" w14:textId="77777777" w:rsidTr="005E5CB4">
        <w:trPr>
          <w:trHeight w:val="300"/>
        </w:trPr>
        <w:tc>
          <w:tcPr>
            <w:tcW w:w="2337" w:type="dxa"/>
            <w:noWrap/>
            <w:hideMark/>
          </w:tcPr>
          <w:p w14:paraId="7DCD387B" w14:textId="77777777" w:rsidR="00AA1F10" w:rsidRPr="000F4D90" w:rsidRDefault="00AA1F10" w:rsidP="005E5CB4">
            <w:pPr>
              <w:spacing w:after="0"/>
              <w:jc w:val="right"/>
              <w:rPr>
                <w:color w:val="000000"/>
              </w:rPr>
            </w:pPr>
            <w:r w:rsidRPr="000F4D90">
              <w:rPr>
                <w:color w:val="000000"/>
              </w:rPr>
              <w:t>2700</w:t>
            </w:r>
          </w:p>
        </w:tc>
        <w:tc>
          <w:tcPr>
            <w:tcW w:w="2337" w:type="dxa"/>
            <w:noWrap/>
          </w:tcPr>
          <w:p w14:paraId="44FCB32E" w14:textId="77777777" w:rsidR="00AA1F10" w:rsidRPr="000F4D90" w:rsidRDefault="00AA1F10" w:rsidP="005E5CB4">
            <w:pPr>
              <w:spacing w:after="0"/>
              <w:jc w:val="right"/>
              <w:rPr>
                <w:color w:val="000000"/>
              </w:rPr>
            </w:pPr>
            <w:r w:rsidRPr="000F4D90">
              <w:rPr>
                <w:color w:val="000000"/>
              </w:rPr>
              <w:t>496</w:t>
            </w:r>
          </w:p>
        </w:tc>
      </w:tr>
      <w:tr w:rsidR="00AA1F10" w:rsidRPr="000C5FFE" w14:paraId="6D5AC0F9" w14:textId="77777777" w:rsidTr="005E5CB4">
        <w:trPr>
          <w:trHeight w:val="300"/>
        </w:trPr>
        <w:tc>
          <w:tcPr>
            <w:tcW w:w="2337" w:type="dxa"/>
            <w:noWrap/>
            <w:hideMark/>
          </w:tcPr>
          <w:p w14:paraId="272882DD" w14:textId="77777777" w:rsidR="00AA1F10" w:rsidRPr="000F4D90" w:rsidRDefault="00AA1F10" w:rsidP="005E5CB4">
            <w:pPr>
              <w:spacing w:after="0"/>
              <w:jc w:val="right"/>
              <w:rPr>
                <w:color w:val="000000"/>
              </w:rPr>
            </w:pPr>
            <w:r w:rsidRPr="000F4D90">
              <w:rPr>
                <w:color w:val="000000"/>
              </w:rPr>
              <w:t>3100</w:t>
            </w:r>
          </w:p>
        </w:tc>
        <w:tc>
          <w:tcPr>
            <w:tcW w:w="2337" w:type="dxa"/>
            <w:noWrap/>
          </w:tcPr>
          <w:p w14:paraId="583110B4" w14:textId="77777777" w:rsidR="00AA1F10" w:rsidRPr="000F4D90" w:rsidRDefault="00AA1F10" w:rsidP="005E5CB4">
            <w:pPr>
              <w:spacing w:after="0"/>
              <w:jc w:val="right"/>
              <w:rPr>
                <w:color w:val="000000"/>
              </w:rPr>
            </w:pPr>
            <w:r w:rsidRPr="000F4D90">
              <w:rPr>
                <w:color w:val="000000"/>
              </w:rPr>
              <w:t>743</w:t>
            </w:r>
          </w:p>
        </w:tc>
      </w:tr>
      <w:tr w:rsidR="00AA1F10" w:rsidRPr="000C5FFE" w14:paraId="3374C41F" w14:textId="77777777" w:rsidTr="005E5CB4">
        <w:trPr>
          <w:trHeight w:val="300"/>
        </w:trPr>
        <w:tc>
          <w:tcPr>
            <w:tcW w:w="2337" w:type="dxa"/>
            <w:noWrap/>
            <w:hideMark/>
          </w:tcPr>
          <w:p w14:paraId="4DAA0CC3" w14:textId="77777777" w:rsidR="00AA1F10" w:rsidRPr="000F4D90" w:rsidRDefault="00AA1F10" w:rsidP="005E5CB4">
            <w:pPr>
              <w:spacing w:after="0"/>
              <w:jc w:val="right"/>
              <w:rPr>
                <w:color w:val="000000"/>
              </w:rPr>
            </w:pPr>
            <w:r w:rsidRPr="000F4D90">
              <w:rPr>
                <w:color w:val="000000"/>
              </w:rPr>
              <w:t>10000</w:t>
            </w:r>
          </w:p>
        </w:tc>
        <w:tc>
          <w:tcPr>
            <w:tcW w:w="2337" w:type="dxa"/>
            <w:noWrap/>
          </w:tcPr>
          <w:p w14:paraId="0FB87BDF" w14:textId="77777777" w:rsidR="00AA1F10" w:rsidRPr="000F4D90" w:rsidRDefault="00AA1F10" w:rsidP="005E5CB4">
            <w:pPr>
              <w:spacing w:after="0"/>
              <w:jc w:val="right"/>
              <w:rPr>
                <w:color w:val="000000"/>
              </w:rPr>
            </w:pPr>
            <w:r w:rsidRPr="000F4D90">
              <w:rPr>
                <w:color w:val="000000"/>
              </w:rPr>
              <w:t>743</w:t>
            </w:r>
          </w:p>
        </w:tc>
      </w:tr>
    </w:tbl>
    <w:p w14:paraId="2194B640" w14:textId="77777777" w:rsidR="00AA1F10" w:rsidRDefault="00AA1F10" w:rsidP="00AA1F10">
      <w:pPr>
        <w:rPr>
          <w:rFonts w:ascii="Calibri" w:hAnsi="Calibri" w:cs="Calibri"/>
          <w:color w:val="000000"/>
          <w:shd w:val="clear" w:color="auto" w:fill="FFFFFF"/>
        </w:rPr>
      </w:pPr>
    </w:p>
    <w:p w14:paraId="612078AF" w14:textId="77777777" w:rsidR="00AA1F10" w:rsidRPr="00987BE7" w:rsidRDefault="00AA1F10" w:rsidP="0098394B">
      <w:pPr>
        <w:pStyle w:val="BodyText"/>
        <w:keepNext w:val="0"/>
      </w:pPr>
      <w:r w:rsidRPr="00987BE7">
        <w:rPr>
          <w:shd w:val="clear" w:color="auto" w:fill="FFFFFF"/>
        </w:rPr>
        <w:t xml:space="preserve">The FERC flow requirement requires linear interpolation between San Joaquin Index values. The model simulates this by releasing an additional pulse in the April 15 through May 15 pulse </w:t>
      </w:r>
      <w:r w:rsidRPr="00987BE7">
        <w:rPr>
          <w:shd w:val="clear" w:color="auto" w:fill="FFFFFF"/>
        </w:rPr>
        <w:lastRenderedPageBreak/>
        <w:t>period that is the difference between the annual FERC flows using the linear interpolation and the FERC flows that were released using the lower flow value.</w:t>
      </w:r>
    </w:p>
    <w:p w14:paraId="35C2BDB2" w14:textId="77777777" w:rsidR="00AA1F10" w:rsidRDefault="00AA1F10" w:rsidP="00CD2B13">
      <w:pPr>
        <w:pStyle w:val="Heading5"/>
      </w:pPr>
      <w:r>
        <w:t>Merced</w:t>
      </w:r>
    </w:p>
    <w:p w14:paraId="0AF433A1" w14:textId="29B879C0" w:rsidR="00AA1F10" w:rsidRPr="00987BE7" w:rsidRDefault="00AA1F10" w:rsidP="00276177">
      <w:pPr>
        <w:pStyle w:val="BodyText"/>
        <w:rPr>
          <w:shd w:val="clear" w:color="auto" w:fill="FFFFFF"/>
        </w:rPr>
      </w:pPr>
      <w:r w:rsidRPr="00987BE7">
        <w:rPr>
          <w:shd w:val="clear" w:color="auto" w:fill="FFFFFF"/>
        </w:rPr>
        <w:t>Minimum flows on the Merced River are set at Crocker Huffman Diversion Dam and Shaffer Bridge. At Crocker Huffman, minimum flows are set according to the 1926 Cowell Agreement.</w:t>
      </w:r>
      <w:r w:rsidRPr="00987BE7">
        <w:t xml:space="preserve"> </w:t>
      </w:r>
      <w:r w:rsidRPr="00987BE7">
        <w:rPr>
          <w:shd w:val="clear" w:color="auto" w:fill="FFFFFF"/>
        </w:rPr>
        <w:t xml:space="preserve">Under the Cowell Agreement, flows are 100 cfs in March; 175 cfs in April; 225 cfs in May; 250 cfs from the first day in June until the natural flow of the Merced River falls below 1,200 cfs; 225 cfs flow for the next 31 days; 175 cfs flow for the next 31 days; 150 cfs for the next 30 days; and 50 cfs thereafter or the natural inflow into Lake McClure, whichever is less, through the last day of February. To be consistent with Merced Irrigation District’s FERC modeling, the minimum flow schedule in </w:t>
      </w:r>
      <w:r>
        <w:rPr>
          <w:highlight w:val="yellow"/>
          <w:shd w:val="clear" w:color="auto" w:fill="FFFFFF"/>
        </w:rPr>
        <w:fldChar w:fldCharType="begin"/>
      </w:r>
      <w:r>
        <w:rPr>
          <w:shd w:val="clear" w:color="auto" w:fill="FFFFFF"/>
        </w:rPr>
        <w:instrText xml:space="preserve"> REF _Ref63171577 \h </w:instrText>
      </w:r>
      <w:r w:rsidR="00276177">
        <w:rPr>
          <w:highlight w:val="yellow"/>
          <w:shd w:val="clear" w:color="auto" w:fill="FFFFFF"/>
        </w:rPr>
        <w:instrText xml:space="preserve"> \* MERGEFORMAT </w:instrText>
      </w:r>
      <w:r>
        <w:rPr>
          <w:highlight w:val="yellow"/>
          <w:shd w:val="clear" w:color="auto" w:fill="FFFFFF"/>
        </w:rPr>
      </w:r>
      <w:r>
        <w:rPr>
          <w:highlight w:val="yellow"/>
          <w:shd w:val="clear" w:color="auto" w:fill="FFFFFF"/>
        </w:rPr>
        <w:fldChar w:fldCharType="separate"/>
      </w:r>
      <w:r>
        <w:t xml:space="preserve">Table </w:t>
      </w:r>
      <w:r w:rsidR="0060279E">
        <w:t>1</w:t>
      </w:r>
      <w:r w:rsidR="00207152">
        <w:t>-</w:t>
      </w:r>
      <w:r>
        <w:rPr>
          <w:noProof/>
        </w:rPr>
        <w:t>14</w:t>
      </w:r>
      <w:r>
        <w:rPr>
          <w:highlight w:val="yellow"/>
          <w:shd w:val="clear" w:color="auto" w:fill="FFFFFF"/>
        </w:rPr>
        <w:fldChar w:fldCharType="end"/>
      </w:r>
      <w:r>
        <w:rPr>
          <w:shd w:val="clear" w:color="auto" w:fill="FFFFFF"/>
        </w:rPr>
        <w:t xml:space="preserve"> </w:t>
      </w:r>
      <w:r w:rsidRPr="00987BE7">
        <w:rPr>
          <w:shd w:val="clear" w:color="auto" w:fill="FFFFFF"/>
        </w:rPr>
        <w:t>was used.</w:t>
      </w:r>
    </w:p>
    <w:p w14:paraId="556D526C" w14:textId="6AEE0D0E" w:rsidR="00AA1F10" w:rsidRPr="00587F9D" w:rsidRDefault="00AA1F10" w:rsidP="00AA1F10">
      <w:pPr>
        <w:pStyle w:val="Caption"/>
      </w:pPr>
      <w:bookmarkStart w:id="92" w:name="_Ref63171577"/>
      <w:r>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14</w:t>
      </w:r>
      <w:r w:rsidR="001917C5">
        <w:rPr>
          <w:noProof/>
        </w:rPr>
        <w:fldChar w:fldCharType="end"/>
      </w:r>
      <w:bookmarkEnd w:id="92"/>
      <w:r w:rsidRPr="004F7B36">
        <w:t>. The Merced River’s modeled Cowell Agreement Flow Requirement</w:t>
      </w:r>
    </w:p>
    <w:tbl>
      <w:tblPr>
        <w:tblW w:w="3060" w:type="dxa"/>
        <w:tblLook w:val="04A0" w:firstRow="1" w:lastRow="0" w:firstColumn="1" w:lastColumn="0" w:noHBand="0" w:noVBand="1"/>
      </w:tblPr>
      <w:tblGrid>
        <w:gridCol w:w="1468"/>
        <w:gridCol w:w="1592"/>
      </w:tblGrid>
      <w:tr w:rsidR="00AA1F10" w:rsidRPr="00EF27EE" w14:paraId="05FA4350" w14:textId="77777777" w:rsidTr="005E5CB4">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FD625" w14:textId="77777777" w:rsidR="00AA1F10" w:rsidRPr="000F4D90" w:rsidRDefault="00AA1F10" w:rsidP="005E5CB4">
            <w:pPr>
              <w:spacing w:after="0"/>
              <w:rPr>
                <w:b/>
                <w:bCs/>
                <w:color w:val="000000"/>
              </w:rPr>
            </w:pPr>
            <w:r w:rsidRPr="000F4D90">
              <w:rPr>
                <w:b/>
                <w:bCs/>
                <w:color w:val="000000"/>
              </w:rPr>
              <w:t>Month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C72C46" w14:textId="77777777" w:rsidR="00AA1F10" w:rsidRPr="000F4D90" w:rsidRDefault="00AA1F10" w:rsidP="005E5CB4">
            <w:pPr>
              <w:spacing w:after="0"/>
              <w:rPr>
                <w:b/>
                <w:bCs/>
                <w:color w:val="000000"/>
              </w:rPr>
            </w:pPr>
            <w:r w:rsidRPr="000F4D90">
              <w:rPr>
                <w:b/>
                <w:bCs/>
                <w:color w:val="000000"/>
              </w:rPr>
              <w:t>Cowell Agreement (cfs)</w:t>
            </w:r>
          </w:p>
        </w:tc>
      </w:tr>
      <w:tr w:rsidR="00AA1F10" w:rsidRPr="00EF27EE" w14:paraId="247F08C3"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CF50B48" w14:textId="77777777" w:rsidR="00AA1F10" w:rsidRPr="000F4D90" w:rsidRDefault="00AA1F10" w:rsidP="005E5CB4">
            <w:pPr>
              <w:spacing w:after="0"/>
              <w:rPr>
                <w:color w:val="000000"/>
              </w:rPr>
            </w:pPr>
            <w:r w:rsidRPr="000F4D90">
              <w:rPr>
                <w:color w:val="000000"/>
              </w:rPr>
              <w:t>October</w:t>
            </w:r>
          </w:p>
        </w:tc>
        <w:tc>
          <w:tcPr>
            <w:tcW w:w="960" w:type="dxa"/>
            <w:tcBorders>
              <w:top w:val="nil"/>
              <w:left w:val="nil"/>
              <w:bottom w:val="single" w:sz="4" w:space="0" w:color="auto"/>
              <w:right w:val="single" w:sz="4" w:space="0" w:color="auto"/>
            </w:tcBorders>
            <w:shd w:val="clear" w:color="auto" w:fill="auto"/>
            <w:noWrap/>
            <w:vAlign w:val="bottom"/>
            <w:hideMark/>
          </w:tcPr>
          <w:p w14:paraId="0FBEC457" w14:textId="77777777" w:rsidR="00AA1F10" w:rsidRPr="000F4D90" w:rsidRDefault="00AA1F10" w:rsidP="005E5CB4">
            <w:pPr>
              <w:spacing w:after="0"/>
              <w:jc w:val="right"/>
              <w:rPr>
                <w:color w:val="000000"/>
              </w:rPr>
            </w:pPr>
            <w:r w:rsidRPr="000F4D90">
              <w:rPr>
                <w:color w:val="000000"/>
              </w:rPr>
              <w:t>50 or inflow</w:t>
            </w:r>
          </w:p>
        </w:tc>
      </w:tr>
      <w:tr w:rsidR="00AA1F10" w:rsidRPr="00EF27EE" w14:paraId="7B825915"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7FDB6F" w14:textId="77777777" w:rsidR="00AA1F10" w:rsidRPr="000F4D90" w:rsidRDefault="00AA1F10" w:rsidP="005E5CB4">
            <w:pPr>
              <w:spacing w:after="0"/>
              <w:rPr>
                <w:color w:val="000000"/>
              </w:rPr>
            </w:pPr>
            <w:r w:rsidRPr="000F4D90">
              <w:rPr>
                <w:color w:val="000000"/>
              </w:rPr>
              <w:t>November</w:t>
            </w:r>
          </w:p>
        </w:tc>
        <w:tc>
          <w:tcPr>
            <w:tcW w:w="960" w:type="dxa"/>
            <w:tcBorders>
              <w:top w:val="nil"/>
              <w:left w:val="nil"/>
              <w:bottom w:val="single" w:sz="4" w:space="0" w:color="auto"/>
              <w:right w:val="single" w:sz="4" w:space="0" w:color="auto"/>
            </w:tcBorders>
            <w:shd w:val="clear" w:color="auto" w:fill="auto"/>
            <w:noWrap/>
            <w:vAlign w:val="bottom"/>
            <w:hideMark/>
          </w:tcPr>
          <w:p w14:paraId="1C120CD0" w14:textId="77777777" w:rsidR="00AA1F10" w:rsidRPr="000F4D90" w:rsidRDefault="00AA1F10" w:rsidP="005E5CB4">
            <w:pPr>
              <w:spacing w:after="0"/>
              <w:jc w:val="right"/>
              <w:rPr>
                <w:color w:val="000000"/>
              </w:rPr>
            </w:pPr>
            <w:r w:rsidRPr="000F4D90">
              <w:rPr>
                <w:color w:val="000000"/>
              </w:rPr>
              <w:t>50 or inflow</w:t>
            </w:r>
          </w:p>
        </w:tc>
      </w:tr>
      <w:tr w:rsidR="00AA1F10" w:rsidRPr="00EF27EE" w14:paraId="49A2B3FA"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2A06C72" w14:textId="77777777" w:rsidR="00AA1F10" w:rsidRPr="000F4D90" w:rsidRDefault="00AA1F10" w:rsidP="005E5CB4">
            <w:pPr>
              <w:spacing w:after="0"/>
              <w:rPr>
                <w:color w:val="000000"/>
              </w:rPr>
            </w:pPr>
            <w:r w:rsidRPr="000F4D90">
              <w:rPr>
                <w:color w:val="000000"/>
              </w:rPr>
              <w:t>December</w:t>
            </w:r>
          </w:p>
        </w:tc>
        <w:tc>
          <w:tcPr>
            <w:tcW w:w="960" w:type="dxa"/>
            <w:tcBorders>
              <w:top w:val="nil"/>
              <w:left w:val="nil"/>
              <w:bottom w:val="single" w:sz="4" w:space="0" w:color="auto"/>
              <w:right w:val="single" w:sz="4" w:space="0" w:color="auto"/>
            </w:tcBorders>
            <w:shd w:val="clear" w:color="auto" w:fill="auto"/>
            <w:noWrap/>
            <w:vAlign w:val="bottom"/>
            <w:hideMark/>
          </w:tcPr>
          <w:p w14:paraId="6F6D27F4" w14:textId="77777777" w:rsidR="00AA1F10" w:rsidRPr="000F4D90" w:rsidRDefault="00AA1F10" w:rsidP="005E5CB4">
            <w:pPr>
              <w:spacing w:after="0"/>
              <w:jc w:val="right"/>
              <w:rPr>
                <w:color w:val="000000"/>
              </w:rPr>
            </w:pPr>
            <w:r w:rsidRPr="000F4D90">
              <w:rPr>
                <w:color w:val="000000"/>
              </w:rPr>
              <w:t>50 or inflow</w:t>
            </w:r>
          </w:p>
        </w:tc>
      </w:tr>
      <w:tr w:rsidR="00AA1F10" w:rsidRPr="00EF27EE" w14:paraId="5E639550"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DF4CE0" w14:textId="77777777" w:rsidR="00AA1F10" w:rsidRPr="000F4D90" w:rsidRDefault="00AA1F10" w:rsidP="005E5CB4">
            <w:pPr>
              <w:spacing w:after="0"/>
              <w:rPr>
                <w:color w:val="000000"/>
              </w:rPr>
            </w:pPr>
            <w:r w:rsidRPr="000F4D90">
              <w:rPr>
                <w:color w:val="000000"/>
              </w:rPr>
              <w:t>January</w:t>
            </w:r>
          </w:p>
        </w:tc>
        <w:tc>
          <w:tcPr>
            <w:tcW w:w="960" w:type="dxa"/>
            <w:tcBorders>
              <w:top w:val="nil"/>
              <w:left w:val="nil"/>
              <w:bottom w:val="single" w:sz="4" w:space="0" w:color="auto"/>
              <w:right w:val="single" w:sz="4" w:space="0" w:color="auto"/>
            </w:tcBorders>
            <w:shd w:val="clear" w:color="auto" w:fill="auto"/>
            <w:noWrap/>
            <w:vAlign w:val="bottom"/>
            <w:hideMark/>
          </w:tcPr>
          <w:p w14:paraId="6E94D2B0" w14:textId="77777777" w:rsidR="00AA1F10" w:rsidRPr="000F4D90" w:rsidRDefault="00AA1F10" w:rsidP="005E5CB4">
            <w:pPr>
              <w:spacing w:after="0"/>
              <w:jc w:val="right"/>
              <w:rPr>
                <w:color w:val="000000"/>
              </w:rPr>
            </w:pPr>
            <w:r w:rsidRPr="000F4D90">
              <w:rPr>
                <w:color w:val="000000"/>
              </w:rPr>
              <w:t>50 or inflow</w:t>
            </w:r>
          </w:p>
        </w:tc>
      </w:tr>
      <w:tr w:rsidR="00AA1F10" w:rsidRPr="00EF27EE" w14:paraId="2049925F"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D63F3B5" w14:textId="77777777" w:rsidR="00AA1F10" w:rsidRPr="000F4D90" w:rsidRDefault="00AA1F10" w:rsidP="005E5CB4">
            <w:pPr>
              <w:spacing w:after="0"/>
              <w:rPr>
                <w:color w:val="000000"/>
              </w:rPr>
            </w:pPr>
            <w:r w:rsidRPr="000F4D90">
              <w:rPr>
                <w:color w:val="000000"/>
              </w:rPr>
              <w:t>February</w:t>
            </w:r>
          </w:p>
        </w:tc>
        <w:tc>
          <w:tcPr>
            <w:tcW w:w="960" w:type="dxa"/>
            <w:tcBorders>
              <w:top w:val="nil"/>
              <w:left w:val="nil"/>
              <w:bottom w:val="single" w:sz="4" w:space="0" w:color="auto"/>
              <w:right w:val="single" w:sz="4" w:space="0" w:color="auto"/>
            </w:tcBorders>
            <w:shd w:val="clear" w:color="auto" w:fill="auto"/>
            <w:noWrap/>
            <w:vAlign w:val="bottom"/>
            <w:hideMark/>
          </w:tcPr>
          <w:p w14:paraId="6E8931D4" w14:textId="77777777" w:rsidR="00AA1F10" w:rsidRPr="000F4D90" w:rsidRDefault="00AA1F10" w:rsidP="005E5CB4">
            <w:pPr>
              <w:spacing w:after="0"/>
              <w:jc w:val="right"/>
              <w:rPr>
                <w:color w:val="000000"/>
              </w:rPr>
            </w:pPr>
            <w:r w:rsidRPr="000F4D90">
              <w:rPr>
                <w:color w:val="000000"/>
              </w:rPr>
              <w:t>50 or inflow</w:t>
            </w:r>
          </w:p>
        </w:tc>
      </w:tr>
      <w:tr w:rsidR="00AA1F10" w:rsidRPr="00EF27EE" w14:paraId="0ADFE0FE"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80FFD5" w14:textId="77777777" w:rsidR="00AA1F10" w:rsidRPr="000F4D90" w:rsidRDefault="00AA1F10" w:rsidP="005E5CB4">
            <w:pPr>
              <w:spacing w:after="0"/>
              <w:rPr>
                <w:color w:val="000000"/>
              </w:rPr>
            </w:pPr>
            <w:r w:rsidRPr="000F4D90">
              <w:rPr>
                <w:color w:val="000000"/>
              </w:rPr>
              <w:t>March</w:t>
            </w:r>
          </w:p>
        </w:tc>
        <w:tc>
          <w:tcPr>
            <w:tcW w:w="960" w:type="dxa"/>
            <w:tcBorders>
              <w:top w:val="nil"/>
              <w:left w:val="nil"/>
              <w:bottom w:val="single" w:sz="4" w:space="0" w:color="auto"/>
              <w:right w:val="single" w:sz="4" w:space="0" w:color="auto"/>
            </w:tcBorders>
            <w:shd w:val="clear" w:color="auto" w:fill="auto"/>
            <w:noWrap/>
            <w:vAlign w:val="bottom"/>
            <w:hideMark/>
          </w:tcPr>
          <w:p w14:paraId="0CE3667F" w14:textId="77777777" w:rsidR="00AA1F10" w:rsidRPr="000F4D90" w:rsidRDefault="00AA1F10" w:rsidP="005E5CB4">
            <w:pPr>
              <w:spacing w:after="0"/>
              <w:jc w:val="right"/>
              <w:rPr>
                <w:color w:val="000000"/>
              </w:rPr>
            </w:pPr>
            <w:r w:rsidRPr="000F4D90">
              <w:rPr>
                <w:color w:val="000000"/>
              </w:rPr>
              <w:t>100</w:t>
            </w:r>
          </w:p>
        </w:tc>
      </w:tr>
      <w:tr w:rsidR="00AA1F10" w:rsidRPr="00EF27EE" w14:paraId="6F7792ED"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C7355B" w14:textId="77777777" w:rsidR="00AA1F10" w:rsidRPr="000F4D90" w:rsidRDefault="00AA1F10" w:rsidP="005E5CB4">
            <w:pPr>
              <w:spacing w:after="0"/>
              <w:rPr>
                <w:color w:val="000000"/>
              </w:rPr>
            </w:pPr>
            <w:r w:rsidRPr="000F4D90">
              <w:rPr>
                <w:color w:val="000000"/>
              </w:rPr>
              <w:t>April</w:t>
            </w:r>
          </w:p>
        </w:tc>
        <w:tc>
          <w:tcPr>
            <w:tcW w:w="960" w:type="dxa"/>
            <w:tcBorders>
              <w:top w:val="nil"/>
              <w:left w:val="nil"/>
              <w:bottom w:val="single" w:sz="4" w:space="0" w:color="auto"/>
              <w:right w:val="single" w:sz="4" w:space="0" w:color="auto"/>
            </w:tcBorders>
            <w:shd w:val="clear" w:color="auto" w:fill="auto"/>
            <w:noWrap/>
            <w:vAlign w:val="bottom"/>
            <w:hideMark/>
          </w:tcPr>
          <w:p w14:paraId="7A56D007" w14:textId="77777777" w:rsidR="00AA1F10" w:rsidRPr="000F4D90" w:rsidRDefault="00AA1F10" w:rsidP="005E5CB4">
            <w:pPr>
              <w:spacing w:after="0"/>
              <w:jc w:val="right"/>
              <w:rPr>
                <w:color w:val="000000"/>
              </w:rPr>
            </w:pPr>
            <w:r w:rsidRPr="000F4D90">
              <w:rPr>
                <w:color w:val="000000"/>
              </w:rPr>
              <w:t>175</w:t>
            </w:r>
          </w:p>
        </w:tc>
      </w:tr>
      <w:tr w:rsidR="00AA1F10" w:rsidRPr="00EF27EE" w14:paraId="6B5B58A3"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94C8E00" w14:textId="77777777" w:rsidR="00AA1F10" w:rsidRPr="000F4D90" w:rsidRDefault="00AA1F10" w:rsidP="005E5CB4">
            <w:pPr>
              <w:spacing w:after="0"/>
              <w:rPr>
                <w:color w:val="000000"/>
              </w:rPr>
            </w:pPr>
            <w:r w:rsidRPr="000F4D90">
              <w:rPr>
                <w:color w:val="000000"/>
              </w:rPr>
              <w:t>May</w:t>
            </w:r>
          </w:p>
        </w:tc>
        <w:tc>
          <w:tcPr>
            <w:tcW w:w="960" w:type="dxa"/>
            <w:tcBorders>
              <w:top w:val="nil"/>
              <w:left w:val="nil"/>
              <w:bottom w:val="single" w:sz="4" w:space="0" w:color="auto"/>
              <w:right w:val="single" w:sz="4" w:space="0" w:color="auto"/>
            </w:tcBorders>
            <w:shd w:val="clear" w:color="auto" w:fill="auto"/>
            <w:noWrap/>
            <w:vAlign w:val="bottom"/>
            <w:hideMark/>
          </w:tcPr>
          <w:p w14:paraId="68F0723C" w14:textId="77777777" w:rsidR="00AA1F10" w:rsidRPr="000F4D90" w:rsidRDefault="00AA1F10" w:rsidP="005E5CB4">
            <w:pPr>
              <w:spacing w:after="0"/>
              <w:jc w:val="right"/>
              <w:rPr>
                <w:color w:val="000000"/>
              </w:rPr>
            </w:pPr>
            <w:r w:rsidRPr="000F4D90">
              <w:rPr>
                <w:color w:val="000000"/>
              </w:rPr>
              <w:t>225</w:t>
            </w:r>
          </w:p>
        </w:tc>
      </w:tr>
      <w:tr w:rsidR="00AA1F10" w:rsidRPr="00EF27EE" w14:paraId="6C1CE9E7"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A64542F" w14:textId="77777777" w:rsidR="00AA1F10" w:rsidRPr="000F4D90" w:rsidRDefault="00AA1F10" w:rsidP="005E5CB4">
            <w:pPr>
              <w:spacing w:after="0"/>
              <w:rPr>
                <w:color w:val="000000"/>
              </w:rPr>
            </w:pPr>
            <w:r w:rsidRPr="000F4D90">
              <w:rPr>
                <w:color w:val="000000"/>
              </w:rPr>
              <w:t>June</w:t>
            </w:r>
          </w:p>
        </w:tc>
        <w:tc>
          <w:tcPr>
            <w:tcW w:w="960" w:type="dxa"/>
            <w:tcBorders>
              <w:top w:val="nil"/>
              <w:left w:val="nil"/>
              <w:bottom w:val="single" w:sz="4" w:space="0" w:color="auto"/>
              <w:right w:val="single" w:sz="4" w:space="0" w:color="auto"/>
            </w:tcBorders>
            <w:shd w:val="clear" w:color="auto" w:fill="auto"/>
            <w:noWrap/>
            <w:vAlign w:val="bottom"/>
            <w:hideMark/>
          </w:tcPr>
          <w:p w14:paraId="65FE695C" w14:textId="77777777" w:rsidR="00AA1F10" w:rsidRPr="000F4D90" w:rsidRDefault="00AA1F10" w:rsidP="005E5CB4">
            <w:pPr>
              <w:spacing w:after="0"/>
              <w:jc w:val="right"/>
              <w:rPr>
                <w:color w:val="000000"/>
              </w:rPr>
            </w:pPr>
            <w:r w:rsidRPr="000F4D90">
              <w:rPr>
                <w:color w:val="000000"/>
              </w:rPr>
              <w:t>250</w:t>
            </w:r>
          </w:p>
        </w:tc>
      </w:tr>
      <w:tr w:rsidR="00AA1F10" w:rsidRPr="00EF27EE" w14:paraId="6B4607D2"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C4629F2" w14:textId="77777777" w:rsidR="00AA1F10" w:rsidRPr="000F4D90" w:rsidRDefault="00AA1F10" w:rsidP="005E5CB4">
            <w:pPr>
              <w:spacing w:after="0"/>
              <w:rPr>
                <w:color w:val="000000"/>
              </w:rPr>
            </w:pPr>
            <w:r w:rsidRPr="000F4D90">
              <w:rPr>
                <w:color w:val="000000"/>
              </w:rPr>
              <w:t>July</w:t>
            </w:r>
          </w:p>
        </w:tc>
        <w:tc>
          <w:tcPr>
            <w:tcW w:w="960" w:type="dxa"/>
            <w:tcBorders>
              <w:top w:val="nil"/>
              <w:left w:val="nil"/>
              <w:bottom w:val="single" w:sz="4" w:space="0" w:color="auto"/>
              <w:right w:val="single" w:sz="4" w:space="0" w:color="auto"/>
            </w:tcBorders>
            <w:shd w:val="clear" w:color="auto" w:fill="auto"/>
            <w:noWrap/>
            <w:vAlign w:val="bottom"/>
            <w:hideMark/>
          </w:tcPr>
          <w:p w14:paraId="1AC3F977" w14:textId="77777777" w:rsidR="00AA1F10" w:rsidRPr="000F4D90" w:rsidRDefault="00AA1F10" w:rsidP="005E5CB4">
            <w:pPr>
              <w:spacing w:after="0"/>
              <w:jc w:val="right"/>
              <w:rPr>
                <w:color w:val="000000"/>
              </w:rPr>
            </w:pPr>
            <w:r w:rsidRPr="000F4D90">
              <w:rPr>
                <w:color w:val="000000"/>
              </w:rPr>
              <w:t>225</w:t>
            </w:r>
          </w:p>
        </w:tc>
      </w:tr>
      <w:tr w:rsidR="00AA1F10" w:rsidRPr="00EF27EE" w14:paraId="7230C374"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A6E8F7" w14:textId="77777777" w:rsidR="00AA1F10" w:rsidRPr="000F4D90" w:rsidRDefault="00AA1F10" w:rsidP="005E5CB4">
            <w:pPr>
              <w:spacing w:after="0"/>
              <w:rPr>
                <w:color w:val="000000"/>
              </w:rPr>
            </w:pPr>
            <w:r w:rsidRPr="000F4D90">
              <w:rPr>
                <w:color w:val="000000"/>
              </w:rPr>
              <w:t>August</w:t>
            </w:r>
          </w:p>
        </w:tc>
        <w:tc>
          <w:tcPr>
            <w:tcW w:w="960" w:type="dxa"/>
            <w:tcBorders>
              <w:top w:val="nil"/>
              <w:left w:val="nil"/>
              <w:bottom w:val="single" w:sz="4" w:space="0" w:color="auto"/>
              <w:right w:val="single" w:sz="4" w:space="0" w:color="auto"/>
            </w:tcBorders>
            <w:shd w:val="clear" w:color="auto" w:fill="auto"/>
            <w:noWrap/>
            <w:vAlign w:val="bottom"/>
            <w:hideMark/>
          </w:tcPr>
          <w:p w14:paraId="3644384D" w14:textId="77777777" w:rsidR="00AA1F10" w:rsidRPr="000F4D90" w:rsidRDefault="00AA1F10" w:rsidP="005E5CB4">
            <w:pPr>
              <w:spacing w:after="0"/>
              <w:jc w:val="right"/>
              <w:rPr>
                <w:color w:val="000000"/>
              </w:rPr>
            </w:pPr>
            <w:r w:rsidRPr="000F4D90">
              <w:rPr>
                <w:color w:val="000000"/>
              </w:rPr>
              <w:t>175</w:t>
            </w:r>
          </w:p>
        </w:tc>
      </w:tr>
      <w:tr w:rsidR="00AA1F10" w:rsidRPr="00EF27EE" w14:paraId="00B35B59"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C71F0B" w14:textId="77777777" w:rsidR="00AA1F10" w:rsidRPr="000F4D90" w:rsidRDefault="00AA1F10" w:rsidP="005E5CB4">
            <w:pPr>
              <w:spacing w:after="0"/>
              <w:rPr>
                <w:color w:val="000000"/>
              </w:rPr>
            </w:pPr>
            <w:r w:rsidRPr="000F4D90">
              <w:rPr>
                <w:color w:val="000000"/>
              </w:rPr>
              <w:t>September</w:t>
            </w:r>
          </w:p>
        </w:tc>
        <w:tc>
          <w:tcPr>
            <w:tcW w:w="960" w:type="dxa"/>
            <w:tcBorders>
              <w:top w:val="nil"/>
              <w:left w:val="nil"/>
              <w:bottom w:val="single" w:sz="4" w:space="0" w:color="auto"/>
              <w:right w:val="single" w:sz="4" w:space="0" w:color="auto"/>
            </w:tcBorders>
            <w:shd w:val="clear" w:color="auto" w:fill="auto"/>
            <w:noWrap/>
            <w:vAlign w:val="bottom"/>
            <w:hideMark/>
          </w:tcPr>
          <w:p w14:paraId="18FEC409" w14:textId="77777777" w:rsidR="00AA1F10" w:rsidRPr="000F4D90" w:rsidRDefault="00AA1F10" w:rsidP="005E5CB4">
            <w:pPr>
              <w:spacing w:after="0"/>
              <w:jc w:val="right"/>
              <w:rPr>
                <w:color w:val="000000"/>
              </w:rPr>
            </w:pPr>
            <w:r w:rsidRPr="000F4D90">
              <w:rPr>
                <w:color w:val="000000"/>
              </w:rPr>
              <w:t>150</w:t>
            </w:r>
          </w:p>
        </w:tc>
      </w:tr>
    </w:tbl>
    <w:p w14:paraId="7BC42325" w14:textId="77777777" w:rsidR="00AA1F10" w:rsidRDefault="00AA1F10" w:rsidP="00AA1F10">
      <w:pPr>
        <w:rPr>
          <w:rFonts w:ascii="Calibri" w:hAnsi="Calibri" w:cs="Calibri"/>
          <w:color w:val="000000"/>
          <w:shd w:val="clear" w:color="auto" w:fill="FFFFFF"/>
        </w:rPr>
      </w:pPr>
    </w:p>
    <w:p w14:paraId="2E853D07" w14:textId="6FA9C590" w:rsidR="00AA1F10" w:rsidRPr="00987BE7" w:rsidRDefault="00AA1F10" w:rsidP="0098394B">
      <w:pPr>
        <w:pStyle w:val="BodyText"/>
        <w:keepNext w:val="0"/>
        <w:rPr>
          <w:shd w:val="clear" w:color="auto" w:fill="FFFFFF"/>
        </w:rPr>
      </w:pPr>
      <w:r w:rsidRPr="00987BE7">
        <w:rPr>
          <w:shd w:val="clear" w:color="auto" w:fill="FFFFFF"/>
        </w:rPr>
        <w:t xml:space="preserve">Minimum flows at Shaffer Bridge are set in accordance with FERC license numbers 2179 and 2467 and an additional 12.5 TAF release in October based on the 2002 Merced ID and CDFW Memorandum of Understanding (MOU). When determining the FERC flow requirement, a Wet year is a year with greater than 450 TAF of inflow to Lake McClure from April through July; otherwise it is a Dry year. The flows required under the FERC license are shown by month in </w:t>
      </w:r>
      <w:r>
        <w:rPr>
          <w:highlight w:val="yellow"/>
          <w:shd w:val="clear" w:color="auto" w:fill="FFFFFF"/>
        </w:rPr>
        <w:fldChar w:fldCharType="begin"/>
      </w:r>
      <w:r>
        <w:rPr>
          <w:shd w:val="clear" w:color="auto" w:fill="FFFFFF"/>
        </w:rPr>
        <w:instrText xml:space="preserve"> REF _Ref63171657 \h </w:instrText>
      </w:r>
      <w:r w:rsidR="00276177">
        <w:rPr>
          <w:highlight w:val="yellow"/>
          <w:shd w:val="clear" w:color="auto" w:fill="FFFFFF"/>
        </w:rPr>
        <w:instrText xml:space="preserve"> \* MERGEFORMAT </w:instrText>
      </w:r>
      <w:r>
        <w:rPr>
          <w:highlight w:val="yellow"/>
          <w:shd w:val="clear" w:color="auto" w:fill="FFFFFF"/>
        </w:rPr>
      </w:r>
      <w:r>
        <w:rPr>
          <w:highlight w:val="yellow"/>
          <w:shd w:val="clear" w:color="auto" w:fill="FFFFFF"/>
        </w:rPr>
        <w:fldChar w:fldCharType="separate"/>
      </w:r>
      <w:r>
        <w:t xml:space="preserve">Table </w:t>
      </w:r>
      <w:r w:rsidR="0060279E">
        <w:t>1</w:t>
      </w:r>
      <w:r w:rsidR="00207152">
        <w:t>-</w:t>
      </w:r>
      <w:r>
        <w:rPr>
          <w:noProof/>
        </w:rPr>
        <w:t>15</w:t>
      </w:r>
      <w:r>
        <w:rPr>
          <w:highlight w:val="yellow"/>
          <w:shd w:val="clear" w:color="auto" w:fill="FFFFFF"/>
        </w:rPr>
        <w:fldChar w:fldCharType="end"/>
      </w:r>
      <w:r w:rsidRPr="00987BE7">
        <w:rPr>
          <w:shd w:val="clear" w:color="auto" w:fill="FFFFFF"/>
        </w:rPr>
        <w:t>.</w:t>
      </w:r>
    </w:p>
    <w:p w14:paraId="4882FADA" w14:textId="631D6C2B" w:rsidR="00AA1F10" w:rsidRPr="00D460E7" w:rsidRDefault="00AA1F10" w:rsidP="0098394B">
      <w:pPr>
        <w:pStyle w:val="Caption"/>
        <w:keepNext/>
        <w:keepLines/>
      </w:pPr>
      <w:bookmarkStart w:id="93" w:name="_Ref63171657"/>
      <w:r>
        <w:lastRenderedPageBreak/>
        <w:t xml:space="preserve">Table </w:t>
      </w:r>
      <w:r w:rsidR="0060279E">
        <w:t>1</w:t>
      </w:r>
      <w:r w:rsidR="00207152">
        <w:t>-</w:t>
      </w:r>
      <w:r w:rsidR="001917C5">
        <w:fldChar w:fldCharType="begin"/>
      </w:r>
      <w:r w:rsidR="001917C5">
        <w:instrText xml:space="preserve"> SEQ Table \* ARABIC </w:instrText>
      </w:r>
      <w:r w:rsidR="001917C5">
        <w:fldChar w:fldCharType="separate"/>
      </w:r>
      <w:r>
        <w:rPr>
          <w:noProof/>
        </w:rPr>
        <w:t>15</w:t>
      </w:r>
      <w:r w:rsidR="001917C5">
        <w:rPr>
          <w:noProof/>
        </w:rPr>
        <w:fldChar w:fldCharType="end"/>
      </w:r>
      <w:bookmarkEnd w:id="93"/>
      <w:r w:rsidRPr="005D5C24">
        <w:t>. The Merced River’s FERC minimum Flow Requirement</w:t>
      </w:r>
    </w:p>
    <w:tbl>
      <w:tblPr>
        <w:tblW w:w="3060" w:type="dxa"/>
        <w:tblLook w:val="04A0" w:firstRow="1" w:lastRow="0" w:firstColumn="1" w:lastColumn="0" w:noHBand="0" w:noVBand="1"/>
      </w:tblPr>
      <w:tblGrid>
        <w:gridCol w:w="1157"/>
        <w:gridCol w:w="960"/>
        <w:gridCol w:w="960"/>
      </w:tblGrid>
      <w:tr w:rsidR="00AA1F10" w:rsidRPr="00EF27EE" w14:paraId="439DC89A" w14:textId="77777777" w:rsidTr="005E5CB4">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E57B5" w14:textId="77777777" w:rsidR="00AA1F10" w:rsidRPr="000F4D90" w:rsidRDefault="00AA1F10" w:rsidP="0098394B">
            <w:pPr>
              <w:keepNext/>
              <w:keepLines/>
              <w:spacing w:after="0"/>
              <w:rPr>
                <w:b/>
                <w:bCs/>
                <w:color w:val="000000"/>
              </w:rPr>
            </w:pPr>
            <w:r w:rsidRPr="000F4D90">
              <w:rPr>
                <w:b/>
                <w:bCs/>
                <w:color w:val="000000"/>
              </w:rPr>
              <w:t>Month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D7A4C7" w14:textId="77777777" w:rsidR="00AA1F10" w:rsidRPr="000F4D90" w:rsidRDefault="00AA1F10" w:rsidP="0098394B">
            <w:pPr>
              <w:keepNext/>
              <w:keepLines/>
              <w:spacing w:after="0"/>
              <w:rPr>
                <w:b/>
                <w:bCs/>
                <w:color w:val="000000"/>
              </w:rPr>
            </w:pPr>
            <w:r w:rsidRPr="000F4D90">
              <w:rPr>
                <w:b/>
                <w:bCs/>
                <w:color w:val="000000"/>
              </w:rPr>
              <w:t>Wet (cfs)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D940F4" w14:textId="77777777" w:rsidR="00AA1F10" w:rsidRPr="000F4D90" w:rsidRDefault="00AA1F10" w:rsidP="0098394B">
            <w:pPr>
              <w:keepNext/>
              <w:keepLines/>
              <w:spacing w:after="0"/>
              <w:rPr>
                <w:b/>
                <w:bCs/>
                <w:color w:val="000000"/>
              </w:rPr>
            </w:pPr>
            <w:r w:rsidRPr="000F4D90">
              <w:rPr>
                <w:b/>
                <w:bCs/>
                <w:color w:val="000000"/>
              </w:rPr>
              <w:t>Dry (cfs)</w:t>
            </w:r>
          </w:p>
        </w:tc>
      </w:tr>
      <w:tr w:rsidR="00AA1F10" w:rsidRPr="00EF27EE" w14:paraId="41162C74"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7258E5F" w14:textId="77777777" w:rsidR="00AA1F10" w:rsidRPr="000F4D90" w:rsidRDefault="00AA1F10" w:rsidP="0098394B">
            <w:pPr>
              <w:keepNext/>
              <w:keepLines/>
              <w:spacing w:after="0"/>
              <w:rPr>
                <w:color w:val="000000"/>
              </w:rPr>
            </w:pPr>
            <w:r w:rsidRPr="000F4D90">
              <w:rPr>
                <w:color w:val="000000"/>
              </w:rPr>
              <w:t>October</w:t>
            </w:r>
          </w:p>
        </w:tc>
        <w:tc>
          <w:tcPr>
            <w:tcW w:w="960" w:type="dxa"/>
            <w:tcBorders>
              <w:top w:val="nil"/>
              <w:left w:val="nil"/>
              <w:bottom w:val="single" w:sz="4" w:space="0" w:color="auto"/>
              <w:right w:val="single" w:sz="4" w:space="0" w:color="auto"/>
            </w:tcBorders>
            <w:shd w:val="clear" w:color="auto" w:fill="auto"/>
            <w:noWrap/>
            <w:vAlign w:val="bottom"/>
            <w:hideMark/>
          </w:tcPr>
          <w:p w14:paraId="16D37E7F" w14:textId="77777777" w:rsidR="00AA1F10" w:rsidRPr="000F4D90" w:rsidRDefault="00AA1F10" w:rsidP="0098394B">
            <w:pPr>
              <w:keepNext/>
              <w:keepLines/>
              <w:spacing w:after="0"/>
              <w:jc w:val="right"/>
              <w:rPr>
                <w:color w:val="000000"/>
              </w:rPr>
            </w:pPr>
            <w:r w:rsidRPr="000F4D90">
              <w:rPr>
                <w:color w:val="000000"/>
              </w:rPr>
              <w:t>50.81</w:t>
            </w:r>
          </w:p>
        </w:tc>
        <w:tc>
          <w:tcPr>
            <w:tcW w:w="960" w:type="dxa"/>
            <w:tcBorders>
              <w:top w:val="nil"/>
              <w:left w:val="nil"/>
              <w:bottom w:val="single" w:sz="4" w:space="0" w:color="auto"/>
              <w:right w:val="single" w:sz="4" w:space="0" w:color="auto"/>
            </w:tcBorders>
            <w:shd w:val="clear" w:color="auto" w:fill="auto"/>
            <w:noWrap/>
            <w:vAlign w:val="bottom"/>
            <w:hideMark/>
          </w:tcPr>
          <w:p w14:paraId="4AA89984" w14:textId="77777777" w:rsidR="00AA1F10" w:rsidRPr="000F4D90" w:rsidRDefault="00AA1F10" w:rsidP="0098394B">
            <w:pPr>
              <w:keepNext/>
              <w:keepLines/>
              <w:spacing w:after="0"/>
              <w:jc w:val="right"/>
              <w:rPr>
                <w:color w:val="000000"/>
              </w:rPr>
            </w:pPr>
            <w:r w:rsidRPr="000F4D90">
              <w:rPr>
                <w:color w:val="000000"/>
              </w:rPr>
              <w:t>38.23</w:t>
            </w:r>
          </w:p>
        </w:tc>
      </w:tr>
      <w:tr w:rsidR="00AA1F10" w:rsidRPr="00EF27EE" w14:paraId="67AE9E81"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AB42D45" w14:textId="77777777" w:rsidR="00AA1F10" w:rsidRPr="000F4D90" w:rsidRDefault="00AA1F10" w:rsidP="0098394B">
            <w:pPr>
              <w:keepNext/>
              <w:keepLines/>
              <w:spacing w:after="0"/>
              <w:rPr>
                <w:color w:val="000000"/>
              </w:rPr>
            </w:pPr>
            <w:r w:rsidRPr="000F4D90">
              <w:rPr>
                <w:color w:val="000000"/>
              </w:rPr>
              <w:t>November</w:t>
            </w:r>
          </w:p>
        </w:tc>
        <w:tc>
          <w:tcPr>
            <w:tcW w:w="960" w:type="dxa"/>
            <w:tcBorders>
              <w:top w:val="nil"/>
              <w:left w:val="nil"/>
              <w:bottom w:val="single" w:sz="4" w:space="0" w:color="auto"/>
              <w:right w:val="single" w:sz="4" w:space="0" w:color="auto"/>
            </w:tcBorders>
            <w:shd w:val="clear" w:color="auto" w:fill="auto"/>
            <w:noWrap/>
            <w:vAlign w:val="bottom"/>
            <w:hideMark/>
          </w:tcPr>
          <w:p w14:paraId="3D395C59" w14:textId="77777777" w:rsidR="00AA1F10" w:rsidRPr="000F4D90" w:rsidRDefault="00AA1F10" w:rsidP="0098394B">
            <w:pPr>
              <w:keepNext/>
              <w:keepLines/>
              <w:spacing w:after="0"/>
              <w:jc w:val="right"/>
              <w:rPr>
                <w:color w:val="000000"/>
              </w:rPr>
            </w:pPr>
            <w:r w:rsidRPr="000F4D90">
              <w:rPr>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C98A995" w14:textId="77777777" w:rsidR="00AA1F10" w:rsidRPr="000F4D90" w:rsidRDefault="00AA1F10" w:rsidP="0098394B">
            <w:pPr>
              <w:keepNext/>
              <w:keepLines/>
              <w:spacing w:after="0"/>
              <w:jc w:val="right"/>
              <w:rPr>
                <w:color w:val="000000"/>
              </w:rPr>
            </w:pPr>
            <w:r w:rsidRPr="000F4D90">
              <w:rPr>
                <w:color w:val="000000"/>
              </w:rPr>
              <w:t>75</w:t>
            </w:r>
          </w:p>
        </w:tc>
      </w:tr>
      <w:tr w:rsidR="00AA1F10" w:rsidRPr="00EF27EE" w14:paraId="1ABDA225"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103B1DA" w14:textId="77777777" w:rsidR="00AA1F10" w:rsidRPr="000F4D90" w:rsidRDefault="00AA1F10" w:rsidP="0098394B">
            <w:pPr>
              <w:keepNext/>
              <w:keepLines/>
              <w:spacing w:after="0"/>
              <w:rPr>
                <w:color w:val="000000"/>
              </w:rPr>
            </w:pPr>
            <w:r w:rsidRPr="000F4D90">
              <w:rPr>
                <w:color w:val="000000"/>
              </w:rPr>
              <w:t>December</w:t>
            </w:r>
          </w:p>
        </w:tc>
        <w:tc>
          <w:tcPr>
            <w:tcW w:w="960" w:type="dxa"/>
            <w:tcBorders>
              <w:top w:val="nil"/>
              <w:left w:val="nil"/>
              <w:bottom w:val="single" w:sz="4" w:space="0" w:color="auto"/>
              <w:right w:val="single" w:sz="4" w:space="0" w:color="auto"/>
            </w:tcBorders>
            <w:shd w:val="clear" w:color="auto" w:fill="auto"/>
            <w:noWrap/>
            <w:vAlign w:val="bottom"/>
            <w:hideMark/>
          </w:tcPr>
          <w:p w14:paraId="75CABCC0" w14:textId="77777777" w:rsidR="00AA1F10" w:rsidRPr="000F4D90" w:rsidRDefault="00AA1F10" w:rsidP="0098394B">
            <w:pPr>
              <w:keepNext/>
              <w:keepLines/>
              <w:spacing w:after="0"/>
              <w:jc w:val="right"/>
              <w:rPr>
                <w:color w:val="000000"/>
              </w:rPr>
            </w:pPr>
            <w:r w:rsidRPr="000F4D90">
              <w:rPr>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DB819AB" w14:textId="77777777" w:rsidR="00AA1F10" w:rsidRPr="000F4D90" w:rsidRDefault="00AA1F10" w:rsidP="0098394B">
            <w:pPr>
              <w:keepNext/>
              <w:keepLines/>
              <w:spacing w:after="0"/>
              <w:jc w:val="right"/>
              <w:rPr>
                <w:color w:val="000000"/>
              </w:rPr>
            </w:pPr>
            <w:r w:rsidRPr="000F4D90">
              <w:rPr>
                <w:color w:val="000000"/>
              </w:rPr>
              <w:t>75</w:t>
            </w:r>
          </w:p>
        </w:tc>
      </w:tr>
      <w:tr w:rsidR="00AA1F10" w:rsidRPr="00EF27EE" w14:paraId="47846DF1"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022401" w14:textId="77777777" w:rsidR="00AA1F10" w:rsidRPr="000F4D90" w:rsidRDefault="00AA1F10" w:rsidP="0098394B">
            <w:pPr>
              <w:keepNext/>
              <w:keepLines/>
              <w:spacing w:after="0"/>
              <w:rPr>
                <w:color w:val="000000"/>
              </w:rPr>
            </w:pPr>
            <w:r w:rsidRPr="000F4D90">
              <w:rPr>
                <w:color w:val="000000"/>
              </w:rPr>
              <w:t>January</w:t>
            </w:r>
          </w:p>
        </w:tc>
        <w:tc>
          <w:tcPr>
            <w:tcW w:w="960" w:type="dxa"/>
            <w:tcBorders>
              <w:top w:val="nil"/>
              <w:left w:val="nil"/>
              <w:bottom w:val="single" w:sz="4" w:space="0" w:color="auto"/>
              <w:right w:val="single" w:sz="4" w:space="0" w:color="auto"/>
            </w:tcBorders>
            <w:shd w:val="clear" w:color="auto" w:fill="auto"/>
            <w:noWrap/>
            <w:vAlign w:val="bottom"/>
            <w:hideMark/>
          </w:tcPr>
          <w:p w14:paraId="052C2DE8" w14:textId="77777777" w:rsidR="00AA1F10" w:rsidRPr="000F4D90" w:rsidRDefault="00AA1F10" w:rsidP="0098394B">
            <w:pPr>
              <w:keepNext/>
              <w:keepLines/>
              <w:spacing w:after="0"/>
              <w:jc w:val="right"/>
              <w:rPr>
                <w:color w:val="000000"/>
              </w:rPr>
            </w:pPr>
            <w:r w:rsidRPr="000F4D90">
              <w:rPr>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14:paraId="0AE9D45B" w14:textId="77777777" w:rsidR="00AA1F10" w:rsidRPr="000F4D90" w:rsidRDefault="00AA1F10" w:rsidP="0098394B">
            <w:pPr>
              <w:keepNext/>
              <w:keepLines/>
              <w:spacing w:after="0"/>
              <w:jc w:val="right"/>
              <w:rPr>
                <w:color w:val="000000"/>
              </w:rPr>
            </w:pPr>
            <w:r w:rsidRPr="000F4D90">
              <w:rPr>
                <w:color w:val="000000"/>
              </w:rPr>
              <w:t>60</w:t>
            </w:r>
          </w:p>
        </w:tc>
      </w:tr>
      <w:tr w:rsidR="00AA1F10" w:rsidRPr="00EF27EE" w14:paraId="66293C30"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E7A89F2" w14:textId="77777777" w:rsidR="00AA1F10" w:rsidRPr="000F4D90" w:rsidRDefault="00AA1F10" w:rsidP="0098394B">
            <w:pPr>
              <w:keepNext/>
              <w:keepLines/>
              <w:spacing w:after="0"/>
              <w:rPr>
                <w:color w:val="000000"/>
              </w:rPr>
            </w:pPr>
            <w:r w:rsidRPr="000F4D90">
              <w:rPr>
                <w:color w:val="000000"/>
              </w:rPr>
              <w:t>February</w:t>
            </w:r>
          </w:p>
        </w:tc>
        <w:tc>
          <w:tcPr>
            <w:tcW w:w="960" w:type="dxa"/>
            <w:tcBorders>
              <w:top w:val="nil"/>
              <w:left w:val="nil"/>
              <w:bottom w:val="single" w:sz="4" w:space="0" w:color="auto"/>
              <w:right w:val="single" w:sz="4" w:space="0" w:color="auto"/>
            </w:tcBorders>
            <w:shd w:val="clear" w:color="auto" w:fill="auto"/>
            <w:noWrap/>
            <w:vAlign w:val="bottom"/>
            <w:hideMark/>
          </w:tcPr>
          <w:p w14:paraId="7E0AE91E" w14:textId="77777777" w:rsidR="00AA1F10" w:rsidRPr="000F4D90" w:rsidRDefault="00AA1F10" w:rsidP="0098394B">
            <w:pPr>
              <w:keepNext/>
              <w:keepLines/>
              <w:spacing w:after="0"/>
              <w:jc w:val="right"/>
              <w:rPr>
                <w:color w:val="000000"/>
              </w:rPr>
            </w:pPr>
            <w:r w:rsidRPr="000F4D90">
              <w:rPr>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14:paraId="039E2CCC" w14:textId="77777777" w:rsidR="00AA1F10" w:rsidRPr="000F4D90" w:rsidRDefault="00AA1F10" w:rsidP="0098394B">
            <w:pPr>
              <w:keepNext/>
              <w:keepLines/>
              <w:spacing w:after="0"/>
              <w:jc w:val="right"/>
              <w:rPr>
                <w:color w:val="000000"/>
              </w:rPr>
            </w:pPr>
            <w:r w:rsidRPr="000F4D90">
              <w:rPr>
                <w:color w:val="000000"/>
              </w:rPr>
              <w:t>60</w:t>
            </w:r>
          </w:p>
        </w:tc>
      </w:tr>
      <w:tr w:rsidR="00AA1F10" w:rsidRPr="00EF27EE" w14:paraId="51E9A197"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6F6F279" w14:textId="77777777" w:rsidR="00AA1F10" w:rsidRPr="000F4D90" w:rsidRDefault="00AA1F10" w:rsidP="0098394B">
            <w:pPr>
              <w:keepNext/>
              <w:keepLines/>
              <w:spacing w:after="0"/>
              <w:rPr>
                <w:color w:val="000000"/>
              </w:rPr>
            </w:pPr>
            <w:r w:rsidRPr="000F4D90">
              <w:rPr>
                <w:color w:val="000000"/>
              </w:rPr>
              <w:t>March</w:t>
            </w:r>
          </w:p>
        </w:tc>
        <w:tc>
          <w:tcPr>
            <w:tcW w:w="960" w:type="dxa"/>
            <w:tcBorders>
              <w:top w:val="nil"/>
              <w:left w:val="nil"/>
              <w:bottom w:val="single" w:sz="4" w:space="0" w:color="auto"/>
              <w:right w:val="single" w:sz="4" w:space="0" w:color="auto"/>
            </w:tcBorders>
            <w:shd w:val="clear" w:color="auto" w:fill="auto"/>
            <w:noWrap/>
            <w:vAlign w:val="bottom"/>
            <w:hideMark/>
          </w:tcPr>
          <w:p w14:paraId="5AC10185" w14:textId="77777777" w:rsidR="00AA1F10" w:rsidRPr="000F4D90" w:rsidRDefault="00AA1F10" w:rsidP="0098394B">
            <w:pPr>
              <w:keepNext/>
              <w:keepLines/>
              <w:spacing w:after="0"/>
              <w:jc w:val="right"/>
              <w:rPr>
                <w:color w:val="000000"/>
              </w:rPr>
            </w:pPr>
            <w:r w:rsidRPr="000F4D90">
              <w:rPr>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14:paraId="396424EE" w14:textId="77777777" w:rsidR="00AA1F10" w:rsidRPr="000F4D90" w:rsidRDefault="00AA1F10" w:rsidP="0098394B">
            <w:pPr>
              <w:keepNext/>
              <w:keepLines/>
              <w:spacing w:after="0"/>
              <w:jc w:val="right"/>
              <w:rPr>
                <w:color w:val="000000"/>
              </w:rPr>
            </w:pPr>
            <w:r w:rsidRPr="000F4D90">
              <w:rPr>
                <w:color w:val="000000"/>
              </w:rPr>
              <w:t>60</w:t>
            </w:r>
          </w:p>
        </w:tc>
      </w:tr>
      <w:tr w:rsidR="00AA1F10" w:rsidRPr="00EF27EE" w14:paraId="1A58F252"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AE9039D" w14:textId="77777777" w:rsidR="00AA1F10" w:rsidRPr="000F4D90" w:rsidRDefault="00AA1F10" w:rsidP="0098394B">
            <w:pPr>
              <w:keepNext/>
              <w:keepLines/>
              <w:spacing w:after="0"/>
              <w:rPr>
                <w:color w:val="000000"/>
              </w:rPr>
            </w:pPr>
            <w:r w:rsidRPr="000F4D90">
              <w:rPr>
                <w:color w:val="000000"/>
              </w:rPr>
              <w:t>April</w:t>
            </w:r>
          </w:p>
        </w:tc>
        <w:tc>
          <w:tcPr>
            <w:tcW w:w="960" w:type="dxa"/>
            <w:tcBorders>
              <w:top w:val="nil"/>
              <w:left w:val="nil"/>
              <w:bottom w:val="single" w:sz="4" w:space="0" w:color="auto"/>
              <w:right w:val="single" w:sz="4" w:space="0" w:color="auto"/>
            </w:tcBorders>
            <w:shd w:val="clear" w:color="auto" w:fill="auto"/>
            <w:noWrap/>
            <w:vAlign w:val="bottom"/>
            <w:hideMark/>
          </w:tcPr>
          <w:p w14:paraId="283C44C6" w14:textId="77777777" w:rsidR="00AA1F10" w:rsidRPr="000F4D90" w:rsidRDefault="00AA1F10" w:rsidP="0098394B">
            <w:pPr>
              <w:keepNext/>
              <w:keepLines/>
              <w:spacing w:after="0"/>
              <w:jc w:val="right"/>
              <w:rPr>
                <w:color w:val="000000"/>
              </w:rPr>
            </w:pPr>
            <w:r w:rsidRPr="000F4D90">
              <w:rPr>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14:paraId="2B273640" w14:textId="77777777" w:rsidR="00AA1F10" w:rsidRPr="000F4D90" w:rsidRDefault="00AA1F10" w:rsidP="0098394B">
            <w:pPr>
              <w:keepNext/>
              <w:keepLines/>
              <w:spacing w:after="0"/>
              <w:jc w:val="right"/>
              <w:rPr>
                <w:color w:val="000000"/>
              </w:rPr>
            </w:pPr>
            <w:r w:rsidRPr="000F4D90">
              <w:rPr>
                <w:color w:val="000000"/>
              </w:rPr>
              <w:t>60</w:t>
            </w:r>
          </w:p>
        </w:tc>
      </w:tr>
      <w:tr w:rsidR="00AA1F10" w:rsidRPr="00EF27EE" w14:paraId="1D38D3C9"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54E8B0" w14:textId="77777777" w:rsidR="00AA1F10" w:rsidRPr="000F4D90" w:rsidRDefault="00AA1F10" w:rsidP="0098394B">
            <w:pPr>
              <w:keepNext/>
              <w:keepLines/>
              <w:spacing w:after="0"/>
              <w:rPr>
                <w:color w:val="000000"/>
              </w:rPr>
            </w:pPr>
            <w:r w:rsidRPr="000F4D90">
              <w:rPr>
                <w:color w:val="000000"/>
              </w:rPr>
              <w:t>May</w:t>
            </w:r>
          </w:p>
        </w:tc>
        <w:tc>
          <w:tcPr>
            <w:tcW w:w="960" w:type="dxa"/>
            <w:tcBorders>
              <w:top w:val="nil"/>
              <w:left w:val="nil"/>
              <w:bottom w:val="single" w:sz="4" w:space="0" w:color="auto"/>
              <w:right w:val="single" w:sz="4" w:space="0" w:color="auto"/>
            </w:tcBorders>
            <w:shd w:val="clear" w:color="auto" w:fill="auto"/>
            <w:noWrap/>
            <w:vAlign w:val="bottom"/>
            <w:hideMark/>
          </w:tcPr>
          <w:p w14:paraId="116F8AEC" w14:textId="77777777" w:rsidR="00AA1F10" w:rsidRPr="000F4D90" w:rsidRDefault="00AA1F10" w:rsidP="0098394B">
            <w:pPr>
              <w:keepNext/>
              <w:keepLines/>
              <w:spacing w:after="0"/>
              <w:jc w:val="right"/>
              <w:rPr>
                <w:color w:val="000000"/>
              </w:rPr>
            </w:pPr>
            <w:r w:rsidRPr="000F4D90">
              <w:rPr>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14:paraId="7F31312F" w14:textId="77777777" w:rsidR="00AA1F10" w:rsidRPr="000F4D90" w:rsidRDefault="00AA1F10" w:rsidP="0098394B">
            <w:pPr>
              <w:keepNext/>
              <w:keepLines/>
              <w:spacing w:after="0"/>
              <w:jc w:val="right"/>
              <w:rPr>
                <w:color w:val="000000"/>
              </w:rPr>
            </w:pPr>
            <w:r w:rsidRPr="000F4D90">
              <w:rPr>
                <w:color w:val="000000"/>
              </w:rPr>
              <w:t>60</w:t>
            </w:r>
          </w:p>
        </w:tc>
      </w:tr>
      <w:tr w:rsidR="00AA1F10" w:rsidRPr="00EF27EE" w14:paraId="24BB47BA"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21754D" w14:textId="77777777" w:rsidR="00AA1F10" w:rsidRPr="000F4D90" w:rsidRDefault="00AA1F10" w:rsidP="0098394B">
            <w:pPr>
              <w:keepNext/>
              <w:keepLines/>
              <w:spacing w:after="0"/>
              <w:rPr>
                <w:color w:val="000000"/>
              </w:rPr>
            </w:pPr>
            <w:r w:rsidRPr="000F4D90">
              <w:rPr>
                <w:color w:val="000000"/>
              </w:rPr>
              <w:t>June</w:t>
            </w:r>
          </w:p>
        </w:tc>
        <w:tc>
          <w:tcPr>
            <w:tcW w:w="960" w:type="dxa"/>
            <w:tcBorders>
              <w:top w:val="nil"/>
              <w:left w:val="nil"/>
              <w:bottom w:val="single" w:sz="4" w:space="0" w:color="auto"/>
              <w:right w:val="single" w:sz="4" w:space="0" w:color="auto"/>
            </w:tcBorders>
            <w:shd w:val="clear" w:color="auto" w:fill="auto"/>
            <w:noWrap/>
            <w:vAlign w:val="bottom"/>
            <w:hideMark/>
          </w:tcPr>
          <w:p w14:paraId="269DD60D" w14:textId="77777777" w:rsidR="00AA1F10" w:rsidRPr="000F4D90" w:rsidRDefault="00AA1F10" w:rsidP="0098394B">
            <w:pPr>
              <w:keepNext/>
              <w:keepLines/>
              <w:spacing w:after="0"/>
              <w:jc w:val="right"/>
              <w:rPr>
                <w:color w:val="000000"/>
              </w:rPr>
            </w:pPr>
            <w:r w:rsidRPr="000F4D90">
              <w:rPr>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10298AB7" w14:textId="77777777" w:rsidR="00AA1F10" w:rsidRPr="000F4D90" w:rsidRDefault="00AA1F10" w:rsidP="0098394B">
            <w:pPr>
              <w:keepNext/>
              <w:keepLines/>
              <w:spacing w:after="0"/>
              <w:jc w:val="right"/>
              <w:rPr>
                <w:color w:val="000000"/>
              </w:rPr>
            </w:pPr>
            <w:r w:rsidRPr="000F4D90">
              <w:rPr>
                <w:color w:val="000000"/>
              </w:rPr>
              <w:t>15</w:t>
            </w:r>
          </w:p>
        </w:tc>
      </w:tr>
      <w:tr w:rsidR="00AA1F10" w:rsidRPr="00EF27EE" w14:paraId="243F8222"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FBB7BB8" w14:textId="77777777" w:rsidR="00AA1F10" w:rsidRPr="000F4D90" w:rsidRDefault="00AA1F10" w:rsidP="0098394B">
            <w:pPr>
              <w:keepNext/>
              <w:keepLines/>
              <w:spacing w:after="0"/>
              <w:rPr>
                <w:color w:val="000000"/>
              </w:rPr>
            </w:pPr>
            <w:r w:rsidRPr="000F4D90">
              <w:rPr>
                <w:color w:val="000000"/>
              </w:rPr>
              <w:t>July</w:t>
            </w:r>
          </w:p>
        </w:tc>
        <w:tc>
          <w:tcPr>
            <w:tcW w:w="960" w:type="dxa"/>
            <w:tcBorders>
              <w:top w:val="nil"/>
              <w:left w:val="nil"/>
              <w:bottom w:val="single" w:sz="4" w:space="0" w:color="auto"/>
              <w:right w:val="single" w:sz="4" w:space="0" w:color="auto"/>
            </w:tcBorders>
            <w:shd w:val="clear" w:color="auto" w:fill="auto"/>
            <w:noWrap/>
            <w:vAlign w:val="bottom"/>
            <w:hideMark/>
          </w:tcPr>
          <w:p w14:paraId="168610D2" w14:textId="77777777" w:rsidR="00AA1F10" w:rsidRPr="000F4D90" w:rsidRDefault="00AA1F10" w:rsidP="0098394B">
            <w:pPr>
              <w:keepNext/>
              <w:keepLines/>
              <w:spacing w:after="0"/>
              <w:jc w:val="right"/>
              <w:rPr>
                <w:color w:val="000000"/>
              </w:rPr>
            </w:pPr>
            <w:r w:rsidRPr="000F4D90">
              <w:rPr>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30400D00" w14:textId="77777777" w:rsidR="00AA1F10" w:rsidRPr="000F4D90" w:rsidRDefault="00AA1F10" w:rsidP="0098394B">
            <w:pPr>
              <w:keepNext/>
              <w:keepLines/>
              <w:spacing w:after="0"/>
              <w:jc w:val="right"/>
              <w:rPr>
                <w:color w:val="000000"/>
              </w:rPr>
            </w:pPr>
            <w:r w:rsidRPr="000F4D90">
              <w:rPr>
                <w:color w:val="000000"/>
              </w:rPr>
              <w:t>15</w:t>
            </w:r>
          </w:p>
        </w:tc>
      </w:tr>
      <w:tr w:rsidR="00AA1F10" w:rsidRPr="00EF27EE" w14:paraId="74941603"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370109E" w14:textId="77777777" w:rsidR="00AA1F10" w:rsidRPr="000F4D90" w:rsidRDefault="00AA1F10" w:rsidP="0098394B">
            <w:pPr>
              <w:keepNext/>
              <w:keepLines/>
              <w:spacing w:after="0"/>
              <w:rPr>
                <w:color w:val="000000"/>
              </w:rPr>
            </w:pPr>
            <w:r w:rsidRPr="000F4D90">
              <w:rPr>
                <w:color w:val="000000"/>
              </w:rPr>
              <w:t>August</w:t>
            </w:r>
          </w:p>
        </w:tc>
        <w:tc>
          <w:tcPr>
            <w:tcW w:w="960" w:type="dxa"/>
            <w:tcBorders>
              <w:top w:val="nil"/>
              <w:left w:val="nil"/>
              <w:bottom w:val="single" w:sz="4" w:space="0" w:color="auto"/>
              <w:right w:val="single" w:sz="4" w:space="0" w:color="auto"/>
            </w:tcBorders>
            <w:shd w:val="clear" w:color="auto" w:fill="auto"/>
            <w:noWrap/>
            <w:vAlign w:val="bottom"/>
            <w:hideMark/>
          </w:tcPr>
          <w:p w14:paraId="6D3A5510" w14:textId="77777777" w:rsidR="00AA1F10" w:rsidRPr="000F4D90" w:rsidRDefault="00AA1F10" w:rsidP="0098394B">
            <w:pPr>
              <w:keepNext/>
              <w:keepLines/>
              <w:spacing w:after="0"/>
              <w:jc w:val="right"/>
              <w:rPr>
                <w:color w:val="000000"/>
              </w:rPr>
            </w:pPr>
            <w:r w:rsidRPr="000F4D90">
              <w:rPr>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71DE3494" w14:textId="77777777" w:rsidR="00AA1F10" w:rsidRPr="000F4D90" w:rsidRDefault="00AA1F10" w:rsidP="0098394B">
            <w:pPr>
              <w:keepNext/>
              <w:keepLines/>
              <w:spacing w:after="0"/>
              <w:jc w:val="right"/>
              <w:rPr>
                <w:color w:val="000000"/>
              </w:rPr>
            </w:pPr>
            <w:r w:rsidRPr="000F4D90">
              <w:rPr>
                <w:color w:val="000000"/>
              </w:rPr>
              <w:t>15</w:t>
            </w:r>
          </w:p>
        </w:tc>
      </w:tr>
      <w:tr w:rsidR="00AA1F10" w:rsidRPr="00EF27EE" w14:paraId="32F4CA0F" w14:textId="77777777" w:rsidTr="005E5CB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1D61DB" w14:textId="77777777" w:rsidR="00AA1F10" w:rsidRPr="000F4D90" w:rsidRDefault="00AA1F10" w:rsidP="005E5CB4">
            <w:pPr>
              <w:spacing w:after="0"/>
              <w:rPr>
                <w:color w:val="000000"/>
              </w:rPr>
            </w:pPr>
            <w:r w:rsidRPr="000F4D90">
              <w:rPr>
                <w:color w:val="000000"/>
              </w:rPr>
              <w:t>September</w:t>
            </w:r>
          </w:p>
        </w:tc>
        <w:tc>
          <w:tcPr>
            <w:tcW w:w="960" w:type="dxa"/>
            <w:tcBorders>
              <w:top w:val="nil"/>
              <w:left w:val="nil"/>
              <w:bottom w:val="single" w:sz="4" w:space="0" w:color="auto"/>
              <w:right w:val="single" w:sz="4" w:space="0" w:color="auto"/>
            </w:tcBorders>
            <w:shd w:val="clear" w:color="auto" w:fill="auto"/>
            <w:noWrap/>
            <w:vAlign w:val="bottom"/>
            <w:hideMark/>
          </w:tcPr>
          <w:p w14:paraId="323FF6A3" w14:textId="77777777" w:rsidR="00AA1F10" w:rsidRPr="000F4D90" w:rsidRDefault="00AA1F10" w:rsidP="005E5CB4">
            <w:pPr>
              <w:spacing w:after="0"/>
              <w:jc w:val="right"/>
              <w:rPr>
                <w:color w:val="000000"/>
              </w:rPr>
            </w:pPr>
            <w:r w:rsidRPr="000F4D90">
              <w:rPr>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5AE58A3A" w14:textId="77777777" w:rsidR="00AA1F10" w:rsidRPr="000F4D90" w:rsidRDefault="00AA1F10" w:rsidP="005E5CB4">
            <w:pPr>
              <w:spacing w:after="0"/>
              <w:jc w:val="right"/>
              <w:rPr>
                <w:color w:val="000000"/>
              </w:rPr>
            </w:pPr>
            <w:r w:rsidRPr="000F4D90">
              <w:rPr>
                <w:color w:val="000000"/>
              </w:rPr>
              <w:t>15</w:t>
            </w:r>
          </w:p>
        </w:tc>
      </w:tr>
    </w:tbl>
    <w:p w14:paraId="73F86601" w14:textId="77777777" w:rsidR="00AA1F10" w:rsidRDefault="00AA1F10" w:rsidP="00AA1F10">
      <w:pPr>
        <w:rPr>
          <w:rFonts w:ascii="Calibri" w:hAnsi="Calibri" w:cs="Calibri"/>
          <w:color w:val="000000"/>
          <w:shd w:val="clear" w:color="auto" w:fill="FFFFFF"/>
        </w:rPr>
      </w:pPr>
    </w:p>
    <w:p w14:paraId="729628BF" w14:textId="6D9A136F" w:rsidR="00BA1BC2" w:rsidRDefault="00AA1F10" w:rsidP="00276177">
      <w:pPr>
        <w:pStyle w:val="BodyText"/>
        <w:rPr>
          <w:shd w:val="clear" w:color="auto" w:fill="FFFFFF"/>
        </w:rPr>
      </w:pPr>
      <w:r w:rsidRPr="00987BE7">
        <w:rPr>
          <w:shd w:val="clear" w:color="auto" w:fill="FFFFFF"/>
        </w:rPr>
        <w:t>The Davis-Grunsky contract expired on December 31, 2017, since which time MID has ceased providing the flows</w:t>
      </w:r>
      <w:r w:rsidR="00276177">
        <w:rPr>
          <w:shd w:val="clear" w:color="auto" w:fill="FFFFFF"/>
        </w:rPr>
        <w:t>.</w:t>
      </w:r>
    </w:p>
    <w:p w14:paraId="7ED3899F" w14:textId="2128AD9A" w:rsidR="00BA1BC2" w:rsidRDefault="00BA1BC2" w:rsidP="00BA1BC2">
      <w:pPr>
        <w:pStyle w:val="Heading2"/>
      </w:pPr>
      <w:r>
        <w:t xml:space="preserve">Assumptions for the </w:t>
      </w:r>
      <w:r w:rsidR="00950D77">
        <w:t>Benchmark</w:t>
      </w:r>
      <w:r>
        <w:t xml:space="preserve"> 011721 2035CT</w:t>
      </w:r>
    </w:p>
    <w:p w14:paraId="14539884" w14:textId="4732D8A0" w:rsidR="00BA1BC2" w:rsidRPr="00C13C7B" w:rsidRDefault="00BA1BC2" w:rsidP="00BA1BC2">
      <w:pPr>
        <w:pStyle w:val="BodyText"/>
        <w:rPr>
          <w:highlight w:val="yellow"/>
        </w:rPr>
      </w:pPr>
      <w:r w:rsidRPr="00906ABB">
        <w:t xml:space="preserve">This section presents the assumptions used in developing the CalSim II Model simulations of the </w:t>
      </w:r>
      <w:r w:rsidR="00950D77">
        <w:t>Benchmark</w:t>
      </w:r>
      <w:r w:rsidRPr="00BA1BC2">
        <w:t xml:space="preserve"> 011721 2035CT</w:t>
      </w:r>
      <w:r w:rsidRPr="00906ABB">
        <w:t>.</w:t>
      </w:r>
      <w:r w:rsidRPr="00C13C7B">
        <w:rPr>
          <w:highlight w:val="yellow"/>
        </w:rPr>
        <w:t xml:space="preserve"> </w:t>
      </w:r>
    </w:p>
    <w:p w14:paraId="660ECE40" w14:textId="02D36005" w:rsidR="00BA1BC2" w:rsidRDefault="005A1034" w:rsidP="00BA1BC2">
      <w:pPr>
        <w:pStyle w:val="BodyText"/>
      </w:pPr>
      <w:r w:rsidRPr="005A1034">
        <w:t xml:space="preserve">The </w:t>
      </w:r>
      <w:r w:rsidR="00950D77">
        <w:t>Benchmark</w:t>
      </w:r>
      <w:r w:rsidRPr="005A1034">
        <w:t xml:space="preserve"> 011721 2035CT represents CVP and SWP operations to comply with the 2019 Biological Opinions and 2020 State Water Incidental Take Permit regulatory environment as of January 2021 under 2035CT climate conditions and 15 cm of sea level rise. The </w:t>
      </w:r>
      <w:r w:rsidR="00950D77">
        <w:t>Benchmark</w:t>
      </w:r>
      <w:r w:rsidRPr="005A1034">
        <w:t xml:space="preserve"> 011721 2035CT assumptions include existing facilities and ongoing programs that existed as of January 2021. The </w:t>
      </w:r>
      <w:r w:rsidR="00950D77">
        <w:t>Benchmark</w:t>
      </w:r>
      <w:r w:rsidRPr="005A1034">
        <w:t xml:space="preserve"> 011721 2035CT assumptions also include facilities and programs that received approvals and permits by January 2021.</w:t>
      </w:r>
      <w:r w:rsidR="00BA1BC2" w:rsidRPr="00502024">
        <w:t xml:space="preserve"> </w:t>
      </w:r>
    </w:p>
    <w:p w14:paraId="610B6655" w14:textId="6F688F9D" w:rsidR="00BA1BC2" w:rsidRDefault="00BA1BC2" w:rsidP="00BA1BC2">
      <w:pPr>
        <w:pStyle w:val="Heading3"/>
      </w:pPr>
      <w:r w:rsidRPr="0099742B">
        <w:t>CalSim</w:t>
      </w:r>
      <w:r>
        <w:t xml:space="preserve"> II Assumptions for the </w:t>
      </w:r>
      <w:r w:rsidR="00950D77">
        <w:t>Benchmark</w:t>
      </w:r>
      <w:r w:rsidRPr="00BA1BC2">
        <w:t xml:space="preserve"> 011721 2035CT</w:t>
      </w:r>
    </w:p>
    <w:p w14:paraId="0D61B91A" w14:textId="77777777" w:rsidR="00BA1BC2" w:rsidRPr="00697906" w:rsidRDefault="00BA1BC2" w:rsidP="00BA1BC2">
      <w:pPr>
        <w:pStyle w:val="BodyText"/>
      </w:pPr>
      <w:r w:rsidRPr="00697906">
        <w:t xml:space="preserve">The following is a description of the </w:t>
      </w:r>
      <w:r>
        <w:t xml:space="preserve">assumptions </w:t>
      </w:r>
      <w:r w:rsidRPr="00B37ACD">
        <w:t xml:space="preserve">listed in Attachment </w:t>
      </w:r>
      <w:r>
        <w:t>2</w:t>
      </w:r>
      <w:r w:rsidRPr="00B37ACD">
        <w:t xml:space="preserve"> </w:t>
      </w:r>
      <w:r>
        <w:t>CalSim II</w:t>
      </w:r>
      <w:r w:rsidRPr="00B37ACD">
        <w:t xml:space="preserve"> Model Assumptions Callouts.</w:t>
      </w:r>
    </w:p>
    <w:p w14:paraId="0EBADCD7" w14:textId="77777777" w:rsidR="005A1034" w:rsidRPr="00421095" w:rsidRDefault="005A1034" w:rsidP="005A1034">
      <w:pPr>
        <w:pStyle w:val="Heading4"/>
      </w:pPr>
      <w:r w:rsidRPr="00697906">
        <w:t>Hydrology</w:t>
      </w:r>
    </w:p>
    <w:p w14:paraId="31B6D3B0" w14:textId="77777777" w:rsidR="005A1034" w:rsidRDefault="005A1034" w:rsidP="005A1034">
      <w:pPr>
        <w:pStyle w:val="Heading5"/>
      </w:pPr>
      <w:r w:rsidRPr="00697906">
        <w:t>Inflows/Supplies</w:t>
      </w:r>
    </w:p>
    <w:p w14:paraId="4DE3C786" w14:textId="1E413FC9" w:rsidR="005A1034" w:rsidRPr="00DD65C8" w:rsidRDefault="0091162F" w:rsidP="008415AB">
      <w:pPr>
        <w:pStyle w:val="BodyText"/>
        <w:keepNext w:val="0"/>
      </w:pPr>
      <w:r>
        <w:t xml:space="preserve">Inflow hydrology representing 2035CT climate conditions. </w:t>
      </w:r>
      <w:r>
        <w:t>Please review the Final Environmental Impact Report for Long-Term Operation of the California SWP for details regarding development of 2035 climate hydrologic conditions (DWR, 2019).</w:t>
      </w:r>
    </w:p>
    <w:p w14:paraId="366A4F8C" w14:textId="77777777" w:rsidR="005A1034" w:rsidRPr="00697906" w:rsidRDefault="005A1034" w:rsidP="008415AB">
      <w:pPr>
        <w:pStyle w:val="Heading5"/>
        <w:keepNext/>
      </w:pPr>
      <w:r w:rsidRPr="00697906">
        <w:lastRenderedPageBreak/>
        <w:t>Level of Development</w:t>
      </w:r>
    </w:p>
    <w:p w14:paraId="277A8EF8" w14:textId="11788D48" w:rsidR="005A1034" w:rsidRPr="00697906" w:rsidRDefault="005A1034" w:rsidP="005A1034">
      <w:pPr>
        <w:pStyle w:val="BodyText"/>
      </w:pPr>
      <w:r>
        <w:t xml:space="preserve">Same as the </w:t>
      </w:r>
      <w:r w:rsidR="00950D77">
        <w:t>Benchmark</w:t>
      </w:r>
      <w:r w:rsidRPr="005A1034">
        <w:t xml:space="preserve"> 011721 HIST</w:t>
      </w:r>
      <w:r>
        <w:t xml:space="preserve">. </w:t>
      </w:r>
      <w:r w:rsidRPr="00697906">
        <w:t xml:space="preserve"> </w:t>
      </w:r>
    </w:p>
    <w:p w14:paraId="23CB8328" w14:textId="77777777" w:rsidR="005A1034" w:rsidRPr="00697906" w:rsidRDefault="005A1034" w:rsidP="005A1034">
      <w:pPr>
        <w:pStyle w:val="Heading5"/>
      </w:pPr>
      <w:r w:rsidRPr="00697906">
        <w:t>Demands, Water Rights, CVP/SWP Contracts</w:t>
      </w:r>
    </w:p>
    <w:p w14:paraId="51735ECF" w14:textId="3453D6EA" w:rsidR="005A1034" w:rsidRDefault="005A1034" w:rsidP="005A1034">
      <w:pPr>
        <w:pStyle w:val="BodyText"/>
      </w:pPr>
      <w:r>
        <w:t xml:space="preserve">Same as the </w:t>
      </w:r>
      <w:r w:rsidR="00950D77">
        <w:t>Benchmark</w:t>
      </w:r>
      <w:r w:rsidRPr="005A1034">
        <w:t xml:space="preserve"> 011721 HIST</w:t>
      </w:r>
      <w:r>
        <w:t xml:space="preserve">. </w:t>
      </w:r>
    </w:p>
    <w:p w14:paraId="52091DC4" w14:textId="77777777" w:rsidR="005A1034" w:rsidRPr="00697906" w:rsidRDefault="005A1034" w:rsidP="005A1034">
      <w:pPr>
        <w:pStyle w:val="Heading4"/>
      </w:pPr>
      <w:r w:rsidRPr="00697906">
        <w:t>Facilities</w:t>
      </w:r>
    </w:p>
    <w:p w14:paraId="42C7B7A1" w14:textId="738731DE" w:rsidR="005A1034" w:rsidRPr="00697906" w:rsidRDefault="005A1034" w:rsidP="005A1034">
      <w:pPr>
        <w:pStyle w:val="BodyText"/>
      </w:pPr>
      <w:r>
        <w:t xml:space="preserve">Same as the </w:t>
      </w:r>
      <w:r w:rsidR="00950D77">
        <w:t>Benchmark</w:t>
      </w:r>
      <w:r w:rsidRPr="005A1034">
        <w:t xml:space="preserve"> 011721 HIST</w:t>
      </w:r>
      <w:r w:rsidRPr="00697906">
        <w:t xml:space="preserve">. </w:t>
      </w:r>
    </w:p>
    <w:p w14:paraId="02DC63A6" w14:textId="77777777" w:rsidR="005A1034" w:rsidRPr="00697906" w:rsidRDefault="005A1034" w:rsidP="005A1034">
      <w:pPr>
        <w:pStyle w:val="Heading5"/>
      </w:pPr>
      <w:r w:rsidRPr="00697906">
        <w:t>Fremont Weir</w:t>
      </w:r>
    </w:p>
    <w:p w14:paraId="5BE787B5" w14:textId="36D29A63" w:rsidR="005A1034" w:rsidRPr="00697906" w:rsidRDefault="005A1034" w:rsidP="005A1034">
      <w:pPr>
        <w:pStyle w:val="BodyText"/>
      </w:pPr>
      <w:r>
        <w:t xml:space="preserve">Same as the </w:t>
      </w:r>
      <w:r w:rsidR="00950D77">
        <w:t>Benchmark</w:t>
      </w:r>
      <w:r w:rsidRPr="005A1034">
        <w:t xml:space="preserve"> 011721 HIST</w:t>
      </w:r>
      <w:r>
        <w:t xml:space="preserve">. </w:t>
      </w:r>
    </w:p>
    <w:p w14:paraId="5C4E11A2" w14:textId="77777777" w:rsidR="005A1034" w:rsidRPr="00697906" w:rsidRDefault="005A1034" w:rsidP="005A1034">
      <w:pPr>
        <w:pStyle w:val="Heading5"/>
      </w:pPr>
      <w:r w:rsidRPr="00697906">
        <w:t>CVP C.W. Bill Jones Pumping Plant (Tracy PP) Capacity</w:t>
      </w:r>
    </w:p>
    <w:p w14:paraId="3A074D64" w14:textId="332E2B33" w:rsidR="005A1034" w:rsidRPr="00697906" w:rsidRDefault="005A1034" w:rsidP="005A1034">
      <w:pPr>
        <w:pStyle w:val="BodyText"/>
      </w:pPr>
      <w:r>
        <w:t xml:space="preserve">Same as the </w:t>
      </w:r>
      <w:r w:rsidR="00950D77">
        <w:t>Benchmark</w:t>
      </w:r>
      <w:r w:rsidRPr="005A1034">
        <w:t xml:space="preserve"> 011721 HIST</w:t>
      </w:r>
      <w:r>
        <w:t>.</w:t>
      </w:r>
      <w:r w:rsidRPr="00697906">
        <w:t xml:space="preserve"> </w:t>
      </w:r>
    </w:p>
    <w:p w14:paraId="4530D17D" w14:textId="77777777" w:rsidR="005A1034" w:rsidRPr="00697906" w:rsidRDefault="005A1034" w:rsidP="005A1034">
      <w:pPr>
        <w:pStyle w:val="Heading5"/>
      </w:pPr>
      <w:r w:rsidRPr="00697906">
        <w:t>SWP Banks Pumping Plant Capacity</w:t>
      </w:r>
    </w:p>
    <w:p w14:paraId="7CE19248" w14:textId="50181F54" w:rsidR="005A1034" w:rsidRPr="00697906" w:rsidRDefault="00B76CC1" w:rsidP="005A1034">
      <w:pPr>
        <w:pStyle w:val="BodyText"/>
        <w:keepNext w:val="0"/>
      </w:pPr>
      <w:r>
        <w:t>Same as the Benchmark</w:t>
      </w:r>
      <w:r w:rsidRPr="005A1034">
        <w:t xml:space="preserve"> 011721 HIST</w:t>
      </w:r>
      <w:r>
        <w:t>.</w:t>
      </w:r>
      <w:r w:rsidR="005A1034" w:rsidRPr="00697906">
        <w:t xml:space="preserve"> </w:t>
      </w:r>
    </w:p>
    <w:p w14:paraId="74B5C73E" w14:textId="77777777" w:rsidR="005A1034" w:rsidRPr="00697906" w:rsidRDefault="005A1034" w:rsidP="005A1034">
      <w:pPr>
        <w:pStyle w:val="Heading5"/>
        <w:keepNext/>
      </w:pPr>
      <w:r w:rsidRPr="00697906">
        <w:t>CCWD Intakes</w:t>
      </w:r>
    </w:p>
    <w:p w14:paraId="7CA995B9" w14:textId="5A501DBC" w:rsidR="005A1034" w:rsidRDefault="005A1034" w:rsidP="005A1034">
      <w:pPr>
        <w:pStyle w:val="BodyText"/>
      </w:pPr>
      <w:r>
        <w:t xml:space="preserve">Same as the </w:t>
      </w:r>
      <w:r w:rsidR="00950D77">
        <w:t>Benchmark</w:t>
      </w:r>
      <w:r w:rsidRPr="005A1034">
        <w:t xml:space="preserve"> 011721 HIST</w:t>
      </w:r>
      <w:r w:rsidRPr="00615D23">
        <w:t>.</w:t>
      </w:r>
    </w:p>
    <w:p w14:paraId="10E1D252" w14:textId="77777777" w:rsidR="005A1034" w:rsidRPr="00697906" w:rsidRDefault="005A1034" w:rsidP="005A1034">
      <w:pPr>
        <w:pStyle w:val="Heading5"/>
      </w:pPr>
      <w:r>
        <w:t>Suisun March</w:t>
      </w:r>
      <w:r w:rsidRPr="00F41AEA">
        <w:t xml:space="preserve"> Salinity Control Gates</w:t>
      </w:r>
    </w:p>
    <w:p w14:paraId="424E4DDC" w14:textId="21D41602" w:rsidR="005A1034" w:rsidRDefault="005A1034" w:rsidP="005A1034">
      <w:pPr>
        <w:pStyle w:val="BodyText"/>
        <w:keepNext w:val="0"/>
      </w:pPr>
      <w:r>
        <w:t xml:space="preserve">Same as the </w:t>
      </w:r>
      <w:r w:rsidR="00950D77">
        <w:t>Benchmark</w:t>
      </w:r>
      <w:r w:rsidRPr="005A1034">
        <w:t xml:space="preserve"> 011721 HIST</w:t>
      </w:r>
      <w:r>
        <w:t>.</w:t>
      </w:r>
    </w:p>
    <w:p w14:paraId="5388DEB9" w14:textId="77777777" w:rsidR="005A1034" w:rsidRDefault="005A1034" w:rsidP="005A1034">
      <w:pPr>
        <w:pStyle w:val="Heading5"/>
      </w:pPr>
      <w:r>
        <w:t>Red Bluff Pumping Plant</w:t>
      </w:r>
    </w:p>
    <w:p w14:paraId="44D54BA1" w14:textId="42982BBD" w:rsidR="005A1034" w:rsidRDefault="00B76CC1" w:rsidP="005A1034">
      <w:pPr>
        <w:pStyle w:val="BodyText"/>
      </w:pPr>
      <w:r>
        <w:t>Same as the Benchmark</w:t>
      </w:r>
      <w:r w:rsidRPr="005A1034">
        <w:t xml:space="preserve"> 011721 HIST</w:t>
      </w:r>
      <w:r>
        <w:t>.</w:t>
      </w:r>
    </w:p>
    <w:p w14:paraId="45C332F5" w14:textId="77777777" w:rsidR="005A1034" w:rsidRDefault="005A1034" w:rsidP="005A1034">
      <w:pPr>
        <w:pStyle w:val="Heading5"/>
      </w:pPr>
      <w:r>
        <w:t>Hamilton City Pump Station</w:t>
      </w:r>
    </w:p>
    <w:p w14:paraId="6C86C82E" w14:textId="34CB4194" w:rsidR="005A1034" w:rsidRDefault="00B76CC1" w:rsidP="005A1034">
      <w:pPr>
        <w:pStyle w:val="BodyText"/>
      </w:pPr>
      <w:r>
        <w:t>Same as the Benchmark</w:t>
      </w:r>
      <w:r w:rsidRPr="005A1034">
        <w:t xml:space="preserve"> 011721 HIST</w:t>
      </w:r>
      <w:r>
        <w:t>.</w:t>
      </w:r>
    </w:p>
    <w:p w14:paraId="09BA6B20" w14:textId="77777777" w:rsidR="005A1034" w:rsidRPr="00697906" w:rsidRDefault="005A1034" w:rsidP="005A1034">
      <w:pPr>
        <w:pStyle w:val="Heading4"/>
      </w:pPr>
      <w:r w:rsidRPr="00697906">
        <w:t>Regulatory Standards</w:t>
      </w:r>
    </w:p>
    <w:p w14:paraId="4FAC5901" w14:textId="77777777" w:rsidR="005A1034" w:rsidRPr="00697906" w:rsidRDefault="005A1034" w:rsidP="005A1034">
      <w:pPr>
        <w:pStyle w:val="BodyText"/>
      </w:pPr>
      <w:r w:rsidRPr="00697906">
        <w:t>The regulatory standards that govern the operations of the CVP and SWP facilities are briefly described below.  Specific assumptions related to key regulatory standards are also outlined below.</w:t>
      </w:r>
    </w:p>
    <w:p w14:paraId="21DF65EA" w14:textId="77777777" w:rsidR="005A1034" w:rsidRPr="00697906" w:rsidRDefault="005A1034" w:rsidP="005A1034">
      <w:pPr>
        <w:pStyle w:val="Heading5"/>
      </w:pPr>
      <w:r w:rsidRPr="00697906">
        <w:t>D-1641 Operations</w:t>
      </w:r>
    </w:p>
    <w:p w14:paraId="125580BA" w14:textId="01E79712" w:rsidR="005A1034" w:rsidRDefault="005A1034" w:rsidP="005A1034">
      <w:pPr>
        <w:pStyle w:val="BodyText"/>
      </w:pPr>
      <w:r>
        <w:t xml:space="preserve">Same as the </w:t>
      </w:r>
      <w:r w:rsidR="00950D77">
        <w:t>Benchmark</w:t>
      </w:r>
      <w:r w:rsidRPr="005A1034">
        <w:t xml:space="preserve"> 011721 HIST</w:t>
      </w:r>
      <w:r w:rsidRPr="00697906">
        <w:t>.</w:t>
      </w:r>
    </w:p>
    <w:p w14:paraId="75381451" w14:textId="77777777" w:rsidR="005A1034" w:rsidRPr="00697906" w:rsidRDefault="005A1034" w:rsidP="005A1034">
      <w:pPr>
        <w:pStyle w:val="Heading5"/>
      </w:pPr>
      <w:r w:rsidRPr="00697906">
        <w:t>Coordinated Operations Agreement (COA)</w:t>
      </w:r>
    </w:p>
    <w:p w14:paraId="037062D6" w14:textId="0726A913" w:rsidR="005A1034" w:rsidRPr="00697906" w:rsidRDefault="005A1034" w:rsidP="005A1034">
      <w:pPr>
        <w:pStyle w:val="BodyText"/>
      </w:pPr>
      <w:r>
        <w:t xml:space="preserve">Same as the </w:t>
      </w:r>
      <w:r w:rsidR="00950D77">
        <w:t>Benchmark</w:t>
      </w:r>
      <w:r w:rsidRPr="005A1034">
        <w:t xml:space="preserve"> 011721 HIST</w:t>
      </w:r>
      <w:r w:rsidRPr="00697906">
        <w:t>.</w:t>
      </w:r>
    </w:p>
    <w:p w14:paraId="098C6584" w14:textId="77777777" w:rsidR="005A1034" w:rsidRPr="000E6CE7" w:rsidRDefault="005A1034" w:rsidP="005A1034">
      <w:pPr>
        <w:pStyle w:val="Heading5"/>
      </w:pPr>
      <w:r w:rsidRPr="000E6CE7">
        <w:t>CVPIA (b)(2) Assumptions</w:t>
      </w:r>
    </w:p>
    <w:p w14:paraId="6A1F2E26" w14:textId="2C4E0B14" w:rsidR="005A1034" w:rsidRPr="00697906" w:rsidRDefault="005A1034" w:rsidP="006D3ADC">
      <w:pPr>
        <w:pStyle w:val="BodyText"/>
        <w:keepNext w:val="0"/>
      </w:pPr>
      <w:r>
        <w:t xml:space="preserve">Same as the </w:t>
      </w:r>
      <w:r w:rsidR="00950D77">
        <w:t>Benchmark</w:t>
      </w:r>
      <w:r w:rsidRPr="005A1034">
        <w:t xml:space="preserve"> 011721 HIST</w:t>
      </w:r>
      <w:r w:rsidRPr="00697906">
        <w:t>.</w:t>
      </w:r>
    </w:p>
    <w:p w14:paraId="493A66A8" w14:textId="77777777" w:rsidR="005A1034" w:rsidRPr="000E6CE7" w:rsidRDefault="005A1034" w:rsidP="005A1034">
      <w:pPr>
        <w:pStyle w:val="Heading5"/>
      </w:pPr>
      <w:r w:rsidRPr="000E6CE7">
        <w:lastRenderedPageBreak/>
        <w:t>Clear Creek Flows</w:t>
      </w:r>
    </w:p>
    <w:p w14:paraId="608128B9" w14:textId="22C768ED" w:rsidR="005A1034" w:rsidRPr="00697906" w:rsidRDefault="005A1034" w:rsidP="005A1034">
      <w:pPr>
        <w:pStyle w:val="BodyText"/>
      </w:pPr>
      <w:r>
        <w:t xml:space="preserve">Same as the </w:t>
      </w:r>
      <w:r w:rsidR="00950D77">
        <w:t>Benchmark</w:t>
      </w:r>
      <w:r w:rsidRPr="005A1034">
        <w:t xml:space="preserve"> 011721 HIST</w:t>
      </w:r>
      <w:r w:rsidRPr="00697906">
        <w:t>.</w:t>
      </w:r>
    </w:p>
    <w:p w14:paraId="56043E69" w14:textId="77777777" w:rsidR="005A1034" w:rsidRPr="000E6CE7" w:rsidRDefault="005A1034" w:rsidP="005A1034">
      <w:pPr>
        <w:pStyle w:val="Heading5"/>
      </w:pPr>
      <w:r w:rsidRPr="000E6CE7">
        <w:t>Upper Sacramento River</w:t>
      </w:r>
    </w:p>
    <w:p w14:paraId="7BDB2FFC" w14:textId="2E4C7D1D" w:rsidR="005A1034" w:rsidRPr="00697906" w:rsidRDefault="005A1034" w:rsidP="005A1034">
      <w:pPr>
        <w:pStyle w:val="BodyText"/>
      </w:pPr>
      <w:r>
        <w:t xml:space="preserve">Same as the </w:t>
      </w:r>
      <w:r w:rsidR="00950D77">
        <w:t>Benchmark</w:t>
      </w:r>
      <w:r w:rsidRPr="005A1034">
        <w:t xml:space="preserve"> 011721 HIST</w:t>
      </w:r>
      <w:r w:rsidRPr="00697906">
        <w:t>.</w:t>
      </w:r>
    </w:p>
    <w:p w14:paraId="22CCE1B1" w14:textId="77777777" w:rsidR="005A1034" w:rsidRPr="00697906" w:rsidRDefault="005A1034" w:rsidP="005A1034">
      <w:pPr>
        <w:pStyle w:val="Heading5"/>
      </w:pPr>
      <w:r w:rsidRPr="00697906">
        <w:t>Continued CALFED Agreements</w:t>
      </w:r>
    </w:p>
    <w:p w14:paraId="28FB029E" w14:textId="0A7FB00A" w:rsidR="005A1034" w:rsidRPr="00697906" w:rsidRDefault="005A1034" w:rsidP="005A1034">
      <w:pPr>
        <w:pStyle w:val="BodyText"/>
      </w:pPr>
      <w:r>
        <w:t xml:space="preserve">Same as the </w:t>
      </w:r>
      <w:r w:rsidR="00950D77">
        <w:t>Benchmark</w:t>
      </w:r>
      <w:r w:rsidRPr="005A1034">
        <w:t xml:space="preserve"> 011721 HIST</w:t>
      </w:r>
      <w:r>
        <w:t xml:space="preserve">. </w:t>
      </w:r>
    </w:p>
    <w:p w14:paraId="40A02D88" w14:textId="77777777" w:rsidR="005A1034" w:rsidRPr="00697906" w:rsidRDefault="005A1034" w:rsidP="005A1034">
      <w:pPr>
        <w:pStyle w:val="Heading5"/>
      </w:pPr>
      <w:r w:rsidRPr="00697906">
        <w:t>Water Transfers</w:t>
      </w:r>
    </w:p>
    <w:p w14:paraId="5BFF94D8" w14:textId="77777777" w:rsidR="005A1034" w:rsidRPr="0099742B" w:rsidRDefault="005A1034" w:rsidP="005A1034">
      <w:pPr>
        <w:pStyle w:val="Heading6"/>
        <w:rPr>
          <w:b/>
          <w:bCs w:val="0"/>
        </w:rPr>
      </w:pPr>
      <w:r w:rsidRPr="0099742B">
        <w:rPr>
          <w:b/>
          <w:bCs w:val="0"/>
        </w:rPr>
        <w:t xml:space="preserve">Lower Yuba River Accord (LYRA) </w:t>
      </w:r>
    </w:p>
    <w:p w14:paraId="76FE0585" w14:textId="56772CE0" w:rsidR="005A1034" w:rsidRPr="00697906" w:rsidRDefault="005A1034" w:rsidP="005A1034">
      <w:pPr>
        <w:pStyle w:val="BodyText"/>
      </w:pPr>
      <w:r>
        <w:t xml:space="preserve">Same as the </w:t>
      </w:r>
      <w:r w:rsidR="00950D77">
        <w:t>Benchmark</w:t>
      </w:r>
      <w:r w:rsidRPr="005A1034">
        <w:t xml:space="preserve"> 011721 HIST</w:t>
      </w:r>
      <w:r w:rsidRPr="00697906">
        <w:t>.</w:t>
      </w:r>
    </w:p>
    <w:p w14:paraId="0A26C478" w14:textId="77777777" w:rsidR="005A1034" w:rsidRPr="0099742B" w:rsidRDefault="005A1034" w:rsidP="005A1034">
      <w:pPr>
        <w:pStyle w:val="Heading6"/>
        <w:rPr>
          <w:b/>
          <w:bCs w:val="0"/>
        </w:rPr>
      </w:pPr>
      <w:r w:rsidRPr="0099742B">
        <w:rPr>
          <w:b/>
          <w:bCs w:val="0"/>
        </w:rPr>
        <w:t xml:space="preserve">Phase 8 transfers </w:t>
      </w:r>
    </w:p>
    <w:p w14:paraId="0C4BDA88" w14:textId="0A064629" w:rsidR="005A1034" w:rsidRPr="00697906" w:rsidRDefault="005A1034" w:rsidP="005A1034">
      <w:pPr>
        <w:pStyle w:val="BodyText"/>
        <w:keepNext w:val="0"/>
      </w:pPr>
      <w:r>
        <w:t xml:space="preserve">Same as the </w:t>
      </w:r>
      <w:r w:rsidR="00950D77">
        <w:t>Benchmark</w:t>
      </w:r>
      <w:r w:rsidRPr="005A1034">
        <w:t xml:space="preserve"> 011721 HIST</w:t>
      </w:r>
      <w:r w:rsidRPr="00697906">
        <w:t>.</w:t>
      </w:r>
    </w:p>
    <w:p w14:paraId="550B49F4" w14:textId="77777777" w:rsidR="005A1034" w:rsidRPr="0099742B" w:rsidRDefault="005A1034" w:rsidP="005A1034">
      <w:pPr>
        <w:pStyle w:val="Heading6"/>
        <w:keepNext/>
        <w:rPr>
          <w:b/>
          <w:bCs w:val="0"/>
        </w:rPr>
      </w:pPr>
      <w:r w:rsidRPr="0099742B">
        <w:rPr>
          <w:b/>
          <w:bCs w:val="0"/>
        </w:rPr>
        <w:t xml:space="preserve">Short-term or Temporary Water Transfers </w:t>
      </w:r>
    </w:p>
    <w:p w14:paraId="2D20F879" w14:textId="584AD80F" w:rsidR="005A1034" w:rsidRPr="00697906" w:rsidRDefault="005A1034" w:rsidP="005A1034">
      <w:pPr>
        <w:pStyle w:val="BodyText"/>
        <w:keepNext w:val="0"/>
      </w:pPr>
      <w:r>
        <w:t xml:space="preserve">Same as the </w:t>
      </w:r>
      <w:r w:rsidR="00950D77">
        <w:t>Benchmark</w:t>
      </w:r>
      <w:r>
        <w:t xml:space="preserve"> 011721 HIST</w:t>
      </w:r>
      <w:r w:rsidRPr="00697906">
        <w:t>.</w:t>
      </w:r>
    </w:p>
    <w:p w14:paraId="64E903D6" w14:textId="77777777" w:rsidR="005A1034" w:rsidRDefault="005A1034" w:rsidP="005A1034">
      <w:pPr>
        <w:pStyle w:val="Heading4"/>
      </w:pPr>
      <w:r w:rsidRPr="00697906">
        <w:t>Specific Regulatory Assumptions</w:t>
      </w:r>
    </w:p>
    <w:p w14:paraId="5A450654" w14:textId="77777777" w:rsidR="005A1034" w:rsidRDefault="005A1034" w:rsidP="005A1034">
      <w:pPr>
        <w:pStyle w:val="Heading5"/>
        <w:keepNext/>
      </w:pPr>
      <w:r w:rsidRPr="000E6CE7">
        <w:t>Upper Sacramento Flow Management</w:t>
      </w:r>
    </w:p>
    <w:p w14:paraId="25109956" w14:textId="76D69C2A" w:rsidR="005A1034" w:rsidRPr="00E7230E" w:rsidRDefault="005A1034" w:rsidP="005A1034">
      <w:pPr>
        <w:pStyle w:val="BodyText"/>
        <w:keepNext w:val="0"/>
      </w:pPr>
      <w:r>
        <w:t xml:space="preserve">Same as the </w:t>
      </w:r>
      <w:r w:rsidR="00950D77">
        <w:t>Benchmark</w:t>
      </w:r>
      <w:r>
        <w:t xml:space="preserve"> 011721 HIST</w:t>
      </w:r>
      <w:r w:rsidRPr="00697906">
        <w:t>.</w:t>
      </w:r>
    </w:p>
    <w:p w14:paraId="08D74366" w14:textId="77777777" w:rsidR="005A1034" w:rsidRDefault="005A1034" w:rsidP="005A1034">
      <w:pPr>
        <w:pStyle w:val="Heading5"/>
      </w:pPr>
      <w:r w:rsidRPr="009150F0">
        <w:t xml:space="preserve">Lower </w:t>
      </w:r>
      <w:r>
        <w:t>Feather</w:t>
      </w:r>
      <w:r w:rsidRPr="009150F0">
        <w:t xml:space="preserve"> Flow Management</w:t>
      </w:r>
    </w:p>
    <w:p w14:paraId="45415AA6" w14:textId="18564A8A" w:rsidR="005A1034" w:rsidRPr="00F16391" w:rsidRDefault="005A1034" w:rsidP="005A1034">
      <w:pPr>
        <w:rPr>
          <w:sz w:val="24"/>
          <w:szCs w:val="24"/>
        </w:rPr>
      </w:pPr>
      <w:r w:rsidRPr="00F16391">
        <w:rPr>
          <w:sz w:val="24"/>
          <w:szCs w:val="24"/>
        </w:rPr>
        <w:t xml:space="preserve">Same as the </w:t>
      </w:r>
      <w:r w:rsidR="00950D77">
        <w:rPr>
          <w:sz w:val="24"/>
          <w:szCs w:val="24"/>
        </w:rPr>
        <w:t>Benchmark</w:t>
      </w:r>
      <w:r>
        <w:rPr>
          <w:sz w:val="24"/>
          <w:szCs w:val="24"/>
        </w:rPr>
        <w:t xml:space="preserve"> 011721 HIST</w:t>
      </w:r>
      <w:r w:rsidRPr="00F16391">
        <w:rPr>
          <w:sz w:val="24"/>
          <w:szCs w:val="24"/>
        </w:rPr>
        <w:t>.</w:t>
      </w:r>
    </w:p>
    <w:p w14:paraId="773F6DCA" w14:textId="77777777" w:rsidR="005A1034" w:rsidRPr="00697906" w:rsidRDefault="005A1034" w:rsidP="005A1034">
      <w:pPr>
        <w:pStyle w:val="Heading5"/>
      </w:pPr>
      <w:r w:rsidRPr="000E6CE7">
        <w:t>Lower American Flow Management</w:t>
      </w:r>
      <w:r w:rsidRPr="00697906">
        <w:t xml:space="preserve"> </w:t>
      </w:r>
    </w:p>
    <w:p w14:paraId="5763D644" w14:textId="7E2FB367" w:rsidR="005A1034" w:rsidRDefault="005A1034" w:rsidP="005A1034">
      <w:pPr>
        <w:pStyle w:val="BodyText"/>
      </w:pPr>
      <w:r>
        <w:t xml:space="preserve">Same as the </w:t>
      </w:r>
      <w:r w:rsidR="00950D77">
        <w:t>Benchmark</w:t>
      </w:r>
      <w:r>
        <w:t xml:space="preserve"> 011721 HIST</w:t>
      </w:r>
      <w:r w:rsidRPr="00697906">
        <w:t xml:space="preserve">. </w:t>
      </w:r>
    </w:p>
    <w:p w14:paraId="2C1FE085" w14:textId="77777777" w:rsidR="005A1034" w:rsidRDefault="005A1034" w:rsidP="005A1034">
      <w:pPr>
        <w:pStyle w:val="Heading5"/>
      </w:pPr>
      <w:r>
        <w:t>Folsom Flood Control Diagram</w:t>
      </w:r>
    </w:p>
    <w:p w14:paraId="5DF524C8" w14:textId="5462C91C" w:rsidR="005A1034" w:rsidRDefault="005A1034" w:rsidP="005A1034">
      <w:pPr>
        <w:pStyle w:val="BodyText"/>
      </w:pPr>
      <w:r>
        <w:t xml:space="preserve">Same as the </w:t>
      </w:r>
      <w:r w:rsidR="00950D77">
        <w:t>Benchmark</w:t>
      </w:r>
      <w:r>
        <w:t xml:space="preserve"> 011721 HIST.</w:t>
      </w:r>
    </w:p>
    <w:p w14:paraId="2090FE06" w14:textId="77777777" w:rsidR="005A1034" w:rsidRPr="00697906" w:rsidRDefault="005A1034" w:rsidP="005A1034">
      <w:pPr>
        <w:pStyle w:val="Heading5"/>
      </w:pPr>
      <w:r w:rsidRPr="00697906">
        <w:t>Delta Outflow (Flow and Salinity)</w:t>
      </w:r>
    </w:p>
    <w:p w14:paraId="756DFF33" w14:textId="31914DBE" w:rsidR="005A1034" w:rsidRDefault="005A1034" w:rsidP="005A1034">
      <w:pPr>
        <w:pStyle w:val="BodyText"/>
      </w:pPr>
      <w:r>
        <w:t xml:space="preserve">Same as the </w:t>
      </w:r>
      <w:r w:rsidR="00950D77">
        <w:t>Benchmark</w:t>
      </w:r>
      <w:r>
        <w:t xml:space="preserve"> 011721 HIST.</w:t>
      </w:r>
    </w:p>
    <w:p w14:paraId="17E42B42" w14:textId="77777777" w:rsidR="005A1034" w:rsidRPr="00FD413E" w:rsidRDefault="005A1034" w:rsidP="005A1034">
      <w:pPr>
        <w:pStyle w:val="Heading5"/>
      </w:pPr>
      <w:r w:rsidRPr="00FD413E">
        <w:t>Combined Old and Middle River Flows</w:t>
      </w:r>
    </w:p>
    <w:p w14:paraId="275C53D3" w14:textId="2BE95712" w:rsidR="005A1034" w:rsidRPr="00FD413E" w:rsidRDefault="005A1034" w:rsidP="006D3ADC">
      <w:pPr>
        <w:pStyle w:val="BodyText"/>
        <w:keepNext w:val="0"/>
      </w:pPr>
      <w:r w:rsidRPr="00FD413E">
        <w:t xml:space="preserve">Same as the </w:t>
      </w:r>
      <w:r w:rsidR="00950D77">
        <w:t>Benchmark</w:t>
      </w:r>
      <w:r>
        <w:t xml:space="preserve"> 011721 HIST</w:t>
      </w:r>
      <w:r w:rsidRPr="00FD413E">
        <w:t xml:space="preserve">. </w:t>
      </w:r>
    </w:p>
    <w:p w14:paraId="1C089F1F" w14:textId="77777777" w:rsidR="005A1034" w:rsidRPr="00697906" w:rsidRDefault="005A1034" w:rsidP="006D3ADC">
      <w:pPr>
        <w:pStyle w:val="Heading5"/>
        <w:keepNext/>
      </w:pPr>
      <w:r w:rsidRPr="00FD413E">
        <w:t>South Delta Export-San Joaquin River Inflow Ratio</w:t>
      </w:r>
    </w:p>
    <w:p w14:paraId="11CD1718" w14:textId="311E51FE" w:rsidR="005A1034" w:rsidRDefault="005A1034" w:rsidP="006D3ADC">
      <w:pPr>
        <w:pStyle w:val="BodyText"/>
        <w:keepNext w:val="0"/>
      </w:pPr>
      <w:r>
        <w:t xml:space="preserve">Same as the </w:t>
      </w:r>
      <w:r w:rsidR="00950D77">
        <w:t>Benchmark</w:t>
      </w:r>
      <w:r>
        <w:t xml:space="preserve"> 011721 HIST.</w:t>
      </w:r>
    </w:p>
    <w:p w14:paraId="03FBBB5B" w14:textId="77777777" w:rsidR="005A1034" w:rsidRPr="00697906" w:rsidRDefault="005A1034" w:rsidP="006D3ADC">
      <w:pPr>
        <w:pStyle w:val="Heading5"/>
        <w:keepNext/>
      </w:pPr>
      <w:r w:rsidRPr="00697906">
        <w:lastRenderedPageBreak/>
        <w:t>Exports at the South Delta Intakes</w:t>
      </w:r>
    </w:p>
    <w:p w14:paraId="6B4F380C" w14:textId="2D468EDD" w:rsidR="005A1034" w:rsidRPr="00697906" w:rsidRDefault="005A1034" w:rsidP="005A1034">
      <w:pPr>
        <w:pStyle w:val="BodyText"/>
      </w:pPr>
      <w:r>
        <w:t xml:space="preserve">Same as the </w:t>
      </w:r>
      <w:r w:rsidR="00950D77">
        <w:t>Benchmark</w:t>
      </w:r>
      <w:r>
        <w:t xml:space="preserve"> 011721 HIST</w:t>
      </w:r>
      <w:r w:rsidRPr="00697906">
        <w:t xml:space="preserve">. </w:t>
      </w:r>
    </w:p>
    <w:p w14:paraId="592601B8" w14:textId="77777777" w:rsidR="005A1034" w:rsidRPr="00697906" w:rsidRDefault="005A1034" w:rsidP="005A1034">
      <w:pPr>
        <w:pStyle w:val="Heading5"/>
      </w:pPr>
      <w:r w:rsidRPr="00697906">
        <w:t>Delta Water Quality</w:t>
      </w:r>
    </w:p>
    <w:p w14:paraId="221CD646" w14:textId="203B2402" w:rsidR="005A1034" w:rsidRPr="00697906" w:rsidRDefault="005A1034" w:rsidP="005A1034">
      <w:pPr>
        <w:pStyle w:val="BodyText"/>
      </w:pPr>
      <w:r>
        <w:t xml:space="preserve">Same as the </w:t>
      </w:r>
      <w:r w:rsidR="00950D77">
        <w:t>Benchmark</w:t>
      </w:r>
      <w:r>
        <w:t xml:space="preserve"> 011721 HIST</w:t>
      </w:r>
      <w:r w:rsidRPr="00697906">
        <w:t>.</w:t>
      </w:r>
    </w:p>
    <w:p w14:paraId="4754FA85" w14:textId="77777777" w:rsidR="005A1034" w:rsidRPr="00697906" w:rsidRDefault="005A1034" w:rsidP="005A1034">
      <w:pPr>
        <w:pStyle w:val="Heading5"/>
      </w:pPr>
      <w:r w:rsidRPr="00697906">
        <w:t xml:space="preserve">San Joaquin River Restoration Program </w:t>
      </w:r>
    </w:p>
    <w:p w14:paraId="221B97E9" w14:textId="03BBA88F" w:rsidR="005A1034" w:rsidRDefault="005A1034" w:rsidP="005A1034">
      <w:pPr>
        <w:pStyle w:val="BodyText"/>
      </w:pPr>
      <w:r>
        <w:t xml:space="preserve">Same as the </w:t>
      </w:r>
      <w:r w:rsidR="00950D77">
        <w:t>Benchmark</w:t>
      </w:r>
      <w:r>
        <w:t xml:space="preserve"> 011721 HIST.</w:t>
      </w:r>
    </w:p>
    <w:p w14:paraId="179F8616" w14:textId="77777777" w:rsidR="005A1034" w:rsidRPr="00697906" w:rsidRDefault="005A1034" w:rsidP="005A1034">
      <w:pPr>
        <w:pStyle w:val="Heading4"/>
      </w:pPr>
      <w:r w:rsidRPr="00697906">
        <w:t>Operations Criteria</w:t>
      </w:r>
    </w:p>
    <w:p w14:paraId="5DE7B58F" w14:textId="77777777" w:rsidR="005A1034" w:rsidRPr="00697906" w:rsidRDefault="005A1034" w:rsidP="005A1034">
      <w:pPr>
        <w:pStyle w:val="Heading5"/>
      </w:pPr>
      <w:r w:rsidRPr="00697906">
        <w:t>Fremont Weir Operations</w:t>
      </w:r>
    </w:p>
    <w:p w14:paraId="1D2D184D" w14:textId="36383E8B" w:rsidR="005A1034" w:rsidRPr="00697906" w:rsidRDefault="005A1034" w:rsidP="005A1034">
      <w:pPr>
        <w:pStyle w:val="BodyText"/>
      </w:pPr>
      <w:r>
        <w:t xml:space="preserve">Same as the </w:t>
      </w:r>
      <w:r w:rsidR="00950D77">
        <w:t>Benchmark</w:t>
      </w:r>
      <w:r>
        <w:t xml:space="preserve"> 011721 HIST.</w:t>
      </w:r>
    </w:p>
    <w:p w14:paraId="660A0448" w14:textId="77777777" w:rsidR="005A1034" w:rsidRPr="00697906" w:rsidRDefault="005A1034" w:rsidP="005A1034">
      <w:pPr>
        <w:pStyle w:val="Heading5"/>
      </w:pPr>
      <w:r w:rsidRPr="00FD413E">
        <w:t>Delta Cross Channel Gate Operations</w:t>
      </w:r>
    </w:p>
    <w:p w14:paraId="295334D8" w14:textId="14DF2A70" w:rsidR="005A1034" w:rsidRDefault="005A1034" w:rsidP="005A1034">
      <w:pPr>
        <w:pStyle w:val="BodyText"/>
        <w:keepNext w:val="0"/>
      </w:pPr>
      <w:r>
        <w:t xml:space="preserve">Same as the </w:t>
      </w:r>
      <w:r w:rsidR="00950D77">
        <w:t>Benchmark</w:t>
      </w:r>
      <w:r>
        <w:t xml:space="preserve"> 011721 HIST</w:t>
      </w:r>
      <w:r w:rsidRPr="00697906">
        <w:t>.</w:t>
      </w:r>
    </w:p>
    <w:p w14:paraId="781F1184" w14:textId="77777777" w:rsidR="005A1034" w:rsidRDefault="005A1034" w:rsidP="005A1034">
      <w:pPr>
        <w:pStyle w:val="Heading5"/>
        <w:keepNext/>
      </w:pPr>
      <w:r>
        <w:t>Suisun Marsh</w:t>
      </w:r>
      <w:r w:rsidRPr="00F41AEA">
        <w:t xml:space="preserve"> Salinity Control Gates</w:t>
      </w:r>
    </w:p>
    <w:p w14:paraId="5AEFE6FE" w14:textId="52D5D6BF" w:rsidR="005A1034" w:rsidRDefault="005A1034" w:rsidP="005A1034">
      <w:pPr>
        <w:pStyle w:val="BodyText"/>
      </w:pPr>
      <w:r>
        <w:t xml:space="preserve">Same as the </w:t>
      </w:r>
      <w:r w:rsidR="00950D77">
        <w:t>Benchmark</w:t>
      </w:r>
      <w:r>
        <w:t xml:space="preserve"> 011721 HIST.</w:t>
      </w:r>
    </w:p>
    <w:p w14:paraId="407D89CC" w14:textId="77777777" w:rsidR="005A1034" w:rsidRPr="00697906" w:rsidRDefault="005A1034" w:rsidP="005A1034">
      <w:pPr>
        <w:pStyle w:val="Heading5"/>
      </w:pPr>
      <w:r w:rsidRPr="00697906">
        <w:t xml:space="preserve">Allocation Decisions </w:t>
      </w:r>
    </w:p>
    <w:p w14:paraId="2B1C23B0" w14:textId="34A2DE91" w:rsidR="005A1034" w:rsidRPr="00697906" w:rsidRDefault="005A1034" w:rsidP="005A1034">
      <w:pPr>
        <w:pStyle w:val="BodyText"/>
        <w:keepNext w:val="0"/>
      </w:pPr>
      <w:r>
        <w:t xml:space="preserve">Same as the </w:t>
      </w:r>
      <w:r w:rsidR="00950D77">
        <w:t>Benchmark</w:t>
      </w:r>
      <w:r>
        <w:t xml:space="preserve"> 011721 HIST.</w:t>
      </w:r>
      <w:r w:rsidRPr="00697906">
        <w:t xml:space="preserve"> </w:t>
      </w:r>
    </w:p>
    <w:p w14:paraId="7191E2D6" w14:textId="77777777" w:rsidR="005A1034" w:rsidRPr="00697906" w:rsidRDefault="005A1034" w:rsidP="005A1034">
      <w:pPr>
        <w:pStyle w:val="Heading5"/>
        <w:keepNext/>
      </w:pPr>
      <w:r w:rsidRPr="00697906">
        <w:t>San Luis Operations</w:t>
      </w:r>
    </w:p>
    <w:p w14:paraId="04B82C06" w14:textId="643C384A" w:rsidR="005A1034" w:rsidRPr="00697906" w:rsidRDefault="005A1034" w:rsidP="005A1034">
      <w:pPr>
        <w:pStyle w:val="BodyText"/>
      </w:pPr>
      <w:r>
        <w:t xml:space="preserve">Same as the </w:t>
      </w:r>
      <w:r w:rsidR="00950D77">
        <w:t>Benchmark</w:t>
      </w:r>
      <w:r>
        <w:t xml:space="preserve"> 011721 HIST</w:t>
      </w:r>
      <w:r w:rsidRPr="00697906">
        <w:t xml:space="preserve">. </w:t>
      </w:r>
    </w:p>
    <w:p w14:paraId="287D9475" w14:textId="77777777" w:rsidR="005A1034" w:rsidRPr="00697906" w:rsidRDefault="005A1034" w:rsidP="005A1034">
      <w:pPr>
        <w:pStyle w:val="Heading5"/>
      </w:pPr>
      <w:r w:rsidRPr="00697906">
        <w:t>New Melones Operations</w:t>
      </w:r>
    </w:p>
    <w:p w14:paraId="74B521C5" w14:textId="3CA800F8" w:rsidR="005A1034" w:rsidRDefault="005A1034" w:rsidP="005A1034">
      <w:pPr>
        <w:pStyle w:val="BodyText"/>
      </w:pPr>
      <w:r>
        <w:t xml:space="preserve">Same as the </w:t>
      </w:r>
      <w:r w:rsidR="00950D77">
        <w:t>Benchmark</w:t>
      </w:r>
      <w:r>
        <w:t xml:space="preserve"> 011721 HIST</w:t>
      </w:r>
      <w:r w:rsidRPr="00697906">
        <w:t xml:space="preserve">. </w:t>
      </w:r>
    </w:p>
    <w:p w14:paraId="1BB91D3A" w14:textId="77777777" w:rsidR="005A1034" w:rsidRDefault="005A1034" w:rsidP="005A1034">
      <w:pPr>
        <w:pStyle w:val="Heading4"/>
      </w:pPr>
      <w:r>
        <w:t>Non-CVP/SWP Operations</w:t>
      </w:r>
    </w:p>
    <w:p w14:paraId="27A2FC3C" w14:textId="77777777" w:rsidR="005A1034" w:rsidRDefault="005A1034" w:rsidP="005A1034">
      <w:pPr>
        <w:pStyle w:val="Heading5"/>
      </w:pPr>
      <w:r>
        <w:t>Yuba</w:t>
      </w:r>
    </w:p>
    <w:p w14:paraId="32B34C2F" w14:textId="5B9094DB" w:rsidR="005A1034" w:rsidRPr="00F16391" w:rsidRDefault="005A1034" w:rsidP="005A1034">
      <w:pPr>
        <w:rPr>
          <w:sz w:val="24"/>
          <w:szCs w:val="24"/>
        </w:rPr>
      </w:pPr>
      <w:r w:rsidRPr="00F16391">
        <w:rPr>
          <w:sz w:val="24"/>
          <w:szCs w:val="24"/>
        </w:rPr>
        <w:t xml:space="preserve">Same as the </w:t>
      </w:r>
      <w:r w:rsidR="00950D77">
        <w:rPr>
          <w:sz w:val="24"/>
          <w:szCs w:val="24"/>
        </w:rPr>
        <w:t>Benchmark</w:t>
      </w:r>
      <w:r>
        <w:rPr>
          <w:sz w:val="24"/>
          <w:szCs w:val="24"/>
        </w:rPr>
        <w:t xml:space="preserve"> 011721 HIST</w:t>
      </w:r>
      <w:r w:rsidRPr="00F16391">
        <w:rPr>
          <w:sz w:val="24"/>
          <w:szCs w:val="24"/>
        </w:rPr>
        <w:t>.</w:t>
      </w:r>
    </w:p>
    <w:p w14:paraId="237E7E5E" w14:textId="77777777" w:rsidR="005A1034" w:rsidRDefault="005A1034" w:rsidP="005A1034">
      <w:pPr>
        <w:pStyle w:val="Heading5"/>
      </w:pPr>
      <w:r>
        <w:t>Mokelumne</w:t>
      </w:r>
    </w:p>
    <w:p w14:paraId="46C2A714" w14:textId="4916BC31" w:rsidR="005A1034" w:rsidRPr="00F16391" w:rsidRDefault="005A1034" w:rsidP="005A1034">
      <w:pPr>
        <w:rPr>
          <w:sz w:val="24"/>
          <w:szCs w:val="24"/>
        </w:rPr>
      </w:pPr>
      <w:r w:rsidRPr="00F16391">
        <w:rPr>
          <w:sz w:val="24"/>
          <w:szCs w:val="24"/>
        </w:rPr>
        <w:t xml:space="preserve">Same as the </w:t>
      </w:r>
      <w:r w:rsidR="00950D77">
        <w:rPr>
          <w:sz w:val="24"/>
          <w:szCs w:val="24"/>
        </w:rPr>
        <w:t>Benchmark</w:t>
      </w:r>
      <w:r>
        <w:rPr>
          <w:sz w:val="24"/>
          <w:szCs w:val="24"/>
        </w:rPr>
        <w:t xml:space="preserve"> 011721 HIST</w:t>
      </w:r>
      <w:r w:rsidRPr="00F16391">
        <w:rPr>
          <w:sz w:val="24"/>
          <w:szCs w:val="24"/>
        </w:rPr>
        <w:t xml:space="preserve">. </w:t>
      </w:r>
    </w:p>
    <w:p w14:paraId="34907652" w14:textId="77777777" w:rsidR="005A1034" w:rsidRDefault="005A1034" w:rsidP="005A1034">
      <w:pPr>
        <w:pStyle w:val="Heading5"/>
      </w:pPr>
      <w:r>
        <w:t>Tuolumne</w:t>
      </w:r>
    </w:p>
    <w:p w14:paraId="2517E947" w14:textId="11148CE8" w:rsidR="005A1034" w:rsidRPr="00F16391" w:rsidRDefault="005A1034" w:rsidP="005A1034">
      <w:pPr>
        <w:rPr>
          <w:color w:val="000000"/>
          <w:sz w:val="24"/>
          <w:szCs w:val="24"/>
          <w:shd w:val="clear" w:color="auto" w:fill="FFFFFF"/>
        </w:rPr>
      </w:pPr>
      <w:r w:rsidRPr="00F16391">
        <w:rPr>
          <w:sz w:val="24"/>
          <w:szCs w:val="24"/>
        </w:rPr>
        <w:t xml:space="preserve">Same as the </w:t>
      </w:r>
      <w:r w:rsidR="00950D77">
        <w:rPr>
          <w:sz w:val="24"/>
          <w:szCs w:val="24"/>
        </w:rPr>
        <w:t>Benchmark</w:t>
      </w:r>
      <w:r>
        <w:rPr>
          <w:sz w:val="24"/>
          <w:szCs w:val="24"/>
        </w:rPr>
        <w:t xml:space="preserve"> 011721 HIST</w:t>
      </w:r>
      <w:r w:rsidRPr="00F16391">
        <w:rPr>
          <w:color w:val="000000"/>
          <w:sz w:val="24"/>
          <w:szCs w:val="24"/>
          <w:shd w:val="clear" w:color="auto" w:fill="FFFFFF"/>
        </w:rPr>
        <w:t>.</w:t>
      </w:r>
    </w:p>
    <w:p w14:paraId="215D1931" w14:textId="77777777" w:rsidR="005A1034" w:rsidRDefault="005A1034" w:rsidP="005A1034">
      <w:pPr>
        <w:pStyle w:val="Heading5"/>
      </w:pPr>
      <w:r>
        <w:t>Merced</w:t>
      </w:r>
    </w:p>
    <w:p w14:paraId="0B9C42D2" w14:textId="63B9BC17" w:rsidR="005A1034" w:rsidRPr="00F16391" w:rsidRDefault="005A1034" w:rsidP="005A1034">
      <w:pPr>
        <w:rPr>
          <w:color w:val="000000"/>
          <w:sz w:val="24"/>
          <w:szCs w:val="24"/>
          <w:shd w:val="clear" w:color="auto" w:fill="FFFFFF"/>
        </w:rPr>
      </w:pPr>
      <w:r w:rsidRPr="00F16391">
        <w:rPr>
          <w:sz w:val="24"/>
          <w:szCs w:val="24"/>
        </w:rPr>
        <w:t xml:space="preserve">Same as the </w:t>
      </w:r>
      <w:r w:rsidR="00950D77">
        <w:rPr>
          <w:sz w:val="24"/>
          <w:szCs w:val="24"/>
        </w:rPr>
        <w:t>Benchmark</w:t>
      </w:r>
      <w:r>
        <w:rPr>
          <w:sz w:val="24"/>
          <w:szCs w:val="24"/>
        </w:rPr>
        <w:t xml:space="preserve"> 011721 HIST</w:t>
      </w:r>
      <w:r w:rsidRPr="00F16391">
        <w:rPr>
          <w:color w:val="000000"/>
          <w:sz w:val="24"/>
          <w:szCs w:val="24"/>
          <w:shd w:val="clear" w:color="auto" w:fill="FFFFFF"/>
        </w:rPr>
        <w:t>.</w:t>
      </w:r>
    </w:p>
    <w:bookmarkEnd w:id="72"/>
    <w:bookmarkEnd w:id="76"/>
    <w:p w14:paraId="55F8E449" w14:textId="781F0780" w:rsidR="00284DEF" w:rsidRPr="00284DEF" w:rsidRDefault="001C007D" w:rsidP="00D11E80">
      <w:pPr>
        <w:pStyle w:val="Heading2"/>
      </w:pPr>
      <w:r>
        <w:lastRenderedPageBreak/>
        <w:t>References Cite</w:t>
      </w:r>
      <w:r w:rsidR="00265DD7">
        <w:t>d</w:t>
      </w:r>
    </w:p>
    <w:p w14:paraId="75FF8227" w14:textId="6C7EFAC4" w:rsidR="00D11E80" w:rsidRDefault="00D11E80" w:rsidP="00D11E80">
      <w:pPr>
        <w:pStyle w:val="Reference"/>
      </w:pPr>
      <w:r>
        <w:t xml:space="preserve">CH2M HILL, 2009. DSM2 Recalibration. Prepared for California Department of Water Resources, </w:t>
      </w:r>
      <w:r w:rsidR="007045BE">
        <w:t>October</w:t>
      </w:r>
      <w:r>
        <w:t xml:space="preserve"> 2009.</w:t>
      </w:r>
    </w:p>
    <w:p w14:paraId="12ABB4A6" w14:textId="6BECC790" w:rsidR="00A25FFF" w:rsidRDefault="00A25FFF" w:rsidP="00D11E80">
      <w:pPr>
        <w:pStyle w:val="Reference"/>
      </w:pPr>
      <w:r>
        <w:t>CDFW</w:t>
      </w:r>
      <w:r w:rsidR="000E18A8">
        <w:t xml:space="preserve"> (California Department of Fish and Wildlife). 2020. Long-term Operation of the State Water Project in the Sacramento San Joaquin Delta</w:t>
      </w:r>
      <w:r w:rsidR="00D24551">
        <w:t>. Incidental Take Permit. March 2020.</w:t>
      </w:r>
    </w:p>
    <w:p w14:paraId="6630F9CB" w14:textId="5A2BE000" w:rsidR="00D11E80" w:rsidRDefault="00D11E80" w:rsidP="00D11E80">
      <w:pPr>
        <w:pStyle w:val="Reference"/>
      </w:pPr>
      <w:r>
        <w:t>DWR et al. (California Department of Water Resources, Bureau of Reclamation, U.S. Fish and Wildlife Service, and National Marine Fisheries Service). 2013. Environmental Impact Report/ Environmental Impact Statement for the Bay Delta Conservation Plan. Draft. December.</w:t>
      </w:r>
    </w:p>
    <w:p w14:paraId="603D3CFC" w14:textId="3DD98BC0" w:rsidR="006D3ADC" w:rsidRDefault="006D3ADC" w:rsidP="00D11E80">
      <w:pPr>
        <w:pStyle w:val="Reference"/>
      </w:pPr>
      <w:r w:rsidRPr="0019067F">
        <w:t>California Department of Water Resources (DWR). 20</w:t>
      </w:r>
      <w:r>
        <w:t>19</w:t>
      </w:r>
      <w:r w:rsidRPr="0019067F">
        <w:t xml:space="preserve">. </w:t>
      </w:r>
      <w:r>
        <w:t>Final Environmental Impact Report for Long-Term Operation of the California State Water Project</w:t>
      </w:r>
      <w:r w:rsidRPr="0019067F">
        <w:t xml:space="preserve">. </w:t>
      </w:r>
      <w:r>
        <w:t>November</w:t>
      </w:r>
      <w:r w:rsidRPr="0019067F">
        <w:t xml:space="preserve"> 201</w:t>
      </w:r>
      <w:r>
        <w:t>9</w:t>
      </w:r>
      <w:r w:rsidRPr="0019067F">
        <w:t>.</w:t>
      </w:r>
    </w:p>
    <w:p w14:paraId="7FEBC2AC" w14:textId="5E6718AD" w:rsidR="00D11E80" w:rsidRDefault="00D11E80" w:rsidP="00D11E80">
      <w:pPr>
        <w:pStyle w:val="Reference"/>
      </w:pPr>
      <w:r>
        <w:t xml:space="preserve">ICF International. 2016. Final Environmental Impact Report/Environmental Impact Statement for the Bay Delta Conservation Plan/California WaterFix. Section A of Appendix 5A Modeling Methodology, </w:t>
      </w:r>
      <w:r w:rsidR="007045BE">
        <w:t>December</w:t>
      </w:r>
      <w:r>
        <w:t xml:space="preserve"> 2016.</w:t>
      </w:r>
    </w:p>
    <w:p w14:paraId="12985033" w14:textId="7114F500" w:rsidR="00D11E80" w:rsidRDefault="00D11E80" w:rsidP="00D11E80">
      <w:pPr>
        <w:pStyle w:val="Reference"/>
      </w:pPr>
      <w:r>
        <w:t>National Marine Fisheries Service (NMFS), 2009. Biological Opinion and Conference Opinion on the Long-Term Operations of the Central Valley Project and State Water Project.</w:t>
      </w:r>
    </w:p>
    <w:p w14:paraId="4C07E674" w14:textId="1A4AA388" w:rsidR="00FB23E1" w:rsidRDefault="00FB23E1" w:rsidP="00D11E80">
      <w:pPr>
        <w:pStyle w:val="Reference"/>
      </w:pPr>
      <w:r>
        <w:t>National Marine Fisheries Service (NMFS), 2019. Biological Opinion and Conference Opinion on the Long-Term Operations of the Central Valley Project and State Water Project.</w:t>
      </w:r>
    </w:p>
    <w:p w14:paraId="784976FC" w14:textId="77777777" w:rsidR="00D11E80" w:rsidRDefault="00D11E80" w:rsidP="00D11E80">
      <w:pPr>
        <w:pStyle w:val="Reference"/>
      </w:pPr>
      <w:r>
        <w:t>OID, SSJID, SEWD (Oakdale Irrigation District, South San Joaquin Irrigation District, Stockton East Water District). 2012. Letter to Ms. Janice Piñero, Bureau of Reclamation, Comments on Scope of the Environmental Impact Statement Concerning Modifications to the Continued Long-Term Operation of the Central Valley Project, In A Coordinated Manner with the State Water Project. June 28.</w:t>
      </w:r>
    </w:p>
    <w:p w14:paraId="3566A62C" w14:textId="77777777" w:rsidR="00D11E80" w:rsidRDefault="00D11E80" w:rsidP="00D11E80">
      <w:pPr>
        <w:pStyle w:val="Reference"/>
      </w:pPr>
      <w:r>
        <w:t>SWRCB, 2000. Revised Water Right Decision 1641, March 15, 2000.</w:t>
      </w:r>
    </w:p>
    <w:p w14:paraId="3E01ACF1" w14:textId="77777777" w:rsidR="00D11E80" w:rsidRDefault="00D11E80" w:rsidP="00D11E80">
      <w:pPr>
        <w:pStyle w:val="Reference"/>
      </w:pPr>
      <w:r>
        <w:t>U.S. Bureau of Reclamation, 1989. Report on Refuge Water Supply Investigations, March 1989.</w:t>
      </w:r>
    </w:p>
    <w:p w14:paraId="615473EA" w14:textId="77777777" w:rsidR="00D11E80" w:rsidRDefault="00D11E80" w:rsidP="00D11E80">
      <w:pPr>
        <w:pStyle w:val="Reference"/>
      </w:pPr>
      <w:r>
        <w:t>U.S. Bureau of Reclamation, 2006. Lower American River Flow Management Standard. Draft Report. July 31, 2006.</w:t>
      </w:r>
    </w:p>
    <w:p w14:paraId="7FEFB417" w14:textId="77777777" w:rsidR="00D11E80" w:rsidRDefault="00D11E80" w:rsidP="00D11E80">
      <w:pPr>
        <w:pStyle w:val="Reference"/>
      </w:pPr>
      <w:r>
        <w:t>U.S. Bureau of Reclamation, 2008a. Central Valley Project and State Water Project Operations Criteria and Plan Biological Assessment, Appendix D CalSim-II Model, May 2008.</w:t>
      </w:r>
    </w:p>
    <w:p w14:paraId="29DCDFA0" w14:textId="77777777" w:rsidR="00D11E80" w:rsidRDefault="00D11E80" w:rsidP="00D11E80">
      <w:pPr>
        <w:pStyle w:val="Reference"/>
      </w:pPr>
      <w:r>
        <w:t>U.S. Bureau of Reclamation, 2008b. Central Valley Project and State Water Project Operations Criteria and Plan Biological Assessment, Appendix F DSM2 Model, May 2008.</w:t>
      </w:r>
    </w:p>
    <w:p w14:paraId="197BCDFA" w14:textId="77777777" w:rsidR="00D11E80" w:rsidRDefault="00D11E80" w:rsidP="00D11E80">
      <w:pPr>
        <w:pStyle w:val="Reference"/>
      </w:pPr>
      <w:r>
        <w:t>U.S. Bureau of Reclamation, 2012a. Delta Cross Channel Temporary Closure Multi-Year Study Final Environmental Assessment, September 2012.</w:t>
      </w:r>
    </w:p>
    <w:p w14:paraId="3D99A2EC" w14:textId="77777777" w:rsidR="00D11E80" w:rsidRDefault="00D11E80" w:rsidP="00D11E80">
      <w:pPr>
        <w:pStyle w:val="Reference"/>
      </w:pPr>
      <w:r>
        <w:t>U.S. Bureau of Reclamation, 2015a. Coordinated Long-Term Operation of the Central Valley Project and State Water Project, Final Environmental Impact Statement, Appendix 3A No Action Alternative: Central Valley Project and State Water Project Operations, November 2015.</w:t>
      </w:r>
    </w:p>
    <w:p w14:paraId="4A0C0CED" w14:textId="77777777" w:rsidR="00D11E80" w:rsidRDefault="00D11E80" w:rsidP="00D11E80">
      <w:pPr>
        <w:pStyle w:val="Reference"/>
      </w:pPr>
      <w:r>
        <w:lastRenderedPageBreak/>
        <w:t>U.S. Bureau of Reclamation, 2015b. Coordinated Long-Term Operation of the Central Valley Project and State Water Project, Final Environmental Impact Statement, Section B.10 of Appendix 5A USFWS RPA Implementation, November 2015.</w:t>
      </w:r>
    </w:p>
    <w:p w14:paraId="4B58CE18" w14:textId="77777777" w:rsidR="00D11E80" w:rsidRDefault="00D11E80" w:rsidP="00D11E80">
      <w:pPr>
        <w:pStyle w:val="Reference"/>
      </w:pPr>
      <w:r>
        <w:t>U.S. Bureau of Reclamation, 2015c. Coordinated Long-Term Operation of the Central Valley Project and State Water Project, Final Environmental Impact Statement, Section B.11 of Appendix 5A NMFS RPA Implementation, November 2015.</w:t>
      </w:r>
    </w:p>
    <w:p w14:paraId="28E73B13" w14:textId="77777777" w:rsidR="00D11E80" w:rsidRDefault="00D11E80" w:rsidP="00D11E80">
      <w:pPr>
        <w:pStyle w:val="Reference"/>
      </w:pPr>
      <w:r>
        <w:t>U.S. Bureau of Reclamation, 2017. Yolo Bypass Salmonid Habitat Restoration &amp; Fish Passage. Draft Environmental Impact Statement Environmental Impact Report, December 2017.</w:t>
      </w:r>
    </w:p>
    <w:p w14:paraId="115BBE3A" w14:textId="3A99BD6B" w:rsidR="00FB23E1" w:rsidRDefault="00D11E80" w:rsidP="00D11E80">
      <w:pPr>
        <w:pStyle w:val="Citation"/>
      </w:pPr>
      <w:r>
        <w:t>U.S. Fish and Wildlife Service, 2008. Formal Endangered Species Act Consultation on the Proposed Coordinated Operations of the Central Valley Project (CVP) and State Water Project (SWP).</w:t>
      </w:r>
    </w:p>
    <w:p w14:paraId="7F4AF718" w14:textId="5FE23ABC" w:rsidR="00380342" w:rsidRPr="00E33D13" w:rsidRDefault="00FB23E1" w:rsidP="00284DEF">
      <w:pPr>
        <w:pStyle w:val="Citation"/>
      </w:pPr>
      <w:r>
        <w:t>U.S. Fish and Wildlife Service, 2019. Formal Endangered Species Act Consultation on the Proposed Coordinated Operations of the Central Valley Project (CVP) and State Water Project (SWP).</w:t>
      </w:r>
    </w:p>
    <w:sectPr w:rsidR="00380342" w:rsidRPr="00E33D13" w:rsidSect="00BF095F">
      <w:headerReference w:type="default" r:id="rId11"/>
      <w:footerReference w:type="default" r:id="rId12"/>
      <w:footerReference w:type="firs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DDD5F" w14:textId="77777777" w:rsidR="001917C5" w:rsidRDefault="001917C5">
      <w:r>
        <w:separator/>
      </w:r>
    </w:p>
    <w:p w14:paraId="7B226B90" w14:textId="77777777" w:rsidR="001917C5" w:rsidRDefault="001917C5"/>
  </w:endnote>
  <w:endnote w:type="continuationSeparator" w:id="0">
    <w:p w14:paraId="013248CC" w14:textId="77777777" w:rsidR="001917C5" w:rsidRDefault="001917C5">
      <w:r>
        <w:continuationSeparator/>
      </w:r>
    </w:p>
    <w:p w14:paraId="011F595C" w14:textId="77777777" w:rsidR="001917C5" w:rsidRDefault="001917C5"/>
  </w:endnote>
  <w:endnote w:type="continuationNotice" w:id="1">
    <w:p w14:paraId="4E0FB2AB" w14:textId="77777777" w:rsidR="001917C5" w:rsidRDefault="001917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IMEMA+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0945" w14:textId="77777777" w:rsidR="00950D77" w:rsidRPr="000E30A7" w:rsidRDefault="00950D77" w:rsidP="00BE0809">
    <w:pPr>
      <w:tabs>
        <w:tab w:val="center" w:pos="4320"/>
        <w:tab w:val="right" w:pos="8640"/>
      </w:tabs>
      <w:spacing w:after="0"/>
      <w:rPr>
        <w:rFonts w:ascii="Arial" w:hAnsi="Arial"/>
        <w:sz w:val="12"/>
        <w:szCs w:val="16"/>
      </w:rPr>
    </w:pPr>
  </w:p>
  <w:tbl>
    <w:tblPr>
      <w:tblW w:w="5000" w:type="pct"/>
      <w:tblCellMar>
        <w:left w:w="115" w:type="dxa"/>
        <w:right w:w="115" w:type="dxa"/>
      </w:tblCellMar>
      <w:tblLook w:val="0000" w:firstRow="0" w:lastRow="0" w:firstColumn="0" w:lastColumn="0" w:noHBand="0" w:noVBand="0"/>
    </w:tblPr>
    <w:tblGrid>
      <w:gridCol w:w="5850"/>
      <w:gridCol w:w="3510"/>
    </w:tblGrid>
    <w:tr w:rsidR="00950D77" w:rsidRPr="000E30A7" w14:paraId="0DE75A87" w14:textId="77777777" w:rsidTr="005E5CB4">
      <w:tc>
        <w:tcPr>
          <w:tcW w:w="3125" w:type="pct"/>
          <w:vAlign w:val="bottom"/>
        </w:tcPr>
        <w:p w14:paraId="43BF6F16" w14:textId="253A4FC4" w:rsidR="00950D77" w:rsidRDefault="00950D77" w:rsidP="00BE0809">
          <w:pPr>
            <w:pStyle w:val="FooterLft"/>
            <w:rPr>
              <w:lang w:bidi="en-US"/>
            </w:rPr>
          </w:pPr>
          <w:r>
            <w:rPr>
              <w:lang w:bidi="en-US"/>
            </w:rPr>
            <w:t>Reclamation Benchmark</w:t>
          </w:r>
        </w:p>
        <w:p w14:paraId="221582B9" w14:textId="77777777" w:rsidR="00950D77" w:rsidRPr="000E30A7" w:rsidRDefault="00950D77" w:rsidP="00BE0809">
          <w:pPr>
            <w:pStyle w:val="FooterLft"/>
            <w:rPr>
              <w:lang w:bidi="en-US"/>
            </w:rPr>
          </w:pPr>
        </w:p>
      </w:tc>
      <w:tc>
        <w:tcPr>
          <w:tcW w:w="1875" w:type="pct"/>
        </w:tcPr>
        <w:p w14:paraId="2E44C3FB" w14:textId="2B0240B4" w:rsidR="00950D77" w:rsidRDefault="00950D77" w:rsidP="00BE0809">
          <w:pPr>
            <w:pStyle w:val="FooterRt"/>
            <w:rPr>
              <w:noProof/>
            </w:rPr>
          </w:pPr>
          <w:r>
            <w:rPr>
              <w:noProof/>
            </w:rPr>
            <w:t>1-</w:t>
          </w:r>
          <w:r w:rsidRPr="000E30A7">
            <w:rPr>
              <w:noProof/>
            </w:rPr>
            <w:fldChar w:fldCharType="begin"/>
          </w:r>
          <w:r w:rsidRPr="000E30A7">
            <w:rPr>
              <w:noProof/>
            </w:rPr>
            <w:instrText xml:space="preserve"> PAGE </w:instrText>
          </w:r>
          <w:r w:rsidRPr="000E30A7">
            <w:rPr>
              <w:noProof/>
            </w:rPr>
            <w:fldChar w:fldCharType="separate"/>
          </w:r>
          <w:r>
            <w:rPr>
              <w:noProof/>
            </w:rPr>
            <w:t>1</w:t>
          </w:r>
          <w:r w:rsidRPr="000E30A7">
            <w:rPr>
              <w:noProof/>
            </w:rPr>
            <w:fldChar w:fldCharType="end"/>
          </w:r>
        </w:p>
        <w:p w14:paraId="1F1F46AF" w14:textId="77777777" w:rsidR="00950D77" w:rsidRPr="000E30A7" w:rsidRDefault="00950D77" w:rsidP="00BE0809">
          <w:pPr>
            <w:pStyle w:val="FooterRt"/>
            <w:rPr>
              <w:noProof/>
            </w:rPr>
          </w:pPr>
        </w:p>
      </w:tc>
    </w:tr>
    <w:tr w:rsidR="00950D77" w:rsidRPr="000E30A7" w14:paraId="6B74F995" w14:textId="77777777" w:rsidTr="005E5CB4">
      <w:tc>
        <w:tcPr>
          <w:tcW w:w="3125" w:type="pct"/>
          <w:vAlign w:val="bottom"/>
        </w:tcPr>
        <w:p w14:paraId="7F88B44C" w14:textId="77777777" w:rsidR="00950D77" w:rsidRPr="000E30A7" w:rsidRDefault="00950D77" w:rsidP="00BE0809">
          <w:pPr>
            <w:pStyle w:val="FooterLft"/>
            <w:rPr>
              <w:lang w:bidi="en-US"/>
            </w:rPr>
          </w:pPr>
        </w:p>
      </w:tc>
      <w:tc>
        <w:tcPr>
          <w:tcW w:w="1875" w:type="pct"/>
        </w:tcPr>
        <w:p w14:paraId="3A79BDD9" w14:textId="720C34DA" w:rsidR="00950D77" w:rsidRPr="000E30A7" w:rsidRDefault="00950D77" w:rsidP="00BE0809">
          <w:pPr>
            <w:pStyle w:val="FooterRt"/>
            <w:rPr>
              <w:noProof/>
            </w:rPr>
          </w:pPr>
          <w:r>
            <w:rPr>
              <w:noProof/>
            </w:rPr>
            <w:t>July</w:t>
          </w:r>
          <w:r w:rsidRPr="000E30A7">
            <w:rPr>
              <w:noProof/>
            </w:rPr>
            <w:t xml:space="preserve"> 202</w:t>
          </w:r>
          <w:r>
            <w:rPr>
              <w:noProof/>
            </w:rPr>
            <w:t>1</w:t>
          </w:r>
        </w:p>
      </w:tc>
    </w:tr>
  </w:tbl>
  <w:p w14:paraId="0197BB79" w14:textId="256344D8" w:rsidR="00950D77" w:rsidRPr="000E30A7" w:rsidRDefault="00950D77" w:rsidP="006D3ADC">
    <w:pPr>
      <w:tabs>
        <w:tab w:val="center" w:pos="4320"/>
        <w:tab w:val="right" w:pos="8640"/>
      </w:tabs>
      <w:spacing w:after="0"/>
      <w:jc w:val="center"/>
      <w:rPr>
        <w:rFonts w:ascii="Arial" w:hAnsi="Arial"/>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A081" w14:textId="77777777" w:rsidR="00950D77" w:rsidRPr="000E30A7" w:rsidRDefault="00950D77" w:rsidP="00BE0809">
    <w:pPr>
      <w:tabs>
        <w:tab w:val="center" w:pos="4320"/>
        <w:tab w:val="right" w:pos="8640"/>
      </w:tabs>
      <w:spacing w:after="0"/>
      <w:rPr>
        <w:rFonts w:ascii="Arial" w:hAnsi="Arial"/>
        <w:sz w:val="12"/>
        <w:szCs w:val="16"/>
      </w:rPr>
    </w:pPr>
  </w:p>
  <w:tbl>
    <w:tblPr>
      <w:tblW w:w="5000" w:type="pct"/>
      <w:tblCellMar>
        <w:left w:w="115" w:type="dxa"/>
        <w:right w:w="115" w:type="dxa"/>
      </w:tblCellMar>
      <w:tblLook w:val="0000" w:firstRow="0" w:lastRow="0" w:firstColumn="0" w:lastColumn="0" w:noHBand="0" w:noVBand="0"/>
    </w:tblPr>
    <w:tblGrid>
      <w:gridCol w:w="5850"/>
      <w:gridCol w:w="3510"/>
    </w:tblGrid>
    <w:tr w:rsidR="00950D77" w:rsidRPr="000E30A7" w14:paraId="74B4B5CC" w14:textId="77777777" w:rsidTr="005E5CB4">
      <w:tc>
        <w:tcPr>
          <w:tcW w:w="3125" w:type="pct"/>
          <w:vAlign w:val="bottom"/>
        </w:tcPr>
        <w:p w14:paraId="6B2056DC" w14:textId="224749EE" w:rsidR="00950D77" w:rsidRPr="000E30A7" w:rsidRDefault="00950D77" w:rsidP="00AE794D">
          <w:pPr>
            <w:pStyle w:val="FooterLft"/>
            <w:rPr>
              <w:lang w:bidi="en-US"/>
            </w:rPr>
          </w:pPr>
          <w:r>
            <w:rPr>
              <w:lang w:bidi="en-US"/>
            </w:rPr>
            <w:t>Reclamation Benchmark</w:t>
          </w:r>
        </w:p>
      </w:tc>
      <w:tc>
        <w:tcPr>
          <w:tcW w:w="1875" w:type="pct"/>
        </w:tcPr>
        <w:p w14:paraId="52B129D6" w14:textId="64A0BD99" w:rsidR="00950D77" w:rsidRDefault="00147058" w:rsidP="00BE0809">
          <w:pPr>
            <w:pStyle w:val="FooterRt"/>
            <w:rPr>
              <w:noProof/>
            </w:rPr>
          </w:pPr>
          <w:r>
            <w:rPr>
              <w:noProof/>
            </w:rPr>
            <w:t>1</w:t>
          </w:r>
          <w:r w:rsidR="00950D77">
            <w:rPr>
              <w:noProof/>
            </w:rPr>
            <w:t>-</w:t>
          </w:r>
          <w:r w:rsidR="00950D77" w:rsidRPr="000E30A7">
            <w:rPr>
              <w:noProof/>
            </w:rPr>
            <w:fldChar w:fldCharType="begin"/>
          </w:r>
          <w:r w:rsidR="00950D77" w:rsidRPr="000E30A7">
            <w:rPr>
              <w:noProof/>
            </w:rPr>
            <w:instrText xml:space="preserve"> PAGE </w:instrText>
          </w:r>
          <w:r w:rsidR="00950D77" w:rsidRPr="000E30A7">
            <w:rPr>
              <w:noProof/>
            </w:rPr>
            <w:fldChar w:fldCharType="separate"/>
          </w:r>
          <w:r w:rsidR="00950D77">
            <w:rPr>
              <w:noProof/>
            </w:rPr>
            <w:t>1</w:t>
          </w:r>
          <w:r w:rsidR="00950D77" w:rsidRPr="000E30A7">
            <w:rPr>
              <w:noProof/>
            </w:rPr>
            <w:fldChar w:fldCharType="end"/>
          </w:r>
        </w:p>
        <w:p w14:paraId="719ED094" w14:textId="77777777" w:rsidR="00950D77" w:rsidRPr="000E30A7" w:rsidRDefault="00950D77" w:rsidP="00BE0809">
          <w:pPr>
            <w:pStyle w:val="FooterRt"/>
            <w:rPr>
              <w:noProof/>
            </w:rPr>
          </w:pPr>
        </w:p>
      </w:tc>
    </w:tr>
    <w:tr w:rsidR="00950D77" w:rsidRPr="000E30A7" w14:paraId="7A983EFE" w14:textId="77777777" w:rsidTr="005E5CB4">
      <w:tc>
        <w:tcPr>
          <w:tcW w:w="3125" w:type="pct"/>
          <w:vAlign w:val="bottom"/>
        </w:tcPr>
        <w:p w14:paraId="53AF5303" w14:textId="77777777" w:rsidR="00950D77" w:rsidRPr="000E30A7" w:rsidRDefault="00950D77" w:rsidP="00BE0809">
          <w:pPr>
            <w:pStyle w:val="FooterLft"/>
            <w:rPr>
              <w:lang w:bidi="en-US"/>
            </w:rPr>
          </w:pPr>
        </w:p>
      </w:tc>
      <w:tc>
        <w:tcPr>
          <w:tcW w:w="1875" w:type="pct"/>
        </w:tcPr>
        <w:p w14:paraId="08107655" w14:textId="05175450" w:rsidR="00950D77" w:rsidRPr="000E30A7" w:rsidRDefault="00950D77" w:rsidP="00BE0809">
          <w:pPr>
            <w:pStyle w:val="FooterRt"/>
            <w:rPr>
              <w:noProof/>
            </w:rPr>
          </w:pPr>
          <w:r>
            <w:rPr>
              <w:noProof/>
            </w:rPr>
            <w:t>July</w:t>
          </w:r>
          <w:r w:rsidRPr="000E30A7">
            <w:rPr>
              <w:noProof/>
            </w:rPr>
            <w:t xml:space="preserve"> 202</w:t>
          </w:r>
          <w:r>
            <w:rPr>
              <w:noProof/>
            </w:rPr>
            <w:t>1</w:t>
          </w:r>
        </w:p>
      </w:tc>
    </w:tr>
  </w:tbl>
  <w:p w14:paraId="3DB5853E" w14:textId="77777777" w:rsidR="00950D77" w:rsidRPr="000E30A7" w:rsidRDefault="00950D77" w:rsidP="00BE0809">
    <w:pPr>
      <w:tabs>
        <w:tab w:val="center" w:pos="4320"/>
        <w:tab w:val="right" w:pos="8640"/>
      </w:tabs>
      <w:spacing w:after="0"/>
      <w:jc w:val="center"/>
      <w:rPr>
        <w:rFonts w:ascii="Arial" w:hAnsi="Arial"/>
        <w:sz w:val="12"/>
        <w:szCs w:val="16"/>
      </w:rPr>
    </w:pPr>
    <w:r>
      <w:rPr>
        <w:rFonts w:ascii="Segoe UI" w:hAnsi="Segoe UI" w:cs="Segoe UI"/>
        <w:b/>
        <w:bCs/>
        <w:noProof/>
        <w:sz w:val="20"/>
        <w:szCs w:val="20"/>
      </w:rPr>
      <w:t xml:space="preserve">Admin </w:t>
    </w:r>
    <w:r w:rsidRPr="000E30A7">
      <w:rPr>
        <w:rFonts w:ascii="Segoe UI" w:hAnsi="Segoe UI" w:cs="Segoe UI"/>
        <w:b/>
        <w:bCs/>
        <w:noProof/>
        <w:sz w:val="20"/>
        <w:szCs w:val="20"/>
      </w:rPr>
      <w:t>Draft—Predecisional Working Document—For Discussion Purposes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9B696" w14:textId="77777777" w:rsidR="001917C5" w:rsidRDefault="001917C5">
      <w:r>
        <w:separator/>
      </w:r>
    </w:p>
  </w:footnote>
  <w:footnote w:type="continuationSeparator" w:id="0">
    <w:p w14:paraId="40474D64" w14:textId="77777777" w:rsidR="001917C5" w:rsidRDefault="001917C5">
      <w:r>
        <w:continuationSeparator/>
      </w:r>
    </w:p>
    <w:p w14:paraId="0A70BA57" w14:textId="77777777" w:rsidR="001917C5" w:rsidRDefault="001917C5"/>
  </w:footnote>
  <w:footnote w:type="continuationNotice" w:id="1">
    <w:p w14:paraId="78F7F707" w14:textId="77777777" w:rsidR="001917C5" w:rsidRDefault="001917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115" w:type="dxa"/>
        <w:right w:w="115" w:type="dxa"/>
      </w:tblCellMar>
      <w:tblLook w:val="0000" w:firstRow="0" w:lastRow="0" w:firstColumn="0" w:lastColumn="0" w:noHBand="0" w:noVBand="0"/>
    </w:tblPr>
    <w:tblGrid>
      <w:gridCol w:w="4680"/>
      <w:gridCol w:w="4680"/>
    </w:tblGrid>
    <w:tr w:rsidR="00950D77" w:rsidRPr="001B04F9" w14:paraId="0395BBD3" w14:textId="77777777" w:rsidTr="005E5CB4">
      <w:tc>
        <w:tcPr>
          <w:tcW w:w="2500" w:type="pct"/>
        </w:tcPr>
        <w:p w14:paraId="1C2988C6" w14:textId="77777777" w:rsidR="00950D77" w:rsidRPr="001B04F9" w:rsidRDefault="00950D77" w:rsidP="001B04F9">
          <w:pPr>
            <w:pStyle w:val="HeaderLeft"/>
            <w:spacing w:after="0"/>
          </w:pPr>
        </w:p>
      </w:tc>
      <w:tc>
        <w:tcPr>
          <w:tcW w:w="2500" w:type="pct"/>
        </w:tcPr>
        <w:p w14:paraId="0070D486" w14:textId="1573C39E" w:rsidR="00950D77" w:rsidRPr="001B04F9" w:rsidRDefault="00950D77" w:rsidP="001B04F9">
          <w:pPr>
            <w:pStyle w:val="HeaderRight"/>
            <w:spacing w:after="0"/>
            <w:rPr>
              <w:szCs w:val="20"/>
            </w:rPr>
          </w:pPr>
          <w:r w:rsidRPr="001B04F9">
            <w:rPr>
              <w:szCs w:val="20"/>
            </w:rPr>
            <w:fldChar w:fldCharType="begin"/>
          </w:r>
          <w:r w:rsidRPr="001B04F9">
            <w:rPr>
              <w:szCs w:val="20"/>
            </w:rPr>
            <w:instrText xml:space="preserve"> STYLEREF  "Heading 1"  \* MERGEFORMAT </w:instrText>
          </w:r>
          <w:r w:rsidRPr="001B04F9">
            <w:rPr>
              <w:szCs w:val="20"/>
            </w:rPr>
            <w:fldChar w:fldCharType="separate"/>
          </w:r>
          <w:r w:rsidR="00147058">
            <w:rPr>
              <w:szCs w:val="20"/>
            </w:rPr>
            <w:t>Attachment 1 Model Assumptions</w:t>
          </w:r>
          <w:r w:rsidRPr="001B04F9">
            <w:rPr>
              <w:szCs w:val="20"/>
            </w:rPr>
            <w:fldChar w:fldCharType="end"/>
          </w:r>
        </w:p>
      </w:tc>
    </w:tr>
  </w:tbl>
  <w:p w14:paraId="22534866" w14:textId="77777777" w:rsidR="00950D77" w:rsidRPr="00090405" w:rsidRDefault="00950D77" w:rsidP="001B04F9">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3546"/>
    <w:multiLevelType w:val="hybridMultilevel"/>
    <w:tmpl w:val="426A52D8"/>
    <w:lvl w:ilvl="0" w:tplc="B37C2DC2">
      <w:start w:val="1"/>
      <w:numFmt w:val="bullet"/>
      <w:pStyle w:val="BlockListBullet2"/>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323C4"/>
    <w:multiLevelType w:val="multilevel"/>
    <w:tmpl w:val="5D1EE540"/>
    <w:lvl w:ilvl="0">
      <w:start w:val="5"/>
      <w:numFmt w:val="decimal"/>
      <w:pStyle w:val="Heading1"/>
      <w:lvlText w:val="Appendix %1A"/>
      <w:lvlJc w:val="left"/>
      <w:pPr>
        <w:tabs>
          <w:tab w:val="num" w:pos="2880"/>
        </w:tabs>
        <w:ind w:left="2880" w:hanging="2880"/>
      </w:pPr>
      <w:rPr>
        <w:rFonts w:hint="default"/>
      </w:rPr>
    </w:lvl>
    <w:lvl w:ilvl="1">
      <w:start w:val="1"/>
      <w:numFmt w:val="decimal"/>
      <w:pStyle w:val="Heading2"/>
      <w:lvlText w:val="%2"/>
      <w:lvlJc w:val="left"/>
      <w:pPr>
        <w:tabs>
          <w:tab w:val="num" w:pos="1440"/>
        </w:tabs>
        <w:ind w:left="1440" w:hanging="1440"/>
      </w:pPr>
      <w:rPr>
        <w:rFonts w:hint="default"/>
      </w:rPr>
    </w:lvl>
    <w:lvl w:ilvl="2">
      <w:start w:val="1"/>
      <w:numFmt w:val="decimal"/>
      <w:pStyle w:val="Heading3"/>
      <w:lvlText w:val="%2.%3"/>
      <w:lvlJc w:val="left"/>
      <w:pPr>
        <w:tabs>
          <w:tab w:val="num" w:pos="1440"/>
        </w:tabs>
        <w:ind w:left="1080" w:hanging="1080"/>
      </w:pPr>
      <w:rPr>
        <w:rFonts w:hint="default"/>
      </w:rPr>
    </w:lvl>
    <w:lvl w:ilvl="3">
      <w:start w:val="1"/>
      <w:numFmt w:val="decimal"/>
      <w:pStyle w:val="Heading4"/>
      <w:lvlText w:val="%2.%3.%4"/>
      <w:lvlJc w:val="left"/>
      <w:pPr>
        <w:tabs>
          <w:tab w:val="num" w:pos="1440"/>
        </w:tabs>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283E8F"/>
    <w:multiLevelType w:val="multilevel"/>
    <w:tmpl w:val="382C4A88"/>
    <w:styleLink w:val="ICFJSListBullet"/>
    <w:lvl w:ilvl="0">
      <w:start w:val="1"/>
      <w:numFmt w:val="bullet"/>
      <w:lvlText w:val=""/>
      <w:lvlJc w:val="left"/>
      <w:pPr>
        <w:ind w:left="720" w:hanging="360"/>
      </w:pPr>
      <w:rPr>
        <w:rFonts w:ascii="Wingdings" w:hAnsi="Wingdings" w:hint="default"/>
        <w:b w:val="0"/>
        <w:i w:val="0"/>
        <w:caps w:val="0"/>
        <w:strike w:val="0"/>
        <w:dstrike w:val="0"/>
        <w:vanish w:val="0"/>
        <w:color w:val="auto"/>
        <w:spacing w:val="0"/>
        <w:w w:val="100"/>
        <w:kern w:val="0"/>
        <w:position w:val="0"/>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080"/>
        </w:tabs>
        <w:ind w:left="108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440"/>
        </w:tabs>
        <w:ind w:left="144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1800"/>
        </w:tabs>
        <w:ind w:left="180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2160"/>
        </w:tabs>
        <w:ind w:left="216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520"/>
        </w:tabs>
        <w:ind w:left="252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2880"/>
        </w:tabs>
        <w:ind w:left="288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pPr>
        <w:tabs>
          <w:tab w:val="num" w:pos="3240"/>
        </w:tabs>
        <w:ind w:left="324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3600"/>
        </w:tabs>
        <w:ind w:left="3600" w:hanging="360"/>
      </w:pPr>
      <w:rPr>
        <w:rFonts w:ascii="Wingdings" w:hAnsi="Wingdings" w:hint="default"/>
        <w:b w:val="0"/>
        <w:i w:val="0"/>
        <w:caps w:val="0"/>
        <w:strike w:val="0"/>
        <w:dstrike w:val="0"/>
        <w:vanish w:val="0"/>
        <w:color w:val="auto"/>
        <w:sz w:val="15"/>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8EA2CDF"/>
    <w:multiLevelType w:val="hybridMultilevel"/>
    <w:tmpl w:val="3EB404EE"/>
    <w:lvl w:ilvl="0" w:tplc="970E8F94">
      <w:start w:val="1"/>
      <w:numFmt w:val="bullet"/>
      <w:pStyle w:val="USBR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7083D"/>
    <w:multiLevelType w:val="singleLevel"/>
    <w:tmpl w:val="2316899A"/>
    <w:lvl w:ilvl="0">
      <w:start w:val="1"/>
      <w:numFmt w:val="decimal"/>
      <w:pStyle w:val="Procedure1"/>
      <w:lvlText w:val="[%1]  "/>
      <w:lvlJc w:val="left"/>
      <w:pPr>
        <w:tabs>
          <w:tab w:val="num" w:pos="720"/>
        </w:tabs>
        <w:ind w:left="720" w:hanging="720"/>
      </w:pPr>
      <w:rPr>
        <w:rFonts w:ascii="Times New Roman" w:hAnsi="Times New Roman" w:hint="default"/>
        <w:b/>
        <w:i w:val="0"/>
        <w:sz w:val="24"/>
      </w:rPr>
    </w:lvl>
  </w:abstractNum>
  <w:abstractNum w:abstractNumId="5" w15:restartNumberingAfterBreak="0">
    <w:nsid w:val="0CA41F58"/>
    <w:multiLevelType w:val="multilevel"/>
    <w:tmpl w:val="FD8A2F4C"/>
    <w:lvl w:ilvl="0">
      <w:start w:val="1"/>
      <w:numFmt w:val="bullet"/>
      <w:pStyle w:val="MMListBulletRECIRC"/>
      <w:lvlText w:val=""/>
      <w:lvlJc w:val="left"/>
      <w:pPr>
        <w:ind w:left="1080" w:hanging="360"/>
      </w:pPr>
      <w:rPr>
        <w:rFonts w:ascii="Wingdings" w:hAnsi="Wingdings" w:hint="default"/>
        <w:b w:val="0"/>
        <w:i w:val="0"/>
        <w:caps w:val="0"/>
        <w:strike w:val="0"/>
        <w:dstrike w:val="0"/>
        <w:vanish w:val="0"/>
        <w:color w:val="auto"/>
        <w:spacing w:val="0"/>
        <w:w w:val="100"/>
        <w:kern w:val="0"/>
        <w:position w:val="0"/>
        <w:sz w:val="15"/>
        <w:szCs w:val="15"/>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8C60B1"/>
    <w:multiLevelType w:val="hybridMultilevel"/>
    <w:tmpl w:val="6AEEB5EE"/>
    <w:lvl w:ilvl="0" w:tplc="E8ACA99A">
      <w:start w:val="1"/>
      <w:numFmt w:val="bullet"/>
      <w:pStyle w:val="Bullet"/>
      <w:lvlText w:val=""/>
      <w:lvlJc w:val="left"/>
      <w:pPr>
        <w:tabs>
          <w:tab w:val="num" w:pos="720"/>
        </w:tabs>
        <w:ind w:left="720" w:hanging="360"/>
      </w:pPr>
      <w:rPr>
        <w:rFonts w:ascii="Symbol" w:hAnsi="Symbol" w:hint="default"/>
        <w:b w:val="0"/>
        <w:i w:val="0"/>
        <w:color w:val="auto"/>
        <w:sz w:val="22"/>
      </w:rPr>
    </w:lvl>
    <w:lvl w:ilvl="1" w:tplc="1F66EF7C">
      <w:start w:val="1"/>
      <w:numFmt w:val="bullet"/>
      <w:lvlText w:val="o"/>
      <w:lvlJc w:val="left"/>
      <w:pPr>
        <w:tabs>
          <w:tab w:val="num" w:pos="1440"/>
        </w:tabs>
        <w:ind w:left="1440" w:hanging="360"/>
      </w:pPr>
      <w:rPr>
        <w:rFonts w:ascii="Courier New" w:hAnsi="Courier New" w:hint="default"/>
      </w:rPr>
    </w:lvl>
    <w:lvl w:ilvl="2" w:tplc="28941DA6">
      <w:start w:val="1"/>
      <w:numFmt w:val="bullet"/>
      <w:lvlText w:val=""/>
      <w:lvlJc w:val="left"/>
      <w:pPr>
        <w:tabs>
          <w:tab w:val="num" w:pos="2160"/>
        </w:tabs>
        <w:ind w:left="2160" w:hanging="360"/>
      </w:pPr>
      <w:rPr>
        <w:rFonts w:ascii="Wingdings" w:hAnsi="Wingdings" w:hint="default"/>
      </w:rPr>
    </w:lvl>
    <w:lvl w:ilvl="3" w:tplc="F26CD1FE">
      <w:start w:val="1"/>
      <w:numFmt w:val="bullet"/>
      <w:lvlText w:val=""/>
      <w:lvlJc w:val="left"/>
      <w:pPr>
        <w:tabs>
          <w:tab w:val="num" w:pos="2880"/>
        </w:tabs>
        <w:ind w:left="2880" w:hanging="360"/>
      </w:pPr>
      <w:rPr>
        <w:rFonts w:ascii="Symbol" w:hAnsi="Symbol" w:hint="default"/>
      </w:rPr>
    </w:lvl>
    <w:lvl w:ilvl="4" w:tplc="764CDC5A">
      <w:start w:val="1"/>
      <w:numFmt w:val="bullet"/>
      <w:lvlText w:val="o"/>
      <w:lvlJc w:val="left"/>
      <w:pPr>
        <w:tabs>
          <w:tab w:val="num" w:pos="3600"/>
        </w:tabs>
        <w:ind w:left="3600" w:hanging="360"/>
      </w:pPr>
      <w:rPr>
        <w:rFonts w:ascii="Courier New" w:hAnsi="Courier New" w:hint="default"/>
      </w:rPr>
    </w:lvl>
    <w:lvl w:ilvl="5" w:tplc="22FA198A">
      <w:start w:val="1"/>
      <w:numFmt w:val="bullet"/>
      <w:lvlText w:val=""/>
      <w:lvlJc w:val="left"/>
      <w:pPr>
        <w:tabs>
          <w:tab w:val="num" w:pos="4320"/>
        </w:tabs>
        <w:ind w:left="4320" w:hanging="360"/>
      </w:pPr>
      <w:rPr>
        <w:rFonts w:ascii="Wingdings" w:hAnsi="Wingdings" w:hint="default"/>
      </w:rPr>
    </w:lvl>
    <w:lvl w:ilvl="6" w:tplc="4C0CFAC0">
      <w:start w:val="1"/>
      <w:numFmt w:val="bullet"/>
      <w:lvlText w:val=""/>
      <w:lvlJc w:val="left"/>
      <w:pPr>
        <w:tabs>
          <w:tab w:val="num" w:pos="5040"/>
        </w:tabs>
        <w:ind w:left="5040" w:hanging="360"/>
      </w:pPr>
      <w:rPr>
        <w:rFonts w:ascii="Symbol" w:hAnsi="Symbol" w:hint="default"/>
      </w:rPr>
    </w:lvl>
    <w:lvl w:ilvl="7" w:tplc="231C59C0">
      <w:start w:val="1"/>
      <w:numFmt w:val="bullet"/>
      <w:lvlText w:val="o"/>
      <w:lvlJc w:val="left"/>
      <w:pPr>
        <w:tabs>
          <w:tab w:val="num" w:pos="5760"/>
        </w:tabs>
        <w:ind w:left="5760" w:hanging="360"/>
      </w:pPr>
      <w:rPr>
        <w:rFonts w:ascii="Courier New" w:hAnsi="Courier New" w:hint="default"/>
      </w:rPr>
    </w:lvl>
    <w:lvl w:ilvl="8" w:tplc="6E6C9E4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1D2224"/>
    <w:multiLevelType w:val="multilevel"/>
    <w:tmpl w:val="00F865D8"/>
    <w:styleLink w:val="Style2"/>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66"/>
        </w:tabs>
        <w:ind w:left="1170" w:hanging="720"/>
      </w:pPr>
      <w:rPr>
        <w:rFonts w:hint="default"/>
        <w:b/>
      </w:rPr>
    </w:lvl>
    <w:lvl w:ilvl="3">
      <w:start w:val="1"/>
      <w:numFmt w:val="decimal"/>
      <w:lvlText w:val="%1.%2.%3.%4"/>
      <w:lvlJc w:val="left"/>
      <w:pPr>
        <w:tabs>
          <w:tab w:val="num" w:pos="864"/>
        </w:tabs>
        <w:ind w:left="864" w:hanging="418"/>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2950D3C"/>
    <w:multiLevelType w:val="multilevel"/>
    <w:tmpl w:val="40849C34"/>
    <w:styleLink w:val="Style1"/>
    <w:lvl w:ilvl="0">
      <w:start w:val="3"/>
      <w:numFmt w:val="decimal"/>
      <w:suff w:val="nothing"/>
      <w:lvlText w:val="Chapter %1"/>
      <w:lvlJc w:val="right"/>
      <w:pPr>
        <w:ind w:left="0" w:firstLine="0"/>
      </w:pPr>
      <w:rPr>
        <w:rFonts w:hint="default"/>
      </w:rPr>
    </w:lvl>
    <w:lvl w:ilvl="1">
      <w:start w:val="1"/>
      <w:numFmt w:val="decimal"/>
      <w:suff w:val="nothing"/>
      <w:lvlText w:val="Section %1.%2"/>
      <w:lvlJc w:val="right"/>
      <w:pPr>
        <w:ind w:left="0" w:firstLine="0"/>
      </w:pPr>
      <w:rPr>
        <w:rFonts w:hint="default"/>
      </w:rPr>
    </w:lvl>
    <w:lvl w:ilvl="2">
      <w:start w:val="1"/>
      <w:numFmt w:val="decimal"/>
      <w:lvlText w:val="%1.%2.%3"/>
      <w:lvlJc w:val="left"/>
      <w:pPr>
        <w:tabs>
          <w:tab w:val="num" w:pos="1440"/>
        </w:tabs>
        <w:ind w:left="1440" w:hanging="144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2160" w:firstLine="0"/>
      </w:pPr>
      <w:rPr>
        <w:rFonts w:hint="default"/>
      </w:rPr>
    </w:lvl>
    <w:lvl w:ilvl="6">
      <w:start w:val="1"/>
      <w:numFmt w:val="none"/>
      <w:suff w:val="nothing"/>
      <w:lvlText w:val=""/>
      <w:lvlJc w:val="left"/>
      <w:pPr>
        <w:ind w:left="2160" w:firstLine="0"/>
      </w:pPr>
      <w:rPr>
        <w:rFonts w:hint="default"/>
      </w:rPr>
    </w:lvl>
    <w:lvl w:ilvl="7">
      <w:start w:val="1"/>
      <w:numFmt w:val="none"/>
      <w:suff w:val="nothing"/>
      <w:lvlText w:val=""/>
      <w:lvlJc w:val="left"/>
      <w:pPr>
        <w:ind w:left="2160" w:firstLine="0"/>
      </w:pPr>
      <w:rPr>
        <w:rFonts w:hint="default"/>
      </w:rPr>
    </w:lvl>
    <w:lvl w:ilvl="8">
      <w:start w:val="1"/>
      <w:numFmt w:val="none"/>
      <w:suff w:val="nothing"/>
      <w:lvlText w:val=""/>
      <w:lvlJc w:val="left"/>
      <w:pPr>
        <w:ind w:left="2160" w:firstLine="0"/>
      </w:pPr>
      <w:rPr>
        <w:rFonts w:hint="default"/>
      </w:rPr>
    </w:lvl>
  </w:abstractNum>
  <w:abstractNum w:abstractNumId="9" w15:restartNumberingAfterBreak="0">
    <w:nsid w:val="12A169D6"/>
    <w:multiLevelType w:val="multilevel"/>
    <w:tmpl w:val="1D083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C05A94"/>
    <w:multiLevelType w:val="hybridMultilevel"/>
    <w:tmpl w:val="E4D6A36C"/>
    <w:lvl w:ilvl="0" w:tplc="FC8ABEF6">
      <w:start w:val="1"/>
      <w:numFmt w:val="bullet"/>
      <w:pStyle w:val="MMListBullet2"/>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8160A"/>
    <w:multiLevelType w:val="hybridMultilevel"/>
    <w:tmpl w:val="41749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92265A8"/>
    <w:multiLevelType w:val="multilevel"/>
    <w:tmpl w:val="C116E57C"/>
    <w:styleLink w:val="ICFJSSection1"/>
    <w:lvl w:ilvl="0">
      <w:start w:val="1"/>
      <w:numFmt w:val="bullet"/>
      <w:lvlText w:val=""/>
      <w:lvlJc w:val="left"/>
      <w:pPr>
        <w:tabs>
          <w:tab w:val="num" w:pos="187"/>
        </w:tabs>
        <w:ind w:left="187" w:hanging="187"/>
      </w:pPr>
      <w:rPr>
        <w:rFonts w:ascii="Symbol" w:hAnsi="Symbol" w:hint="default"/>
        <w:b w:val="0"/>
        <w:i w:val="0"/>
        <w:sz w:val="16"/>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9B62056"/>
    <w:multiLevelType w:val="singleLevel"/>
    <w:tmpl w:val="489ABAFC"/>
    <w:lvl w:ilvl="0">
      <w:start w:val="1"/>
      <w:numFmt w:val="bullet"/>
      <w:lvlText w:val=""/>
      <w:lvlJc w:val="left"/>
      <w:pPr>
        <w:ind w:left="360" w:hanging="360"/>
      </w:pPr>
      <w:rPr>
        <w:rFonts w:ascii="Wingdings" w:hAnsi="Wingdings" w:hint="default"/>
        <w:b w:val="0"/>
        <w:i w:val="0"/>
        <w:caps w:val="0"/>
        <w:strike w:val="0"/>
        <w:dstrike w:val="0"/>
        <w:vanish w:val="0"/>
        <w:color w:val="auto"/>
        <w:spacing w:val="0"/>
        <w:w w:val="100"/>
        <w:kern w:val="0"/>
        <w:position w:val="0"/>
        <w:sz w:val="17"/>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1AA97DBC"/>
    <w:multiLevelType w:val="multilevel"/>
    <w:tmpl w:val="FCA4E822"/>
    <w:lvl w:ilvl="0">
      <w:start w:val="1"/>
      <w:numFmt w:val="decimal"/>
      <w:pStyle w:val="TableCaption"/>
      <w:suff w:val="space"/>
      <w:lvlText w:val="Table %1."/>
      <w:lvlJc w:val="left"/>
      <w:pPr>
        <w:ind w:left="360" w:firstLine="0"/>
      </w:pPr>
      <w:rPr>
        <w:rFonts w:ascii="Times New Roman" w:hAnsi="Times New Roman" w:hint="default"/>
        <w:b w:val="0"/>
        <w:i/>
        <w:caps w:val="0"/>
        <w:strike w:val="0"/>
        <w:dstrike w:val="0"/>
        <w:vanish w:val="0"/>
        <w:color w:val="000000"/>
        <w:sz w:val="22"/>
        <w:u w:val="none"/>
        <w:vertAlign w:val="baseline"/>
      </w:rPr>
    </w:lvl>
    <w:lvl w:ilvl="1">
      <w:start w:val="1"/>
      <w:numFmt w:val="decimal"/>
      <w:lvlText w:val="%1.%2."/>
      <w:lvlJc w:val="left"/>
      <w:pPr>
        <w:tabs>
          <w:tab w:val="num" w:pos="-2538"/>
        </w:tabs>
        <w:ind w:left="-2538" w:hanging="432"/>
      </w:pPr>
      <w:rPr>
        <w:rFonts w:hint="default"/>
      </w:rPr>
    </w:lvl>
    <w:lvl w:ilvl="2">
      <w:start w:val="1"/>
      <w:numFmt w:val="decimal"/>
      <w:lvlText w:val="%2.1.%3."/>
      <w:lvlJc w:val="left"/>
      <w:pPr>
        <w:tabs>
          <w:tab w:val="num" w:pos="-1890"/>
        </w:tabs>
        <w:ind w:left="-1890" w:hanging="720"/>
      </w:pPr>
      <w:rPr>
        <w:rFonts w:hint="default"/>
      </w:rPr>
    </w:lvl>
    <w:lvl w:ilvl="3">
      <w:start w:val="1"/>
      <w:numFmt w:val="decimal"/>
      <w:lvlText w:val="%1.%2.%3.%4."/>
      <w:lvlJc w:val="left"/>
      <w:pPr>
        <w:tabs>
          <w:tab w:val="num" w:pos="-1530"/>
        </w:tabs>
        <w:ind w:left="-1890" w:hanging="720"/>
      </w:pPr>
      <w:rPr>
        <w:rFonts w:hint="default"/>
      </w:rPr>
    </w:lvl>
    <w:lvl w:ilvl="4">
      <w:start w:val="1"/>
      <w:numFmt w:val="decimal"/>
      <w:lvlText w:val="%1.%2.%3.%4.%5."/>
      <w:lvlJc w:val="left"/>
      <w:pPr>
        <w:tabs>
          <w:tab w:val="num" w:pos="-522"/>
        </w:tabs>
        <w:ind w:left="-810" w:hanging="792"/>
      </w:pPr>
      <w:rPr>
        <w:rFonts w:hint="default"/>
      </w:rPr>
    </w:lvl>
    <w:lvl w:ilvl="5">
      <w:start w:val="1"/>
      <w:numFmt w:val="decimal"/>
      <w:lvlText w:val="%1.%2.%3.%4.%5.%6."/>
      <w:lvlJc w:val="left"/>
      <w:pPr>
        <w:tabs>
          <w:tab w:val="num" w:pos="-162"/>
        </w:tabs>
        <w:ind w:left="-306" w:hanging="936"/>
      </w:pPr>
      <w:rPr>
        <w:rFonts w:hint="default"/>
      </w:rPr>
    </w:lvl>
    <w:lvl w:ilvl="6">
      <w:start w:val="1"/>
      <w:numFmt w:val="decimal"/>
      <w:lvlText w:val="%1.%2.%3.%4.%5.%6.%7."/>
      <w:lvlJc w:val="left"/>
      <w:pPr>
        <w:tabs>
          <w:tab w:val="num" w:pos="558"/>
        </w:tabs>
        <w:ind w:left="198" w:hanging="1080"/>
      </w:pPr>
      <w:rPr>
        <w:rFonts w:hint="default"/>
      </w:rPr>
    </w:lvl>
    <w:lvl w:ilvl="7">
      <w:start w:val="1"/>
      <w:numFmt w:val="decimal"/>
      <w:lvlText w:val="%1.%2.%3.%4.%5.%6.%7.%8."/>
      <w:lvlJc w:val="left"/>
      <w:pPr>
        <w:tabs>
          <w:tab w:val="num" w:pos="918"/>
        </w:tabs>
        <w:ind w:left="702" w:hanging="1224"/>
      </w:pPr>
      <w:rPr>
        <w:rFonts w:hint="default"/>
      </w:rPr>
    </w:lvl>
    <w:lvl w:ilvl="8">
      <w:start w:val="1"/>
      <w:numFmt w:val="decimal"/>
      <w:lvlText w:val="%1.%2.%3.%4.%5.%6.%7.%8.%9."/>
      <w:lvlJc w:val="left"/>
      <w:pPr>
        <w:tabs>
          <w:tab w:val="num" w:pos="1638"/>
        </w:tabs>
        <w:ind w:left="1278" w:hanging="1440"/>
      </w:pPr>
      <w:rPr>
        <w:rFonts w:hint="default"/>
      </w:rPr>
    </w:lvl>
  </w:abstractNum>
  <w:abstractNum w:abstractNumId="15" w15:restartNumberingAfterBreak="0">
    <w:nsid w:val="1AAF5886"/>
    <w:multiLevelType w:val="multilevel"/>
    <w:tmpl w:val="BD4E0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8E75C2"/>
    <w:multiLevelType w:val="multilevel"/>
    <w:tmpl w:val="1396C364"/>
    <w:styleLink w:val="ICFJSNumbered"/>
    <w:lvl w:ilvl="0">
      <w:start w:val="1"/>
      <w:numFmt w:val="bullet"/>
      <w:lvlText w:val=""/>
      <w:lvlJc w:val="left"/>
      <w:pPr>
        <w:ind w:left="0" w:firstLine="0"/>
      </w:pPr>
      <w:rPr>
        <w:rFonts w:ascii="Wingdings" w:hAnsi="Wingdings" w:hint="default"/>
        <w:b/>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1080" w:hanging="1080"/>
      </w:pPr>
      <w:rPr>
        <w:rFonts w:ascii="Calibri" w:hAnsi="Calibri"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1440"/>
      </w:pPr>
      <w:rPr>
        <w:rFonts w:ascii="Calibri" w:hAnsi="Calibri"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800" w:hanging="1800"/>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color w:val="auto"/>
      </w:rPr>
    </w:lvl>
    <w:lvl w:ilvl="8">
      <w:start w:val="1"/>
      <w:numFmt w:val="none"/>
      <w:suff w:val="nothing"/>
      <w:lvlText w:val=""/>
      <w:lvlJc w:val="left"/>
      <w:pPr>
        <w:ind w:left="360" w:firstLine="0"/>
      </w:pPr>
      <w:rPr>
        <w:rFonts w:hint="default"/>
        <w:color w:val="auto"/>
      </w:rPr>
    </w:lvl>
  </w:abstractNum>
  <w:abstractNum w:abstractNumId="17" w15:restartNumberingAfterBreak="0">
    <w:nsid w:val="1FD56983"/>
    <w:multiLevelType w:val="hybridMultilevel"/>
    <w:tmpl w:val="8B7489FC"/>
    <w:lvl w:ilvl="0" w:tplc="05DE50EE">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6320807"/>
    <w:multiLevelType w:val="hybridMultilevel"/>
    <w:tmpl w:val="45821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227F9"/>
    <w:multiLevelType w:val="hybridMultilevel"/>
    <w:tmpl w:val="C214F5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B4C4F0A"/>
    <w:multiLevelType w:val="multilevel"/>
    <w:tmpl w:val="BF42ED66"/>
    <w:styleLink w:val="ICFJSStandard"/>
    <w:lvl w:ilvl="0">
      <w:start w:val="1"/>
      <w:numFmt w:val="decimal"/>
      <w:suff w:val="nothing"/>
      <w:lvlText w:val="Chapter %1"/>
      <w:lvlJc w:val="right"/>
      <w:pPr>
        <w:ind w:left="0" w:firstLine="0"/>
      </w:pPr>
      <w:rPr>
        <w:rFonts w:ascii="Calibri" w:hAnsi="Calibri" w:hint="default"/>
        <w:b w:val="0"/>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21" w15:restartNumberingAfterBreak="0">
    <w:nsid w:val="30AB56A4"/>
    <w:multiLevelType w:val="hybridMultilevel"/>
    <w:tmpl w:val="7FD482E4"/>
    <w:lvl w:ilvl="0" w:tplc="C848E9C4">
      <w:start w:val="1"/>
      <w:numFmt w:val="bullet"/>
      <w:pStyle w:val="ListBullet2"/>
      <w:lvlText w:val="o"/>
      <w:lvlJc w:val="left"/>
      <w:pPr>
        <w:ind w:left="1800" w:hanging="360"/>
      </w:pPr>
      <w:rPr>
        <w:rFonts w:ascii="Courier New" w:hAnsi="Courier New" w:cs="Symbol" w:hint="default"/>
        <w:b w:val="0"/>
        <w:i w:val="0"/>
        <w:color w:val="auto"/>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2E25299"/>
    <w:multiLevelType w:val="hybridMultilevel"/>
    <w:tmpl w:val="D4B82A0E"/>
    <w:lvl w:ilvl="0" w:tplc="736C631E">
      <w:start w:val="1"/>
      <w:numFmt w:val="bullet"/>
      <w:pStyle w:val="sub-bullet"/>
      <w:lvlText w:val="o"/>
      <w:lvlJc w:val="left"/>
      <w:pPr>
        <w:ind w:left="1440" w:hanging="360"/>
      </w:pPr>
      <w:rPr>
        <w:rFonts w:ascii="Courier New" w:hAnsi="Courier New" w:hint="default"/>
      </w:rPr>
    </w:lvl>
    <w:lvl w:ilvl="1" w:tplc="016CF334" w:tentative="1">
      <w:start w:val="1"/>
      <w:numFmt w:val="bullet"/>
      <w:lvlText w:val="o"/>
      <w:lvlJc w:val="left"/>
      <w:pPr>
        <w:ind w:left="2160" w:hanging="360"/>
      </w:pPr>
      <w:rPr>
        <w:rFonts w:ascii="Courier New" w:hAnsi="Courier New" w:hint="default"/>
      </w:rPr>
    </w:lvl>
    <w:lvl w:ilvl="2" w:tplc="A668546E" w:tentative="1">
      <w:start w:val="1"/>
      <w:numFmt w:val="bullet"/>
      <w:lvlText w:val=""/>
      <w:lvlJc w:val="left"/>
      <w:pPr>
        <w:ind w:left="2880" w:hanging="360"/>
      </w:pPr>
      <w:rPr>
        <w:rFonts w:ascii="Wingdings" w:hAnsi="Wingdings" w:hint="default"/>
      </w:rPr>
    </w:lvl>
    <w:lvl w:ilvl="3" w:tplc="912EFDD4" w:tentative="1">
      <w:start w:val="1"/>
      <w:numFmt w:val="bullet"/>
      <w:lvlText w:val=""/>
      <w:lvlJc w:val="left"/>
      <w:pPr>
        <w:ind w:left="3600" w:hanging="360"/>
      </w:pPr>
      <w:rPr>
        <w:rFonts w:ascii="Symbol" w:hAnsi="Symbol" w:hint="default"/>
      </w:rPr>
    </w:lvl>
    <w:lvl w:ilvl="4" w:tplc="565ED7D0" w:tentative="1">
      <w:start w:val="1"/>
      <w:numFmt w:val="bullet"/>
      <w:lvlText w:val="o"/>
      <w:lvlJc w:val="left"/>
      <w:pPr>
        <w:ind w:left="4320" w:hanging="360"/>
      </w:pPr>
      <w:rPr>
        <w:rFonts w:ascii="Courier New" w:hAnsi="Courier New" w:hint="default"/>
      </w:rPr>
    </w:lvl>
    <w:lvl w:ilvl="5" w:tplc="CC4C0D2A" w:tentative="1">
      <w:start w:val="1"/>
      <w:numFmt w:val="bullet"/>
      <w:lvlText w:val=""/>
      <w:lvlJc w:val="left"/>
      <w:pPr>
        <w:ind w:left="5040" w:hanging="360"/>
      </w:pPr>
      <w:rPr>
        <w:rFonts w:ascii="Wingdings" w:hAnsi="Wingdings" w:hint="default"/>
      </w:rPr>
    </w:lvl>
    <w:lvl w:ilvl="6" w:tplc="49C46512" w:tentative="1">
      <w:start w:val="1"/>
      <w:numFmt w:val="bullet"/>
      <w:lvlText w:val=""/>
      <w:lvlJc w:val="left"/>
      <w:pPr>
        <w:ind w:left="5760" w:hanging="360"/>
      </w:pPr>
      <w:rPr>
        <w:rFonts w:ascii="Symbol" w:hAnsi="Symbol" w:hint="default"/>
      </w:rPr>
    </w:lvl>
    <w:lvl w:ilvl="7" w:tplc="0484A67C" w:tentative="1">
      <w:start w:val="1"/>
      <w:numFmt w:val="bullet"/>
      <w:lvlText w:val="o"/>
      <w:lvlJc w:val="left"/>
      <w:pPr>
        <w:ind w:left="6480" w:hanging="360"/>
      </w:pPr>
      <w:rPr>
        <w:rFonts w:ascii="Courier New" w:hAnsi="Courier New" w:hint="default"/>
      </w:rPr>
    </w:lvl>
    <w:lvl w:ilvl="8" w:tplc="4E441DB8" w:tentative="1">
      <w:start w:val="1"/>
      <w:numFmt w:val="bullet"/>
      <w:lvlText w:val=""/>
      <w:lvlJc w:val="left"/>
      <w:pPr>
        <w:ind w:left="7200" w:hanging="360"/>
      </w:pPr>
      <w:rPr>
        <w:rFonts w:ascii="Wingdings" w:hAnsi="Wingdings" w:hint="default"/>
      </w:rPr>
    </w:lvl>
  </w:abstractNum>
  <w:abstractNum w:abstractNumId="23" w15:restartNumberingAfterBreak="0">
    <w:nsid w:val="338F27A0"/>
    <w:multiLevelType w:val="hybridMultilevel"/>
    <w:tmpl w:val="C00C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E37B26"/>
    <w:multiLevelType w:val="multilevel"/>
    <w:tmpl w:val="1D8CED56"/>
    <w:numStyleLink w:val="ICFJSStandard2"/>
  </w:abstractNum>
  <w:abstractNum w:abstractNumId="25" w15:restartNumberingAfterBreak="0">
    <w:nsid w:val="45767D59"/>
    <w:multiLevelType w:val="hybridMultilevel"/>
    <w:tmpl w:val="10E21D32"/>
    <w:lvl w:ilvl="0" w:tplc="04090001">
      <w:start w:val="1"/>
      <w:numFmt w:val="bullet"/>
      <w:pStyle w:val="TableBullet2"/>
      <w:lvlText w:val=""/>
      <w:lvlJc w:val="left"/>
      <w:pPr>
        <w:ind w:left="720" w:hanging="360"/>
      </w:pPr>
      <w:rPr>
        <w:rFonts w:ascii="Wingdings" w:hAnsi="Wingdings" w:hint="default"/>
        <w:b w:val="0"/>
        <w:i w:val="0"/>
        <w:caps w:val="0"/>
        <w:strike w:val="0"/>
        <w:dstrike w:val="0"/>
        <w:vanish w:val="0"/>
        <w:color w:val="auto"/>
        <w:spacing w:val="0"/>
        <w:w w:val="100"/>
        <w:kern w:val="0"/>
        <w:position w:val="0"/>
        <w:sz w:val="1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2937E2"/>
    <w:multiLevelType w:val="multilevel"/>
    <w:tmpl w:val="75829270"/>
    <w:lvl w:ilvl="0">
      <w:start w:val="1"/>
      <w:numFmt w:val="none"/>
      <w:pStyle w:val="Heading"/>
      <w:suff w:val="nothing"/>
      <w:lvlText w:val="%1"/>
      <w:lvlJc w:val="left"/>
      <w:pPr>
        <w:ind w:left="0" w:firstLine="0"/>
      </w:pPr>
      <w:rPr>
        <w:rFonts w:ascii="Arial" w:hAnsi="Arial" w:hint="default"/>
        <w:b/>
        <w:i w:val="0"/>
        <w:sz w:val="22"/>
      </w:rPr>
    </w:lvl>
    <w:lvl w:ilvl="1">
      <w:start w:val="1"/>
      <w:numFmt w:val="none"/>
      <w:lvlText w:val="%2"/>
      <w:lvlJc w:val="left"/>
      <w:pPr>
        <w:tabs>
          <w:tab w:val="num" w:pos="360"/>
        </w:tabs>
        <w:ind w:left="0" w:firstLine="0"/>
      </w:pPr>
      <w:rPr>
        <w:rFonts w:ascii="Arial" w:hAnsi="Arial" w:hint="default"/>
        <w:b/>
        <w:i w:val="0"/>
        <w:sz w:val="22"/>
      </w:rPr>
    </w:lvl>
    <w:lvl w:ilvl="2">
      <w:start w:val="1"/>
      <w:numFmt w:val="none"/>
      <w:lvlText w:val=""/>
      <w:lvlJc w:val="left"/>
      <w:pPr>
        <w:tabs>
          <w:tab w:val="num" w:pos="360"/>
        </w:tabs>
        <w:ind w:left="0" w:firstLine="0"/>
      </w:pPr>
      <w:rPr>
        <w:rFonts w:ascii="Arial" w:hAnsi="Arial" w:hint="default"/>
        <w:b/>
        <w:i w:val="0"/>
        <w:sz w:val="22"/>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59F0406"/>
    <w:multiLevelType w:val="multilevel"/>
    <w:tmpl w:val="F80CAE12"/>
    <w:styleLink w:val="ICFJSListNumber"/>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77D30FA"/>
    <w:multiLevelType w:val="multilevel"/>
    <w:tmpl w:val="02FA955E"/>
    <w:styleLink w:val="ICFJSListBullet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0E15C5A"/>
    <w:multiLevelType w:val="multilevel"/>
    <w:tmpl w:val="8402C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FC1B80"/>
    <w:multiLevelType w:val="hybridMultilevel"/>
    <w:tmpl w:val="87A448C4"/>
    <w:lvl w:ilvl="0" w:tplc="1C402C2E">
      <w:start w:val="1"/>
      <w:numFmt w:val="bullet"/>
      <w:pStyle w:val="USBRbullet1la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A86C9C"/>
    <w:multiLevelType w:val="hybridMultilevel"/>
    <w:tmpl w:val="C9DE04E8"/>
    <w:lvl w:ilvl="0" w:tplc="04090001">
      <w:start w:val="1"/>
      <w:numFmt w:val="bullet"/>
      <w:pStyle w:val="MMListBullet"/>
      <w:lvlText w:val=""/>
      <w:lvlJc w:val="left"/>
      <w:pPr>
        <w:ind w:left="1080" w:hanging="360"/>
      </w:pPr>
      <w:rPr>
        <w:rFonts w:ascii="Wingdings" w:hAnsi="Wingdings" w:hint="default"/>
        <w:b w:val="0"/>
        <w:i w:val="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01104"/>
    <w:multiLevelType w:val="hybridMultilevel"/>
    <w:tmpl w:val="24508E5E"/>
    <w:lvl w:ilvl="0" w:tplc="49082DA2">
      <w:start w:val="1"/>
      <w:numFmt w:val="bullet"/>
      <w:pStyle w:val="ListBullet"/>
      <w:lvlText w:val=""/>
      <w:lvlJc w:val="left"/>
      <w:pPr>
        <w:ind w:left="1440" w:hanging="360"/>
      </w:pPr>
      <w:rPr>
        <w:rFonts w:ascii="Symbol" w:hAnsi="Symbol" w:hint="default"/>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726759"/>
    <w:multiLevelType w:val="hybridMultilevel"/>
    <w:tmpl w:val="F6B6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294A8B"/>
    <w:multiLevelType w:val="multilevel"/>
    <w:tmpl w:val="1D8CED56"/>
    <w:styleLink w:val="ICFJSStandard2"/>
    <w:lvl w:ilvl="0">
      <w:start w:val="3"/>
      <w:numFmt w:val="decimal"/>
      <w:suff w:val="nothing"/>
      <w:lvlText w:val="Chapter %1"/>
      <w:lvlJc w:val="right"/>
      <w:pPr>
        <w:ind w:left="0" w:firstLine="0"/>
      </w:pPr>
      <w:rPr>
        <w:rFonts w:ascii="Calibri" w:hAnsi="Calibri" w:hint="default"/>
        <w:b w:val="0"/>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2160"/>
        </w:tabs>
        <w:ind w:left="2160" w:hanging="180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35" w15:restartNumberingAfterBreak="0">
    <w:nsid w:val="727F4963"/>
    <w:multiLevelType w:val="singleLevel"/>
    <w:tmpl w:val="C94CFC72"/>
    <w:lvl w:ilvl="0">
      <w:start w:val="1"/>
      <w:numFmt w:val="bullet"/>
      <w:pStyle w:val="ListBulletLast"/>
      <w:lvlText w:val=""/>
      <w:lvlJc w:val="left"/>
      <w:pPr>
        <w:tabs>
          <w:tab w:val="num" w:pos="360"/>
        </w:tabs>
        <w:ind w:left="360" w:hanging="360"/>
      </w:pPr>
      <w:rPr>
        <w:rFonts w:ascii="Symbol" w:hAnsi="Symbol" w:hint="default"/>
      </w:rPr>
    </w:lvl>
  </w:abstractNum>
  <w:abstractNum w:abstractNumId="36" w15:restartNumberingAfterBreak="0">
    <w:nsid w:val="74B46E13"/>
    <w:multiLevelType w:val="hybridMultilevel"/>
    <w:tmpl w:val="A85EA4B0"/>
    <w:lvl w:ilvl="0" w:tplc="21F2CBFE">
      <w:start w:val="1"/>
      <w:numFmt w:val="bullet"/>
      <w:pStyle w:val="BlockListBullet"/>
      <w:lvlText w:val=""/>
      <w:lvlJc w:val="left"/>
      <w:pPr>
        <w:ind w:left="1080" w:hanging="360"/>
      </w:pPr>
      <w:rPr>
        <w:rFonts w:ascii="Wingdings" w:hAnsi="Wingdings" w:hint="default"/>
        <w:b w:val="0"/>
        <w:i w:val="0"/>
        <w:sz w:val="17"/>
      </w:rPr>
    </w:lvl>
    <w:lvl w:ilvl="1" w:tplc="7A906EEC">
      <w:start w:val="1"/>
      <w:numFmt w:val="bullet"/>
      <w:lvlText w:val="o"/>
      <w:lvlJc w:val="left"/>
      <w:pPr>
        <w:ind w:left="2160" w:hanging="360"/>
      </w:pPr>
      <w:rPr>
        <w:rFonts w:ascii="Courier New" w:hAnsi="Courier New" w:cs="Courier New" w:hint="default"/>
      </w:rPr>
    </w:lvl>
    <w:lvl w:ilvl="2" w:tplc="E60ACDFA" w:tentative="1">
      <w:start w:val="1"/>
      <w:numFmt w:val="bullet"/>
      <w:lvlText w:val=""/>
      <w:lvlJc w:val="left"/>
      <w:pPr>
        <w:ind w:left="2880" w:hanging="360"/>
      </w:pPr>
      <w:rPr>
        <w:rFonts w:ascii="Wingdings" w:hAnsi="Wingdings" w:hint="default"/>
      </w:rPr>
    </w:lvl>
    <w:lvl w:ilvl="3" w:tplc="93B87574" w:tentative="1">
      <w:start w:val="1"/>
      <w:numFmt w:val="bullet"/>
      <w:lvlText w:val=""/>
      <w:lvlJc w:val="left"/>
      <w:pPr>
        <w:ind w:left="3600" w:hanging="360"/>
      </w:pPr>
      <w:rPr>
        <w:rFonts w:ascii="Symbol" w:hAnsi="Symbol" w:hint="default"/>
      </w:rPr>
    </w:lvl>
    <w:lvl w:ilvl="4" w:tplc="4BF438E4" w:tentative="1">
      <w:start w:val="1"/>
      <w:numFmt w:val="bullet"/>
      <w:lvlText w:val="o"/>
      <w:lvlJc w:val="left"/>
      <w:pPr>
        <w:ind w:left="4320" w:hanging="360"/>
      </w:pPr>
      <w:rPr>
        <w:rFonts w:ascii="Courier New" w:hAnsi="Courier New" w:cs="Courier New" w:hint="default"/>
      </w:rPr>
    </w:lvl>
    <w:lvl w:ilvl="5" w:tplc="E152C234" w:tentative="1">
      <w:start w:val="1"/>
      <w:numFmt w:val="bullet"/>
      <w:lvlText w:val=""/>
      <w:lvlJc w:val="left"/>
      <w:pPr>
        <w:ind w:left="5040" w:hanging="360"/>
      </w:pPr>
      <w:rPr>
        <w:rFonts w:ascii="Wingdings" w:hAnsi="Wingdings" w:hint="default"/>
      </w:rPr>
    </w:lvl>
    <w:lvl w:ilvl="6" w:tplc="EB9C6E3E" w:tentative="1">
      <w:start w:val="1"/>
      <w:numFmt w:val="bullet"/>
      <w:lvlText w:val=""/>
      <w:lvlJc w:val="left"/>
      <w:pPr>
        <w:ind w:left="5760" w:hanging="360"/>
      </w:pPr>
      <w:rPr>
        <w:rFonts w:ascii="Symbol" w:hAnsi="Symbol" w:hint="default"/>
      </w:rPr>
    </w:lvl>
    <w:lvl w:ilvl="7" w:tplc="AAD080F4" w:tentative="1">
      <w:start w:val="1"/>
      <w:numFmt w:val="bullet"/>
      <w:lvlText w:val="o"/>
      <w:lvlJc w:val="left"/>
      <w:pPr>
        <w:ind w:left="6480" w:hanging="360"/>
      </w:pPr>
      <w:rPr>
        <w:rFonts w:ascii="Courier New" w:hAnsi="Courier New" w:cs="Courier New" w:hint="default"/>
      </w:rPr>
    </w:lvl>
    <w:lvl w:ilvl="8" w:tplc="75F6D306" w:tentative="1">
      <w:start w:val="1"/>
      <w:numFmt w:val="bullet"/>
      <w:lvlText w:val=""/>
      <w:lvlJc w:val="left"/>
      <w:pPr>
        <w:ind w:left="7200" w:hanging="360"/>
      </w:pPr>
      <w:rPr>
        <w:rFonts w:ascii="Wingdings" w:hAnsi="Wingdings" w:hint="default"/>
      </w:rPr>
    </w:lvl>
  </w:abstractNum>
  <w:num w:numId="1">
    <w:abstractNumId w:val="28"/>
  </w:num>
  <w:num w:numId="2">
    <w:abstractNumId w:val="2"/>
  </w:num>
  <w:num w:numId="3">
    <w:abstractNumId w:val="35"/>
  </w:num>
  <w:num w:numId="4">
    <w:abstractNumId w:val="27"/>
  </w:num>
  <w:num w:numId="5">
    <w:abstractNumId w:val="12"/>
  </w:num>
  <w:num w:numId="6">
    <w:abstractNumId w:val="20"/>
  </w:num>
  <w:num w:numId="7">
    <w:abstractNumId w:val="34"/>
  </w:num>
  <w:num w:numId="8">
    <w:abstractNumId w:val="8"/>
  </w:num>
  <w:num w:numId="9">
    <w:abstractNumId w:val="7"/>
  </w:num>
  <w:num w:numId="10">
    <w:abstractNumId w:val="36"/>
  </w:num>
  <w:num w:numId="11">
    <w:abstractNumId w:val="0"/>
  </w:num>
  <w:num w:numId="12">
    <w:abstractNumId w:val="6"/>
  </w:num>
  <w:num w:numId="13">
    <w:abstractNumId w:val="17"/>
  </w:num>
  <w:num w:numId="14">
    <w:abstractNumId w:val="31"/>
  </w:num>
  <w:num w:numId="15">
    <w:abstractNumId w:val="10"/>
  </w:num>
  <w:num w:numId="16">
    <w:abstractNumId w:val="5"/>
  </w:num>
  <w:num w:numId="17">
    <w:abstractNumId w:val="22"/>
  </w:num>
  <w:num w:numId="18">
    <w:abstractNumId w:val="25"/>
  </w:num>
  <w:num w:numId="19">
    <w:abstractNumId w:val="14"/>
  </w:num>
  <w:num w:numId="20">
    <w:abstractNumId w:val="24"/>
    <w:lvlOverride w:ilvl="0">
      <w:lvl w:ilvl="0">
        <w:start w:val="3"/>
        <w:numFmt w:val="decimal"/>
        <w:suff w:val="nothing"/>
        <w:lvlText w:val="Chapter %1"/>
        <w:lvlJc w:val="right"/>
        <w:pPr>
          <w:ind w:left="0" w:firstLine="0"/>
        </w:pPr>
        <w:rPr>
          <w:rFonts w:hint="default"/>
          <w:b w:val="0"/>
        </w:rPr>
      </w:lvl>
    </w:lvlOverride>
    <w:lvlOverride w:ilvl="1">
      <w:lvl w:ilvl="1">
        <w:start w:val="4"/>
        <w:numFmt w:val="decimal"/>
        <w:lvlText w:val="%1.%2"/>
        <w:lvlJc w:val="left"/>
        <w:pPr>
          <w:tabs>
            <w:tab w:val="num" w:pos="1080"/>
          </w:tabs>
          <w:ind w:left="1080" w:hanging="1080"/>
        </w:pPr>
        <w:rPr>
          <w:rFonts w:hint="default"/>
        </w:rPr>
      </w:lvl>
    </w:lvlOverride>
    <w:lvlOverride w:ilvl="2">
      <w:lvl w:ilvl="2">
        <w:start w:val="2"/>
        <w:numFmt w:val="decimal"/>
        <w:lvlRestart w:val="0"/>
        <w:lvlText w:val="%1.%2.%3"/>
        <w:lvlJc w:val="left"/>
        <w:pPr>
          <w:tabs>
            <w:tab w:val="num" w:pos="1440"/>
          </w:tabs>
          <w:ind w:left="1440" w:hanging="1440"/>
        </w:pPr>
        <w:rPr>
          <w:rFonts w:hint="default"/>
        </w:rPr>
      </w:lvl>
    </w:lvlOverride>
    <w:lvlOverride w:ilvl="3">
      <w:lvl w:ilvl="3">
        <w:start w:val="1"/>
        <w:numFmt w:val="decimal"/>
        <w:lvlText w:val="%1.%2.%3.%4"/>
        <w:lvlJc w:val="left"/>
        <w:pPr>
          <w:tabs>
            <w:tab w:val="num" w:pos="1800"/>
          </w:tabs>
          <w:ind w:left="1800" w:hanging="1800"/>
        </w:pPr>
        <w:rPr>
          <w:rFonts w:hint="default"/>
        </w:rPr>
      </w:lvl>
    </w:lvlOverride>
    <w:lvlOverride w:ilvl="4">
      <w:lvl w:ilvl="4">
        <w:start w:val="1"/>
        <w:numFmt w:val="decimal"/>
        <w:lvlText w:val="%1.%2.%3.%4.%5"/>
        <w:lvlJc w:val="left"/>
        <w:pPr>
          <w:tabs>
            <w:tab w:val="num" w:pos="1800"/>
          </w:tabs>
          <w:ind w:left="1800" w:hanging="1440"/>
        </w:pPr>
        <w:rPr>
          <w:rFonts w:hint="default"/>
        </w:rPr>
      </w:lvl>
    </w:lvlOverride>
    <w:lvlOverride w:ilvl="5">
      <w:lvl w:ilvl="5">
        <w:start w:val="1"/>
        <w:numFmt w:val="none"/>
        <w:pStyle w:val="BlockHeading7"/>
        <w:suff w:val="nothing"/>
        <w:lvlText w:val="%6"/>
        <w:lvlJc w:val="left"/>
        <w:pPr>
          <w:ind w:left="360" w:firstLine="0"/>
        </w:pPr>
        <w:rPr>
          <w:rFonts w:hint="default"/>
        </w:rPr>
      </w:lvl>
    </w:lvlOverride>
    <w:lvlOverride w:ilvl="6">
      <w:lvl w:ilvl="6">
        <w:numFmt w:val="none"/>
        <w:suff w:val="nothing"/>
        <w:lvlText w:val="%7"/>
        <w:lvlJc w:val="left"/>
        <w:pPr>
          <w:ind w:left="360" w:firstLine="0"/>
        </w:pPr>
        <w:rPr>
          <w:rFonts w:hint="default"/>
        </w:rPr>
      </w:lvl>
    </w:lvlOverride>
    <w:lvlOverride w:ilvl="7">
      <w:lvl w:ilvl="7">
        <w:numFmt w:val="none"/>
        <w:suff w:val="nothing"/>
        <w:lvlText w:val="%8"/>
        <w:lvlJc w:val="left"/>
        <w:pPr>
          <w:ind w:left="360" w:firstLine="0"/>
        </w:pPr>
        <w:rPr>
          <w:rFonts w:hint="default"/>
        </w:rPr>
      </w:lvl>
    </w:lvlOverride>
    <w:lvlOverride w:ilvl="8">
      <w:lvl w:ilvl="8">
        <w:numFmt w:val="none"/>
        <w:suff w:val="nothing"/>
        <w:lvlText w:val="%9"/>
        <w:lvlJc w:val="left"/>
        <w:pPr>
          <w:ind w:left="360" w:firstLine="0"/>
        </w:pPr>
        <w:rPr>
          <w:rFonts w:hint="default"/>
        </w:rPr>
      </w:lvl>
    </w:lvlOverride>
  </w:num>
  <w:num w:numId="21">
    <w:abstractNumId w:val="3"/>
  </w:num>
  <w:num w:numId="22">
    <w:abstractNumId w:val="30"/>
  </w:num>
  <w:num w:numId="23">
    <w:abstractNumId w:val="32"/>
  </w:num>
  <w:num w:numId="24">
    <w:abstractNumId w:val="21"/>
  </w:num>
  <w:num w:numId="25">
    <w:abstractNumId w:val="16"/>
  </w:num>
  <w:num w:numId="26">
    <w:abstractNumId w:val="1"/>
  </w:num>
  <w:num w:numId="27">
    <w:abstractNumId w:val="33"/>
  </w:num>
  <w:num w:numId="28">
    <w:abstractNumId w:val="26"/>
  </w:num>
  <w:num w:numId="29">
    <w:abstractNumId w:val="4"/>
  </w:num>
  <w:num w:numId="30">
    <w:abstractNumId w:val="13"/>
  </w:num>
  <w:num w:numId="31">
    <w:abstractNumId w:val="11"/>
  </w:num>
  <w:num w:numId="32">
    <w:abstractNumId w:val="32"/>
  </w:num>
  <w:num w:numId="33">
    <w:abstractNumId w:val="32"/>
  </w:num>
  <w:num w:numId="34">
    <w:abstractNumId w:val="32"/>
  </w:num>
  <w:num w:numId="35">
    <w:abstractNumId w:val="32"/>
  </w:num>
  <w:num w:numId="36">
    <w:abstractNumId w:val="32"/>
  </w:num>
  <w:num w:numId="37">
    <w:abstractNumId w:val="29"/>
  </w:num>
  <w:num w:numId="38">
    <w:abstractNumId w:val="15"/>
  </w:num>
  <w:num w:numId="39">
    <w:abstractNumId w:val="9"/>
  </w:num>
  <w:num w:numId="40">
    <w:abstractNumId w:val="23"/>
  </w:num>
  <w:num w:numId="41">
    <w:abstractNumId w:val="18"/>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AE1"/>
    <w:rsid w:val="00001A88"/>
    <w:rsid w:val="0000225A"/>
    <w:rsid w:val="00002725"/>
    <w:rsid w:val="00005CC9"/>
    <w:rsid w:val="0000643C"/>
    <w:rsid w:val="00007CA1"/>
    <w:rsid w:val="00014D47"/>
    <w:rsid w:val="00015825"/>
    <w:rsid w:val="00017213"/>
    <w:rsid w:val="000175B6"/>
    <w:rsid w:val="00017FDD"/>
    <w:rsid w:val="00021975"/>
    <w:rsid w:val="000237AE"/>
    <w:rsid w:val="00023B02"/>
    <w:rsid w:val="00024631"/>
    <w:rsid w:val="000267C9"/>
    <w:rsid w:val="00027533"/>
    <w:rsid w:val="000276C4"/>
    <w:rsid w:val="000310BB"/>
    <w:rsid w:val="00031A72"/>
    <w:rsid w:val="00032424"/>
    <w:rsid w:val="0003303A"/>
    <w:rsid w:val="000340D2"/>
    <w:rsid w:val="00034B11"/>
    <w:rsid w:val="000369E3"/>
    <w:rsid w:val="00040DA8"/>
    <w:rsid w:val="00041385"/>
    <w:rsid w:val="00041BB5"/>
    <w:rsid w:val="00041EBE"/>
    <w:rsid w:val="000435D3"/>
    <w:rsid w:val="00043771"/>
    <w:rsid w:val="0004395F"/>
    <w:rsid w:val="00043C98"/>
    <w:rsid w:val="000444E1"/>
    <w:rsid w:val="0004494E"/>
    <w:rsid w:val="0004640C"/>
    <w:rsid w:val="00047CCE"/>
    <w:rsid w:val="0005051A"/>
    <w:rsid w:val="00052333"/>
    <w:rsid w:val="0005353A"/>
    <w:rsid w:val="00060240"/>
    <w:rsid w:val="0006265D"/>
    <w:rsid w:val="00063748"/>
    <w:rsid w:val="00063B62"/>
    <w:rsid w:val="00063F3C"/>
    <w:rsid w:val="00066C4F"/>
    <w:rsid w:val="00070717"/>
    <w:rsid w:val="000714DF"/>
    <w:rsid w:val="000733A7"/>
    <w:rsid w:val="0007447C"/>
    <w:rsid w:val="00074516"/>
    <w:rsid w:val="00074D33"/>
    <w:rsid w:val="00076621"/>
    <w:rsid w:val="000810C6"/>
    <w:rsid w:val="00082246"/>
    <w:rsid w:val="000824F2"/>
    <w:rsid w:val="00083BCB"/>
    <w:rsid w:val="0008503F"/>
    <w:rsid w:val="000852E9"/>
    <w:rsid w:val="0008585D"/>
    <w:rsid w:val="0008680C"/>
    <w:rsid w:val="00090405"/>
    <w:rsid w:val="00091619"/>
    <w:rsid w:val="00092061"/>
    <w:rsid w:val="000926B0"/>
    <w:rsid w:val="00095FF7"/>
    <w:rsid w:val="00097162"/>
    <w:rsid w:val="0009738E"/>
    <w:rsid w:val="00097857"/>
    <w:rsid w:val="000A1BBD"/>
    <w:rsid w:val="000A1E6F"/>
    <w:rsid w:val="000A21A2"/>
    <w:rsid w:val="000A254D"/>
    <w:rsid w:val="000A3E54"/>
    <w:rsid w:val="000A40B3"/>
    <w:rsid w:val="000A4D56"/>
    <w:rsid w:val="000A6603"/>
    <w:rsid w:val="000A7503"/>
    <w:rsid w:val="000A7876"/>
    <w:rsid w:val="000B011B"/>
    <w:rsid w:val="000B08DE"/>
    <w:rsid w:val="000B1DB9"/>
    <w:rsid w:val="000B340E"/>
    <w:rsid w:val="000B3842"/>
    <w:rsid w:val="000B38B5"/>
    <w:rsid w:val="000B42CD"/>
    <w:rsid w:val="000B4CD1"/>
    <w:rsid w:val="000B5B00"/>
    <w:rsid w:val="000B664F"/>
    <w:rsid w:val="000B7BE8"/>
    <w:rsid w:val="000C1AB6"/>
    <w:rsid w:val="000C478C"/>
    <w:rsid w:val="000C47E6"/>
    <w:rsid w:val="000D0049"/>
    <w:rsid w:val="000D0220"/>
    <w:rsid w:val="000D1AC0"/>
    <w:rsid w:val="000D1F3B"/>
    <w:rsid w:val="000D34F6"/>
    <w:rsid w:val="000D397C"/>
    <w:rsid w:val="000D4139"/>
    <w:rsid w:val="000D4966"/>
    <w:rsid w:val="000D528C"/>
    <w:rsid w:val="000D56CF"/>
    <w:rsid w:val="000D5C68"/>
    <w:rsid w:val="000D64E2"/>
    <w:rsid w:val="000E0261"/>
    <w:rsid w:val="000E18A8"/>
    <w:rsid w:val="000E1CD4"/>
    <w:rsid w:val="000E30A7"/>
    <w:rsid w:val="000E3FF5"/>
    <w:rsid w:val="000E4AF8"/>
    <w:rsid w:val="000E5CE3"/>
    <w:rsid w:val="000E643F"/>
    <w:rsid w:val="000E6ACC"/>
    <w:rsid w:val="000E6CE7"/>
    <w:rsid w:val="000E714F"/>
    <w:rsid w:val="000E73B0"/>
    <w:rsid w:val="000F030A"/>
    <w:rsid w:val="000F04F2"/>
    <w:rsid w:val="000F11FE"/>
    <w:rsid w:val="000F1BFB"/>
    <w:rsid w:val="000F2984"/>
    <w:rsid w:val="000F2CD5"/>
    <w:rsid w:val="000F45F6"/>
    <w:rsid w:val="000F60DE"/>
    <w:rsid w:val="000F69EA"/>
    <w:rsid w:val="0010082F"/>
    <w:rsid w:val="0010198C"/>
    <w:rsid w:val="00102767"/>
    <w:rsid w:val="001041B9"/>
    <w:rsid w:val="00104861"/>
    <w:rsid w:val="00104A24"/>
    <w:rsid w:val="00104B43"/>
    <w:rsid w:val="001051CA"/>
    <w:rsid w:val="00105F32"/>
    <w:rsid w:val="001060DD"/>
    <w:rsid w:val="001066F1"/>
    <w:rsid w:val="00107593"/>
    <w:rsid w:val="00110C3F"/>
    <w:rsid w:val="00110F41"/>
    <w:rsid w:val="00111CDE"/>
    <w:rsid w:val="00112C50"/>
    <w:rsid w:val="00113D12"/>
    <w:rsid w:val="00117DFA"/>
    <w:rsid w:val="001210A9"/>
    <w:rsid w:val="00121348"/>
    <w:rsid w:val="00121EF7"/>
    <w:rsid w:val="00122663"/>
    <w:rsid w:val="00122C79"/>
    <w:rsid w:val="001237C6"/>
    <w:rsid w:val="00124460"/>
    <w:rsid w:val="0012464C"/>
    <w:rsid w:val="00125828"/>
    <w:rsid w:val="00127935"/>
    <w:rsid w:val="00127F60"/>
    <w:rsid w:val="00127FBB"/>
    <w:rsid w:val="00134AA5"/>
    <w:rsid w:val="00135EBE"/>
    <w:rsid w:val="00136525"/>
    <w:rsid w:val="00136E7A"/>
    <w:rsid w:val="0014132C"/>
    <w:rsid w:val="00142765"/>
    <w:rsid w:val="001429E8"/>
    <w:rsid w:val="00144A4F"/>
    <w:rsid w:val="001463A8"/>
    <w:rsid w:val="00146DCF"/>
    <w:rsid w:val="00147058"/>
    <w:rsid w:val="00147CED"/>
    <w:rsid w:val="0015127B"/>
    <w:rsid w:val="00152480"/>
    <w:rsid w:val="00152A0E"/>
    <w:rsid w:val="0015540A"/>
    <w:rsid w:val="00155916"/>
    <w:rsid w:val="00156B51"/>
    <w:rsid w:val="001574A5"/>
    <w:rsid w:val="00157C08"/>
    <w:rsid w:val="00161676"/>
    <w:rsid w:val="00163D2B"/>
    <w:rsid w:val="001649AD"/>
    <w:rsid w:val="00164E3D"/>
    <w:rsid w:val="00164F3B"/>
    <w:rsid w:val="001676B6"/>
    <w:rsid w:val="001728C3"/>
    <w:rsid w:val="001801D1"/>
    <w:rsid w:val="001814DA"/>
    <w:rsid w:val="00181598"/>
    <w:rsid w:val="00183B28"/>
    <w:rsid w:val="00185210"/>
    <w:rsid w:val="001852B6"/>
    <w:rsid w:val="00186D5A"/>
    <w:rsid w:val="00187388"/>
    <w:rsid w:val="00190D1A"/>
    <w:rsid w:val="00190D90"/>
    <w:rsid w:val="001917C5"/>
    <w:rsid w:val="00192BE1"/>
    <w:rsid w:val="0019316F"/>
    <w:rsid w:val="001932FE"/>
    <w:rsid w:val="00197C57"/>
    <w:rsid w:val="001A1C5F"/>
    <w:rsid w:val="001A1DB4"/>
    <w:rsid w:val="001A3496"/>
    <w:rsid w:val="001A3E63"/>
    <w:rsid w:val="001A4339"/>
    <w:rsid w:val="001A4784"/>
    <w:rsid w:val="001A548F"/>
    <w:rsid w:val="001A6BA3"/>
    <w:rsid w:val="001A6EAE"/>
    <w:rsid w:val="001A7435"/>
    <w:rsid w:val="001B00E5"/>
    <w:rsid w:val="001B04F9"/>
    <w:rsid w:val="001B0750"/>
    <w:rsid w:val="001B19A2"/>
    <w:rsid w:val="001B19E0"/>
    <w:rsid w:val="001B1B72"/>
    <w:rsid w:val="001B2603"/>
    <w:rsid w:val="001B35FB"/>
    <w:rsid w:val="001B4292"/>
    <w:rsid w:val="001B4745"/>
    <w:rsid w:val="001B4A3F"/>
    <w:rsid w:val="001B5079"/>
    <w:rsid w:val="001B633B"/>
    <w:rsid w:val="001B635D"/>
    <w:rsid w:val="001B78D9"/>
    <w:rsid w:val="001B7958"/>
    <w:rsid w:val="001C007D"/>
    <w:rsid w:val="001C00BA"/>
    <w:rsid w:val="001C094E"/>
    <w:rsid w:val="001C2456"/>
    <w:rsid w:val="001C44B8"/>
    <w:rsid w:val="001C44DE"/>
    <w:rsid w:val="001C4584"/>
    <w:rsid w:val="001C4FEE"/>
    <w:rsid w:val="001C568F"/>
    <w:rsid w:val="001C66E7"/>
    <w:rsid w:val="001C67A9"/>
    <w:rsid w:val="001C6E28"/>
    <w:rsid w:val="001C743E"/>
    <w:rsid w:val="001C7A45"/>
    <w:rsid w:val="001C7FB9"/>
    <w:rsid w:val="001D084B"/>
    <w:rsid w:val="001D1A60"/>
    <w:rsid w:val="001D1C14"/>
    <w:rsid w:val="001D2216"/>
    <w:rsid w:val="001D4708"/>
    <w:rsid w:val="001D4FD5"/>
    <w:rsid w:val="001D59AE"/>
    <w:rsid w:val="001D72A4"/>
    <w:rsid w:val="001D7D3B"/>
    <w:rsid w:val="001E0181"/>
    <w:rsid w:val="001E0F71"/>
    <w:rsid w:val="001E1992"/>
    <w:rsid w:val="001E2E25"/>
    <w:rsid w:val="001E2F8F"/>
    <w:rsid w:val="001E3A1A"/>
    <w:rsid w:val="001E4578"/>
    <w:rsid w:val="001E46DE"/>
    <w:rsid w:val="001E694B"/>
    <w:rsid w:val="001E69E7"/>
    <w:rsid w:val="001E6AA4"/>
    <w:rsid w:val="001E7181"/>
    <w:rsid w:val="001E7B11"/>
    <w:rsid w:val="001E7C8A"/>
    <w:rsid w:val="001E7ED4"/>
    <w:rsid w:val="001F1633"/>
    <w:rsid w:val="001F2302"/>
    <w:rsid w:val="001F2B93"/>
    <w:rsid w:val="001F4EAA"/>
    <w:rsid w:val="001F5937"/>
    <w:rsid w:val="001F5AC2"/>
    <w:rsid w:val="001F7F2D"/>
    <w:rsid w:val="00200725"/>
    <w:rsid w:val="002013AA"/>
    <w:rsid w:val="0020527B"/>
    <w:rsid w:val="00207152"/>
    <w:rsid w:val="002101A2"/>
    <w:rsid w:val="002102EE"/>
    <w:rsid w:val="0021110E"/>
    <w:rsid w:val="002113C1"/>
    <w:rsid w:val="002119CD"/>
    <w:rsid w:val="00211F43"/>
    <w:rsid w:val="00212438"/>
    <w:rsid w:val="00212641"/>
    <w:rsid w:val="00212701"/>
    <w:rsid w:val="00212702"/>
    <w:rsid w:val="00213A87"/>
    <w:rsid w:val="00215013"/>
    <w:rsid w:val="00215B5E"/>
    <w:rsid w:val="002160AD"/>
    <w:rsid w:val="002176F0"/>
    <w:rsid w:val="00217AFA"/>
    <w:rsid w:val="00220B67"/>
    <w:rsid w:val="00220F95"/>
    <w:rsid w:val="00221BFE"/>
    <w:rsid w:val="002228C3"/>
    <w:rsid w:val="002247A9"/>
    <w:rsid w:val="00224832"/>
    <w:rsid w:val="0022586D"/>
    <w:rsid w:val="002268B8"/>
    <w:rsid w:val="00226E83"/>
    <w:rsid w:val="0023001A"/>
    <w:rsid w:val="00230697"/>
    <w:rsid w:val="00230A6F"/>
    <w:rsid w:val="00231BD5"/>
    <w:rsid w:val="00232BBE"/>
    <w:rsid w:val="00233272"/>
    <w:rsid w:val="00233DE9"/>
    <w:rsid w:val="00233F23"/>
    <w:rsid w:val="002346F4"/>
    <w:rsid w:val="002347C6"/>
    <w:rsid w:val="00234F56"/>
    <w:rsid w:val="00236724"/>
    <w:rsid w:val="00236A9B"/>
    <w:rsid w:val="00236C50"/>
    <w:rsid w:val="00237984"/>
    <w:rsid w:val="00241334"/>
    <w:rsid w:val="002429BC"/>
    <w:rsid w:val="002436FA"/>
    <w:rsid w:val="002454E1"/>
    <w:rsid w:val="002470A7"/>
    <w:rsid w:val="002500AB"/>
    <w:rsid w:val="00250F93"/>
    <w:rsid w:val="0025144D"/>
    <w:rsid w:val="002514E2"/>
    <w:rsid w:val="0025237D"/>
    <w:rsid w:val="00252B72"/>
    <w:rsid w:val="00253DF9"/>
    <w:rsid w:val="002573AC"/>
    <w:rsid w:val="00257B2A"/>
    <w:rsid w:val="002605BA"/>
    <w:rsid w:val="00260C2B"/>
    <w:rsid w:val="00260D8E"/>
    <w:rsid w:val="00262A2F"/>
    <w:rsid w:val="0026366E"/>
    <w:rsid w:val="00264BFC"/>
    <w:rsid w:val="0026587F"/>
    <w:rsid w:val="00265DD7"/>
    <w:rsid w:val="002703BD"/>
    <w:rsid w:val="00272F93"/>
    <w:rsid w:val="00273B72"/>
    <w:rsid w:val="00274F3C"/>
    <w:rsid w:val="002752B3"/>
    <w:rsid w:val="00275487"/>
    <w:rsid w:val="00276177"/>
    <w:rsid w:val="00282C43"/>
    <w:rsid w:val="002843F8"/>
    <w:rsid w:val="00284DEF"/>
    <w:rsid w:val="00284E00"/>
    <w:rsid w:val="002850F8"/>
    <w:rsid w:val="00285D2A"/>
    <w:rsid w:val="00285FE9"/>
    <w:rsid w:val="0028757C"/>
    <w:rsid w:val="002876F9"/>
    <w:rsid w:val="00291F01"/>
    <w:rsid w:val="002931D0"/>
    <w:rsid w:val="002953D6"/>
    <w:rsid w:val="00296C3F"/>
    <w:rsid w:val="00297232"/>
    <w:rsid w:val="002973F1"/>
    <w:rsid w:val="00297406"/>
    <w:rsid w:val="002A09AA"/>
    <w:rsid w:val="002A1EE4"/>
    <w:rsid w:val="002A208C"/>
    <w:rsid w:val="002A343B"/>
    <w:rsid w:val="002A3C94"/>
    <w:rsid w:val="002A3FB1"/>
    <w:rsid w:val="002A4715"/>
    <w:rsid w:val="002A477D"/>
    <w:rsid w:val="002A545D"/>
    <w:rsid w:val="002A7927"/>
    <w:rsid w:val="002A7A27"/>
    <w:rsid w:val="002A7FED"/>
    <w:rsid w:val="002B0FCB"/>
    <w:rsid w:val="002B127B"/>
    <w:rsid w:val="002B3A9F"/>
    <w:rsid w:val="002B47B0"/>
    <w:rsid w:val="002B4DEC"/>
    <w:rsid w:val="002B7793"/>
    <w:rsid w:val="002C042F"/>
    <w:rsid w:val="002C160C"/>
    <w:rsid w:val="002C20B9"/>
    <w:rsid w:val="002C509F"/>
    <w:rsid w:val="002C5A0E"/>
    <w:rsid w:val="002C5A47"/>
    <w:rsid w:val="002C5B7A"/>
    <w:rsid w:val="002C6B2F"/>
    <w:rsid w:val="002C6CEC"/>
    <w:rsid w:val="002C76AF"/>
    <w:rsid w:val="002D11D7"/>
    <w:rsid w:val="002D20FD"/>
    <w:rsid w:val="002D328D"/>
    <w:rsid w:val="002D3952"/>
    <w:rsid w:val="002D3CAF"/>
    <w:rsid w:val="002D51A5"/>
    <w:rsid w:val="002D657C"/>
    <w:rsid w:val="002D685C"/>
    <w:rsid w:val="002D6D37"/>
    <w:rsid w:val="002D6D92"/>
    <w:rsid w:val="002D7D40"/>
    <w:rsid w:val="002D7DB1"/>
    <w:rsid w:val="002E0065"/>
    <w:rsid w:val="002E08BE"/>
    <w:rsid w:val="002E2374"/>
    <w:rsid w:val="002E2486"/>
    <w:rsid w:val="002E24EB"/>
    <w:rsid w:val="002E4D07"/>
    <w:rsid w:val="002E4FD5"/>
    <w:rsid w:val="002E5FDA"/>
    <w:rsid w:val="002E638C"/>
    <w:rsid w:val="002E7AD3"/>
    <w:rsid w:val="002F0519"/>
    <w:rsid w:val="002F211B"/>
    <w:rsid w:val="002F2501"/>
    <w:rsid w:val="002F2C78"/>
    <w:rsid w:val="002F31F1"/>
    <w:rsid w:val="002F3C28"/>
    <w:rsid w:val="002F40B4"/>
    <w:rsid w:val="002F4A8C"/>
    <w:rsid w:val="002F6516"/>
    <w:rsid w:val="002F6BA8"/>
    <w:rsid w:val="002F72EB"/>
    <w:rsid w:val="00300F74"/>
    <w:rsid w:val="003023D9"/>
    <w:rsid w:val="00302757"/>
    <w:rsid w:val="00304FAD"/>
    <w:rsid w:val="0030504D"/>
    <w:rsid w:val="00305141"/>
    <w:rsid w:val="00305B77"/>
    <w:rsid w:val="00306941"/>
    <w:rsid w:val="00307D92"/>
    <w:rsid w:val="00311BEE"/>
    <w:rsid w:val="00311C88"/>
    <w:rsid w:val="00313F28"/>
    <w:rsid w:val="00314300"/>
    <w:rsid w:val="0031728C"/>
    <w:rsid w:val="003175FA"/>
    <w:rsid w:val="00317662"/>
    <w:rsid w:val="003208FA"/>
    <w:rsid w:val="0032148E"/>
    <w:rsid w:val="003232B1"/>
    <w:rsid w:val="00323E36"/>
    <w:rsid w:val="0032498D"/>
    <w:rsid w:val="00326C16"/>
    <w:rsid w:val="00330227"/>
    <w:rsid w:val="00331DD4"/>
    <w:rsid w:val="003331D3"/>
    <w:rsid w:val="00333231"/>
    <w:rsid w:val="003334AE"/>
    <w:rsid w:val="00334AC3"/>
    <w:rsid w:val="00335B32"/>
    <w:rsid w:val="00336D1E"/>
    <w:rsid w:val="0033776D"/>
    <w:rsid w:val="00337EAE"/>
    <w:rsid w:val="003401C3"/>
    <w:rsid w:val="0034075F"/>
    <w:rsid w:val="003410C0"/>
    <w:rsid w:val="00341FE4"/>
    <w:rsid w:val="003421DB"/>
    <w:rsid w:val="00342285"/>
    <w:rsid w:val="003455F3"/>
    <w:rsid w:val="003469CB"/>
    <w:rsid w:val="00346BFD"/>
    <w:rsid w:val="0034771E"/>
    <w:rsid w:val="003478D1"/>
    <w:rsid w:val="00347BC9"/>
    <w:rsid w:val="00351076"/>
    <w:rsid w:val="0035139A"/>
    <w:rsid w:val="003519CF"/>
    <w:rsid w:val="00351AD2"/>
    <w:rsid w:val="00352448"/>
    <w:rsid w:val="00353C45"/>
    <w:rsid w:val="00356330"/>
    <w:rsid w:val="00356410"/>
    <w:rsid w:val="00356F0A"/>
    <w:rsid w:val="00360001"/>
    <w:rsid w:val="0036033A"/>
    <w:rsid w:val="003604E0"/>
    <w:rsid w:val="003605DF"/>
    <w:rsid w:val="00360692"/>
    <w:rsid w:val="00361A00"/>
    <w:rsid w:val="003638C7"/>
    <w:rsid w:val="00363C23"/>
    <w:rsid w:val="00364A07"/>
    <w:rsid w:val="0036594D"/>
    <w:rsid w:val="00365C4A"/>
    <w:rsid w:val="00366A34"/>
    <w:rsid w:val="00367831"/>
    <w:rsid w:val="00371056"/>
    <w:rsid w:val="00371996"/>
    <w:rsid w:val="00372750"/>
    <w:rsid w:val="003734FD"/>
    <w:rsid w:val="00374D44"/>
    <w:rsid w:val="003767F6"/>
    <w:rsid w:val="003773DE"/>
    <w:rsid w:val="00380342"/>
    <w:rsid w:val="003805AF"/>
    <w:rsid w:val="00381ADE"/>
    <w:rsid w:val="003838F4"/>
    <w:rsid w:val="00383BFB"/>
    <w:rsid w:val="00390AFE"/>
    <w:rsid w:val="003929AE"/>
    <w:rsid w:val="00394207"/>
    <w:rsid w:val="00394E39"/>
    <w:rsid w:val="00397F13"/>
    <w:rsid w:val="003A0D09"/>
    <w:rsid w:val="003A0F98"/>
    <w:rsid w:val="003A1635"/>
    <w:rsid w:val="003A20EA"/>
    <w:rsid w:val="003A3ABF"/>
    <w:rsid w:val="003A44F4"/>
    <w:rsid w:val="003A6011"/>
    <w:rsid w:val="003A62C3"/>
    <w:rsid w:val="003A69D3"/>
    <w:rsid w:val="003A6D3B"/>
    <w:rsid w:val="003B0E20"/>
    <w:rsid w:val="003B2DB4"/>
    <w:rsid w:val="003B31BA"/>
    <w:rsid w:val="003B33E6"/>
    <w:rsid w:val="003B36BF"/>
    <w:rsid w:val="003B4C10"/>
    <w:rsid w:val="003B4D6D"/>
    <w:rsid w:val="003B4E88"/>
    <w:rsid w:val="003B5320"/>
    <w:rsid w:val="003B561E"/>
    <w:rsid w:val="003B6E52"/>
    <w:rsid w:val="003B7FBA"/>
    <w:rsid w:val="003C0953"/>
    <w:rsid w:val="003C1181"/>
    <w:rsid w:val="003C130B"/>
    <w:rsid w:val="003C1ABE"/>
    <w:rsid w:val="003C203A"/>
    <w:rsid w:val="003C3145"/>
    <w:rsid w:val="003C3BF4"/>
    <w:rsid w:val="003C420B"/>
    <w:rsid w:val="003C4486"/>
    <w:rsid w:val="003C4BFA"/>
    <w:rsid w:val="003C6465"/>
    <w:rsid w:val="003D0263"/>
    <w:rsid w:val="003D120F"/>
    <w:rsid w:val="003D34CC"/>
    <w:rsid w:val="003D5818"/>
    <w:rsid w:val="003D5E70"/>
    <w:rsid w:val="003D6827"/>
    <w:rsid w:val="003D7001"/>
    <w:rsid w:val="003D7A6D"/>
    <w:rsid w:val="003E00FE"/>
    <w:rsid w:val="003E05E9"/>
    <w:rsid w:val="003E35AE"/>
    <w:rsid w:val="003E3EAE"/>
    <w:rsid w:val="003E3F71"/>
    <w:rsid w:val="003E42B3"/>
    <w:rsid w:val="003E4399"/>
    <w:rsid w:val="003E4AC3"/>
    <w:rsid w:val="003E7576"/>
    <w:rsid w:val="003E774D"/>
    <w:rsid w:val="003F0E05"/>
    <w:rsid w:val="003F1795"/>
    <w:rsid w:val="003F18FC"/>
    <w:rsid w:val="003F2962"/>
    <w:rsid w:val="003F697B"/>
    <w:rsid w:val="003F6B8C"/>
    <w:rsid w:val="004016AD"/>
    <w:rsid w:val="0040308F"/>
    <w:rsid w:val="0040449F"/>
    <w:rsid w:val="0040484B"/>
    <w:rsid w:val="004055B8"/>
    <w:rsid w:val="004065BD"/>
    <w:rsid w:val="00406788"/>
    <w:rsid w:val="00406D52"/>
    <w:rsid w:val="00407789"/>
    <w:rsid w:val="00410538"/>
    <w:rsid w:val="00410A8D"/>
    <w:rsid w:val="0041165F"/>
    <w:rsid w:val="00412810"/>
    <w:rsid w:val="0041314C"/>
    <w:rsid w:val="00413295"/>
    <w:rsid w:val="00415571"/>
    <w:rsid w:val="00416651"/>
    <w:rsid w:val="00417112"/>
    <w:rsid w:val="00417146"/>
    <w:rsid w:val="00417528"/>
    <w:rsid w:val="00417BC3"/>
    <w:rsid w:val="004213AA"/>
    <w:rsid w:val="00421DC7"/>
    <w:rsid w:val="00422BB1"/>
    <w:rsid w:val="0042344A"/>
    <w:rsid w:val="00423E82"/>
    <w:rsid w:val="00424477"/>
    <w:rsid w:val="0042676D"/>
    <w:rsid w:val="00426865"/>
    <w:rsid w:val="004271F6"/>
    <w:rsid w:val="004309B7"/>
    <w:rsid w:val="0043426D"/>
    <w:rsid w:val="004351DB"/>
    <w:rsid w:val="0044037C"/>
    <w:rsid w:val="00442A59"/>
    <w:rsid w:val="00442F23"/>
    <w:rsid w:val="0044373A"/>
    <w:rsid w:val="00443FA1"/>
    <w:rsid w:val="00445C07"/>
    <w:rsid w:val="00447D20"/>
    <w:rsid w:val="00447D53"/>
    <w:rsid w:val="00450183"/>
    <w:rsid w:val="00450386"/>
    <w:rsid w:val="00450957"/>
    <w:rsid w:val="00450B30"/>
    <w:rsid w:val="00454897"/>
    <w:rsid w:val="00454B41"/>
    <w:rsid w:val="00455064"/>
    <w:rsid w:val="0045573A"/>
    <w:rsid w:val="00456B8C"/>
    <w:rsid w:val="0045758F"/>
    <w:rsid w:val="00457A4E"/>
    <w:rsid w:val="00460E13"/>
    <w:rsid w:val="00460E7A"/>
    <w:rsid w:val="00460FF5"/>
    <w:rsid w:val="004613D0"/>
    <w:rsid w:val="00461CB2"/>
    <w:rsid w:val="00461FCF"/>
    <w:rsid w:val="00463232"/>
    <w:rsid w:val="00463F3D"/>
    <w:rsid w:val="004647EF"/>
    <w:rsid w:val="00464E8B"/>
    <w:rsid w:val="00466504"/>
    <w:rsid w:val="00466DC8"/>
    <w:rsid w:val="004679EE"/>
    <w:rsid w:val="0047199D"/>
    <w:rsid w:val="00472D93"/>
    <w:rsid w:val="004737A0"/>
    <w:rsid w:val="00473AA9"/>
    <w:rsid w:val="00474769"/>
    <w:rsid w:val="00477326"/>
    <w:rsid w:val="0047743C"/>
    <w:rsid w:val="00480E4B"/>
    <w:rsid w:val="00480EBC"/>
    <w:rsid w:val="0048135F"/>
    <w:rsid w:val="004823E2"/>
    <w:rsid w:val="00482975"/>
    <w:rsid w:val="00483CC8"/>
    <w:rsid w:val="00484D73"/>
    <w:rsid w:val="00485145"/>
    <w:rsid w:val="00487755"/>
    <w:rsid w:val="00487E27"/>
    <w:rsid w:val="00490217"/>
    <w:rsid w:val="00492094"/>
    <w:rsid w:val="00493AF2"/>
    <w:rsid w:val="00493F37"/>
    <w:rsid w:val="00497FA7"/>
    <w:rsid w:val="004A323F"/>
    <w:rsid w:val="004A44A1"/>
    <w:rsid w:val="004A4F5F"/>
    <w:rsid w:val="004A5CE7"/>
    <w:rsid w:val="004A7303"/>
    <w:rsid w:val="004B03E1"/>
    <w:rsid w:val="004B0E95"/>
    <w:rsid w:val="004B14EA"/>
    <w:rsid w:val="004B1775"/>
    <w:rsid w:val="004B1B5E"/>
    <w:rsid w:val="004B273E"/>
    <w:rsid w:val="004B406D"/>
    <w:rsid w:val="004B4751"/>
    <w:rsid w:val="004B48BE"/>
    <w:rsid w:val="004B4C4C"/>
    <w:rsid w:val="004B4C5F"/>
    <w:rsid w:val="004B53AD"/>
    <w:rsid w:val="004B5DC7"/>
    <w:rsid w:val="004B6A20"/>
    <w:rsid w:val="004B7482"/>
    <w:rsid w:val="004B7FA8"/>
    <w:rsid w:val="004C0431"/>
    <w:rsid w:val="004C08AA"/>
    <w:rsid w:val="004C113F"/>
    <w:rsid w:val="004C133B"/>
    <w:rsid w:val="004C16FE"/>
    <w:rsid w:val="004C19F9"/>
    <w:rsid w:val="004C2D0F"/>
    <w:rsid w:val="004C351A"/>
    <w:rsid w:val="004C47E9"/>
    <w:rsid w:val="004C50F7"/>
    <w:rsid w:val="004C5537"/>
    <w:rsid w:val="004C67DC"/>
    <w:rsid w:val="004C6C9F"/>
    <w:rsid w:val="004C7C9B"/>
    <w:rsid w:val="004D082C"/>
    <w:rsid w:val="004D091C"/>
    <w:rsid w:val="004D25FC"/>
    <w:rsid w:val="004D2F1A"/>
    <w:rsid w:val="004D3BE1"/>
    <w:rsid w:val="004D52C6"/>
    <w:rsid w:val="004D5795"/>
    <w:rsid w:val="004D6C05"/>
    <w:rsid w:val="004D7181"/>
    <w:rsid w:val="004E222D"/>
    <w:rsid w:val="004E2B5F"/>
    <w:rsid w:val="004E2CEB"/>
    <w:rsid w:val="004E2F8B"/>
    <w:rsid w:val="004E33D4"/>
    <w:rsid w:val="004E3C60"/>
    <w:rsid w:val="004E7243"/>
    <w:rsid w:val="004E767D"/>
    <w:rsid w:val="004E7DD4"/>
    <w:rsid w:val="004F1812"/>
    <w:rsid w:val="004F2649"/>
    <w:rsid w:val="004F3747"/>
    <w:rsid w:val="004F41B0"/>
    <w:rsid w:val="004F5DFD"/>
    <w:rsid w:val="004F6DE2"/>
    <w:rsid w:val="00502024"/>
    <w:rsid w:val="00502214"/>
    <w:rsid w:val="0050237D"/>
    <w:rsid w:val="00502F55"/>
    <w:rsid w:val="00503870"/>
    <w:rsid w:val="00503E29"/>
    <w:rsid w:val="00504A0E"/>
    <w:rsid w:val="00505638"/>
    <w:rsid w:val="00505EB8"/>
    <w:rsid w:val="0050610E"/>
    <w:rsid w:val="00506B73"/>
    <w:rsid w:val="00507098"/>
    <w:rsid w:val="0050731B"/>
    <w:rsid w:val="00510780"/>
    <w:rsid w:val="00510D30"/>
    <w:rsid w:val="005118CC"/>
    <w:rsid w:val="00513692"/>
    <w:rsid w:val="0051455F"/>
    <w:rsid w:val="00514B10"/>
    <w:rsid w:val="005154AD"/>
    <w:rsid w:val="00516219"/>
    <w:rsid w:val="005168E3"/>
    <w:rsid w:val="005203EA"/>
    <w:rsid w:val="005211E4"/>
    <w:rsid w:val="00521975"/>
    <w:rsid w:val="00521C74"/>
    <w:rsid w:val="00521E42"/>
    <w:rsid w:val="00522033"/>
    <w:rsid w:val="005231F0"/>
    <w:rsid w:val="00523590"/>
    <w:rsid w:val="0052410D"/>
    <w:rsid w:val="00524D71"/>
    <w:rsid w:val="00524F21"/>
    <w:rsid w:val="00525938"/>
    <w:rsid w:val="0053002B"/>
    <w:rsid w:val="0053050C"/>
    <w:rsid w:val="0053065F"/>
    <w:rsid w:val="0053085B"/>
    <w:rsid w:val="0053085F"/>
    <w:rsid w:val="00530F51"/>
    <w:rsid w:val="00532F14"/>
    <w:rsid w:val="00534372"/>
    <w:rsid w:val="00535698"/>
    <w:rsid w:val="00535F3D"/>
    <w:rsid w:val="00536DD8"/>
    <w:rsid w:val="0053793B"/>
    <w:rsid w:val="0054018D"/>
    <w:rsid w:val="005426B6"/>
    <w:rsid w:val="005427FA"/>
    <w:rsid w:val="00542A74"/>
    <w:rsid w:val="00542E6A"/>
    <w:rsid w:val="00544D08"/>
    <w:rsid w:val="00544D32"/>
    <w:rsid w:val="005454B0"/>
    <w:rsid w:val="005462CC"/>
    <w:rsid w:val="0054673A"/>
    <w:rsid w:val="00546AF7"/>
    <w:rsid w:val="00547088"/>
    <w:rsid w:val="0054747A"/>
    <w:rsid w:val="005503D5"/>
    <w:rsid w:val="005504A0"/>
    <w:rsid w:val="00550F57"/>
    <w:rsid w:val="005513E1"/>
    <w:rsid w:val="00551977"/>
    <w:rsid w:val="005524A7"/>
    <w:rsid w:val="00552632"/>
    <w:rsid w:val="00553614"/>
    <w:rsid w:val="00553C45"/>
    <w:rsid w:val="00554375"/>
    <w:rsid w:val="00555BFF"/>
    <w:rsid w:val="00560F37"/>
    <w:rsid w:val="00560FB0"/>
    <w:rsid w:val="00562973"/>
    <w:rsid w:val="0056310B"/>
    <w:rsid w:val="00563509"/>
    <w:rsid w:val="00563852"/>
    <w:rsid w:val="00563EDC"/>
    <w:rsid w:val="00565689"/>
    <w:rsid w:val="00565719"/>
    <w:rsid w:val="00566A17"/>
    <w:rsid w:val="005676CF"/>
    <w:rsid w:val="005702E2"/>
    <w:rsid w:val="00570338"/>
    <w:rsid w:val="005710B5"/>
    <w:rsid w:val="00571454"/>
    <w:rsid w:val="00575BFE"/>
    <w:rsid w:val="0057659C"/>
    <w:rsid w:val="005766EC"/>
    <w:rsid w:val="00576867"/>
    <w:rsid w:val="005769EC"/>
    <w:rsid w:val="005808C8"/>
    <w:rsid w:val="005808DC"/>
    <w:rsid w:val="00580B12"/>
    <w:rsid w:val="00581426"/>
    <w:rsid w:val="00582B49"/>
    <w:rsid w:val="00584071"/>
    <w:rsid w:val="00584D96"/>
    <w:rsid w:val="005855E9"/>
    <w:rsid w:val="005857B9"/>
    <w:rsid w:val="00586249"/>
    <w:rsid w:val="00587AE1"/>
    <w:rsid w:val="00590680"/>
    <w:rsid w:val="00591B40"/>
    <w:rsid w:val="005926DA"/>
    <w:rsid w:val="00593B01"/>
    <w:rsid w:val="00594AA5"/>
    <w:rsid w:val="005950B7"/>
    <w:rsid w:val="00595D41"/>
    <w:rsid w:val="0059621C"/>
    <w:rsid w:val="005A1034"/>
    <w:rsid w:val="005A20AA"/>
    <w:rsid w:val="005A35C0"/>
    <w:rsid w:val="005A384B"/>
    <w:rsid w:val="005A4B1E"/>
    <w:rsid w:val="005A4EF4"/>
    <w:rsid w:val="005A521D"/>
    <w:rsid w:val="005A6421"/>
    <w:rsid w:val="005B05D5"/>
    <w:rsid w:val="005B15DD"/>
    <w:rsid w:val="005B3828"/>
    <w:rsid w:val="005B4857"/>
    <w:rsid w:val="005B5785"/>
    <w:rsid w:val="005B5ACA"/>
    <w:rsid w:val="005B706C"/>
    <w:rsid w:val="005B7C3A"/>
    <w:rsid w:val="005C05DF"/>
    <w:rsid w:val="005C07C9"/>
    <w:rsid w:val="005C1B36"/>
    <w:rsid w:val="005C21BE"/>
    <w:rsid w:val="005C21EC"/>
    <w:rsid w:val="005C2231"/>
    <w:rsid w:val="005C24A8"/>
    <w:rsid w:val="005C39D6"/>
    <w:rsid w:val="005C43EA"/>
    <w:rsid w:val="005C67C4"/>
    <w:rsid w:val="005C78FB"/>
    <w:rsid w:val="005C79C0"/>
    <w:rsid w:val="005D0C52"/>
    <w:rsid w:val="005D16C7"/>
    <w:rsid w:val="005D2813"/>
    <w:rsid w:val="005D3A5C"/>
    <w:rsid w:val="005D4D9A"/>
    <w:rsid w:val="005D4DC5"/>
    <w:rsid w:val="005D51F6"/>
    <w:rsid w:val="005D56BA"/>
    <w:rsid w:val="005D5D9C"/>
    <w:rsid w:val="005D70E4"/>
    <w:rsid w:val="005D7672"/>
    <w:rsid w:val="005D773D"/>
    <w:rsid w:val="005D7774"/>
    <w:rsid w:val="005E0708"/>
    <w:rsid w:val="005E246C"/>
    <w:rsid w:val="005E4A22"/>
    <w:rsid w:val="005E4E52"/>
    <w:rsid w:val="005E5CB4"/>
    <w:rsid w:val="005E69A8"/>
    <w:rsid w:val="005E757D"/>
    <w:rsid w:val="005F0E18"/>
    <w:rsid w:val="005F3504"/>
    <w:rsid w:val="005F3959"/>
    <w:rsid w:val="005F3CD7"/>
    <w:rsid w:val="005F4E92"/>
    <w:rsid w:val="005F57FB"/>
    <w:rsid w:val="005F66EB"/>
    <w:rsid w:val="005F7A82"/>
    <w:rsid w:val="0060050F"/>
    <w:rsid w:val="00600CDD"/>
    <w:rsid w:val="0060153F"/>
    <w:rsid w:val="00601BFF"/>
    <w:rsid w:val="00601C04"/>
    <w:rsid w:val="00601E8D"/>
    <w:rsid w:val="0060279E"/>
    <w:rsid w:val="00602F1D"/>
    <w:rsid w:val="006031AF"/>
    <w:rsid w:val="006034AF"/>
    <w:rsid w:val="006045B7"/>
    <w:rsid w:val="00604A7B"/>
    <w:rsid w:val="00605C0F"/>
    <w:rsid w:val="00606E2B"/>
    <w:rsid w:val="00610083"/>
    <w:rsid w:val="00611FE0"/>
    <w:rsid w:val="00613212"/>
    <w:rsid w:val="006136E0"/>
    <w:rsid w:val="0061559B"/>
    <w:rsid w:val="006158B4"/>
    <w:rsid w:val="0061618F"/>
    <w:rsid w:val="006171C1"/>
    <w:rsid w:val="00620D6A"/>
    <w:rsid w:val="00620DD9"/>
    <w:rsid w:val="006217D4"/>
    <w:rsid w:val="00624325"/>
    <w:rsid w:val="00630DF2"/>
    <w:rsid w:val="00631E1E"/>
    <w:rsid w:val="00631E21"/>
    <w:rsid w:val="00632047"/>
    <w:rsid w:val="00632932"/>
    <w:rsid w:val="006332E2"/>
    <w:rsid w:val="00633DCC"/>
    <w:rsid w:val="0063411A"/>
    <w:rsid w:val="006345AB"/>
    <w:rsid w:val="006345F7"/>
    <w:rsid w:val="00635EE8"/>
    <w:rsid w:val="00636448"/>
    <w:rsid w:val="006366A9"/>
    <w:rsid w:val="0064195C"/>
    <w:rsid w:val="00643B4A"/>
    <w:rsid w:val="00643F0C"/>
    <w:rsid w:val="006502DC"/>
    <w:rsid w:val="00650684"/>
    <w:rsid w:val="00651BC3"/>
    <w:rsid w:val="00652A15"/>
    <w:rsid w:val="00653A8C"/>
    <w:rsid w:val="00653B16"/>
    <w:rsid w:val="00654643"/>
    <w:rsid w:val="006558B7"/>
    <w:rsid w:val="00655F16"/>
    <w:rsid w:val="00657727"/>
    <w:rsid w:val="006602B6"/>
    <w:rsid w:val="006602EB"/>
    <w:rsid w:val="00660657"/>
    <w:rsid w:val="00661D1A"/>
    <w:rsid w:val="00663F5F"/>
    <w:rsid w:val="006646A7"/>
    <w:rsid w:val="00665120"/>
    <w:rsid w:val="0066674D"/>
    <w:rsid w:val="006675A4"/>
    <w:rsid w:val="006708FD"/>
    <w:rsid w:val="00672525"/>
    <w:rsid w:val="00672B1C"/>
    <w:rsid w:val="006742B7"/>
    <w:rsid w:val="00674F39"/>
    <w:rsid w:val="00675464"/>
    <w:rsid w:val="00676192"/>
    <w:rsid w:val="00676260"/>
    <w:rsid w:val="00676A20"/>
    <w:rsid w:val="00677D05"/>
    <w:rsid w:val="00677FBA"/>
    <w:rsid w:val="006820EB"/>
    <w:rsid w:val="00682242"/>
    <w:rsid w:val="006851B1"/>
    <w:rsid w:val="0068587E"/>
    <w:rsid w:val="0068601E"/>
    <w:rsid w:val="006870D4"/>
    <w:rsid w:val="00687102"/>
    <w:rsid w:val="00687DBB"/>
    <w:rsid w:val="00690260"/>
    <w:rsid w:val="00690C5C"/>
    <w:rsid w:val="00690E39"/>
    <w:rsid w:val="00692030"/>
    <w:rsid w:val="0069244C"/>
    <w:rsid w:val="00692663"/>
    <w:rsid w:val="006961FB"/>
    <w:rsid w:val="0069669B"/>
    <w:rsid w:val="006977CC"/>
    <w:rsid w:val="006977D5"/>
    <w:rsid w:val="00697E7D"/>
    <w:rsid w:val="006A0A67"/>
    <w:rsid w:val="006A1827"/>
    <w:rsid w:val="006A19D9"/>
    <w:rsid w:val="006A20D4"/>
    <w:rsid w:val="006A26B7"/>
    <w:rsid w:val="006A2899"/>
    <w:rsid w:val="006A2E2F"/>
    <w:rsid w:val="006A443C"/>
    <w:rsid w:val="006A4547"/>
    <w:rsid w:val="006A499E"/>
    <w:rsid w:val="006A52A8"/>
    <w:rsid w:val="006A56F2"/>
    <w:rsid w:val="006A7627"/>
    <w:rsid w:val="006A7F76"/>
    <w:rsid w:val="006B00CA"/>
    <w:rsid w:val="006B035C"/>
    <w:rsid w:val="006B0B31"/>
    <w:rsid w:val="006B2B86"/>
    <w:rsid w:val="006B2CFC"/>
    <w:rsid w:val="006B2D28"/>
    <w:rsid w:val="006B3438"/>
    <w:rsid w:val="006B3C08"/>
    <w:rsid w:val="006B544A"/>
    <w:rsid w:val="006B6105"/>
    <w:rsid w:val="006B6C5B"/>
    <w:rsid w:val="006B72C8"/>
    <w:rsid w:val="006C1188"/>
    <w:rsid w:val="006C1B03"/>
    <w:rsid w:val="006C2EB1"/>
    <w:rsid w:val="006C3328"/>
    <w:rsid w:val="006C367E"/>
    <w:rsid w:val="006C4862"/>
    <w:rsid w:val="006C56EF"/>
    <w:rsid w:val="006C67C1"/>
    <w:rsid w:val="006C7707"/>
    <w:rsid w:val="006D1336"/>
    <w:rsid w:val="006D1B65"/>
    <w:rsid w:val="006D279F"/>
    <w:rsid w:val="006D2F6E"/>
    <w:rsid w:val="006D383D"/>
    <w:rsid w:val="006D3ADC"/>
    <w:rsid w:val="006D405B"/>
    <w:rsid w:val="006D4F2D"/>
    <w:rsid w:val="006D539D"/>
    <w:rsid w:val="006D5DA5"/>
    <w:rsid w:val="006D72D1"/>
    <w:rsid w:val="006E10C5"/>
    <w:rsid w:val="006E319F"/>
    <w:rsid w:val="006E3F65"/>
    <w:rsid w:val="006F060D"/>
    <w:rsid w:val="006F061F"/>
    <w:rsid w:val="006F06A1"/>
    <w:rsid w:val="006F09EA"/>
    <w:rsid w:val="006F1D51"/>
    <w:rsid w:val="006F2192"/>
    <w:rsid w:val="006F24E2"/>
    <w:rsid w:val="006F2F13"/>
    <w:rsid w:val="006F30E3"/>
    <w:rsid w:val="006F3290"/>
    <w:rsid w:val="006F3469"/>
    <w:rsid w:val="006F48BB"/>
    <w:rsid w:val="006F48D8"/>
    <w:rsid w:val="006F70F8"/>
    <w:rsid w:val="0070072C"/>
    <w:rsid w:val="00700A7B"/>
    <w:rsid w:val="00702CF0"/>
    <w:rsid w:val="00703FF1"/>
    <w:rsid w:val="007045BE"/>
    <w:rsid w:val="00704B24"/>
    <w:rsid w:val="0070790E"/>
    <w:rsid w:val="00707B05"/>
    <w:rsid w:val="00710172"/>
    <w:rsid w:val="00710269"/>
    <w:rsid w:val="007103DD"/>
    <w:rsid w:val="00710836"/>
    <w:rsid w:val="00710886"/>
    <w:rsid w:val="0071116E"/>
    <w:rsid w:val="00712C43"/>
    <w:rsid w:val="00713208"/>
    <w:rsid w:val="00713CBF"/>
    <w:rsid w:val="00713D42"/>
    <w:rsid w:val="00715177"/>
    <w:rsid w:val="007176D1"/>
    <w:rsid w:val="00720906"/>
    <w:rsid w:val="007212F6"/>
    <w:rsid w:val="007214BD"/>
    <w:rsid w:val="00721CB7"/>
    <w:rsid w:val="00722842"/>
    <w:rsid w:val="00722E9E"/>
    <w:rsid w:val="00724A54"/>
    <w:rsid w:val="00725383"/>
    <w:rsid w:val="007259A6"/>
    <w:rsid w:val="00726BD0"/>
    <w:rsid w:val="00726DA2"/>
    <w:rsid w:val="0072730C"/>
    <w:rsid w:val="007301A4"/>
    <w:rsid w:val="007326B6"/>
    <w:rsid w:val="0073482A"/>
    <w:rsid w:val="00734948"/>
    <w:rsid w:val="00734AA7"/>
    <w:rsid w:val="00735148"/>
    <w:rsid w:val="007357B2"/>
    <w:rsid w:val="00735C23"/>
    <w:rsid w:val="0073757A"/>
    <w:rsid w:val="00740D2A"/>
    <w:rsid w:val="00741396"/>
    <w:rsid w:val="00743BD6"/>
    <w:rsid w:val="00745256"/>
    <w:rsid w:val="007461D0"/>
    <w:rsid w:val="00751A32"/>
    <w:rsid w:val="00751F2F"/>
    <w:rsid w:val="00752377"/>
    <w:rsid w:val="00753045"/>
    <w:rsid w:val="00755522"/>
    <w:rsid w:val="00755975"/>
    <w:rsid w:val="00755BF5"/>
    <w:rsid w:val="00756701"/>
    <w:rsid w:val="00756F66"/>
    <w:rsid w:val="00757959"/>
    <w:rsid w:val="00760C7D"/>
    <w:rsid w:val="00761741"/>
    <w:rsid w:val="00761922"/>
    <w:rsid w:val="0076196B"/>
    <w:rsid w:val="0076281E"/>
    <w:rsid w:val="00762CF7"/>
    <w:rsid w:val="0076550A"/>
    <w:rsid w:val="0076590A"/>
    <w:rsid w:val="00766102"/>
    <w:rsid w:val="007669A9"/>
    <w:rsid w:val="007677C8"/>
    <w:rsid w:val="007706B6"/>
    <w:rsid w:val="00770E38"/>
    <w:rsid w:val="007715CC"/>
    <w:rsid w:val="00771B44"/>
    <w:rsid w:val="00774304"/>
    <w:rsid w:val="00776B9A"/>
    <w:rsid w:val="00776C0A"/>
    <w:rsid w:val="007802A1"/>
    <w:rsid w:val="00780966"/>
    <w:rsid w:val="00783373"/>
    <w:rsid w:val="00783E6F"/>
    <w:rsid w:val="007840B1"/>
    <w:rsid w:val="00784F5D"/>
    <w:rsid w:val="00784FEB"/>
    <w:rsid w:val="00786BF1"/>
    <w:rsid w:val="00786FA8"/>
    <w:rsid w:val="007909A4"/>
    <w:rsid w:val="00794430"/>
    <w:rsid w:val="00794A96"/>
    <w:rsid w:val="00795182"/>
    <w:rsid w:val="007974F7"/>
    <w:rsid w:val="00797D5D"/>
    <w:rsid w:val="007A11D6"/>
    <w:rsid w:val="007A11FD"/>
    <w:rsid w:val="007A426A"/>
    <w:rsid w:val="007A452E"/>
    <w:rsid w:val="007A5E12"/>
    <w:rsid w:val="007A7363"/>
    <w:rsid w:val="007A7B31"/>
    <w:rsid w:val="007B1ADB"/>
    <w:rsid w:val="007B1E4F"/>
    <w:rsid w:val="007B2D59"/>
    <w:rsid w:val="007B348F"/>
    <w:rsid w:val="007B3E1B"/>
    <w:rsid w:val="007B48D6"/>
    <w:rsid w:val="007B50C9"/>
    <w:rsid w:val="007B6222"/>
    <w:rsid w:val="007B78D8"/>
    <w:rsid w:val="007C1214"/>
    <w:rsid w:val="007C2DD4"/>
    <w:rsid w:val="007C3572"/>
    <w:rsid w:val="007C3B6A"/>
    <w:rsid w:val="007C3BA0"/>
    <w:rsid w:val="007C4663"/>
    <w:rsid w:val="007C4AC6"/>
    <w:rsid w:val="007C5010"/>
    <w:rsid w:val="007C5103"/>
    <w:rsid w:val="007C673D"/>
    <w:rsid w:val="007C67D0"/>
    <w:rsid w:val="007C7620"/>
    <w:rsid w:val="007C7B38"/>
    <w:rsid w:val="007C7E77"/>
    <w:rsid w:val="007D0A5C"/>
    <w:rsid w:val="007D417A"/>
    <w:rsid w:val="007D63CB"/>
    <w:rsid w:val="007D7725"/>
    <w:rsid w:val="007D7EEC"/>
    <w:rsid w:val="007E01BD"/>
    <w:rsid w:val="007E1A7E"/>
    <w:rsid w:val="007E1B41"/>
    <w:rsid w:val="007E25F8"/>
    <w:rsid w:val="007E2E83"/>
    <w:rsid w:val="007E44C9"/>
    <w:rsid w:val="007E5DA8"/>
    <w:rsid w:val="007E7AF5"/>
    <w:rsid w:val="007E7EFB"/>
    <w:rsid w:val="007F0E63"/>
    <w:rsid w:val="007F149A"/>
    <w:rsid w:val="007F14F7"/>
    <w:rsid w:val="007F197B"/>
    <w:rsid w:val="007F1BE9"/>
    <w:rsid w:val="007F5E3A"/>
    <w:rsid w:val="007F5F20"/>
    <w:rsid w:val="007F613C"/>
    <w:rsid w:val="007F771B"/>
    <w:rsid w:val="0080102D"/>
    <w:rsid w:val="00801993"/>
    <w:rsid w:val="008025C6"/>
    <w:rsid w:val="00802D4D"/>
    <w:rsid w:val="00803346"/>
    <w:rsid w:val="00804003"/>
    <w:rsid w:val="0080545F"/>
    <w:rsid w:val="008056AA"/>
    <w:rsid w:val="00805F46"/>
    <w:rsid w:val="0080658C"/>
    <w:rsid w:val="00806667"/>
    <w:rsid w:val="00806BD7"/>
    <w:rsid w:val="00806CE5"/>
    <w:rsid w:val="00807ABC"/>
    <w:rsid w:val="00807AF9"/>
    <w:rsid w:val="0081165A"/>
    <w:rsid w:val="0081222F"/>
    <w:rsid w:val="00813234"/>
    <w:rsid w:val="008153F4"/>
    <w:rsid w:val="0081576F"/>
    <w:rsid w:val="00815AE8"/>
    <w:rsid w:val="00815F29"/>
    <w:rsid w:val="008160D7"/>
    <w:rsid w:val="0081663D"/>
    <w:rsid w:val="008176F7"/>
    <w:rsid w:val="00817EF5"/>
    <w:rsid w:val="00817F88"/>
    <w:rsid w:val="00820104"/>
    <w:rsid w:val="00821D35"/>
    <w:rsid w:val="008233F6"/>
    <w:rsid w:val="00824FB4"/>
    <w:rsid w:val="008257A2"/>
    <w:rsid w:val="008258F1"/>
    <w:rsid w:val="00826720"/>
    <w:rsid w:val="008270CF"/>
    <w:rsid w:val="00827326"/>
    <w:rsid w:val="0082750B"/>
    <w:rsid w:val="00830C3F"/>
    <w:rsid w:val="008316CD"/>
    <w:rsid w:val="00833B41"/>
    <w:rsid w:val="008361DE"/>
    <w:rsid w:val="00836949"/>
    <w:rsid w:val="00836E80"/>
    <w:rsid w:val="00837F6A"/>
    <w:rsid w:val="008415AB"/>
    <w:rsid w:val="00841BF3"/>
    <w:rsid w:val="00842E23"/>
    <w:rsid w:val="00844440"/>
    <w:rsid w:val="008449C6"/>
    <w:rsid w:val="00844B4F"/>
    <w:rsid w:val="00844E49"/>
    <w:rsid w:val="00844EFF"/>
    <w:rsid w:val="00845318"/>
    <w:rsid w:val="00845357"/>
    <w:rsid w:val="0084575D"/>
    <w:rsid w:val="008457D8"/>
    <w:rsid w:val="00845E31"/>
    <w:rsid w:val="00850874"/>
    <w:rsid w:val="00850A4A"/>
    <w:rsid w:val="00850B89"/>
    <w:rsid w:val="00850BB0"/>
    <w:rsid w:val="00851C53"/>
    <w:rsid w:val="00854918"/>
    <w:rsid w:val="00855F0F"/>
    <w:rsid w:val="00857153"/>
    <w:rsid w:val="00857BC9"/>
    <w:rsid w:val="00857CDE"/>
    <w:rsid w:val="00857DDD"/>
    <w:rsid w:val="00860571"/>
    <w:rsid w:val="0086073A"/>
    <w:rsid w:val="008611A2"/>
    <w:rsid w:val="0086205B"/>
    <w:rsid w:val="00862278"/>
    <w:rsid w:val="00862D4E"/>
    <w:rsid w:val="0086334F"/>
    <w:rsid w:val="0086444F"/>
    <w:rsid w:val="00864AC4"/>
    <w:rsid w:val="00870950"/>
    <w:rsid w:val="00872BC7"/>
    <w:rsid w:val="00872CD1"/>
    <w:rsid w:val="0087406C"/>
    <w:rsid w:val="00874354"/>
    <w:rsid w:val="00875674"/>
    <w:rsid w:val="0087647E"/>
    <w:rsid w:val="008769DB"/>
    <w:rsid w:val="00876B87"/>
    <w:rsid w:val="00880A6B"/>
    <w:rsid w:val="00882873"/>
    <w:rsid w:val="00883433"/>
    <w:rsid w:val="00887865"/>
    <w:rsid w:val="00887992"/>
    <w:rsid w:val="0089274F"/>
    <w:rsid w:val="00892AE5"/>
    <w:rsid w:val="00893408"/>
    <w:rsid w:val="00893E95"/>
    <w:rsid w:val="00894CF5"/>
    <w:rsid w:val="00895D6D"/>
    <w:rsid w:val="00897EE0"/>
    <w:rsid w:val="008A0C95"/>
    <w:rsid w:val="008A16F7"/>
    <w:rsid w:val="008A1D01"/>
    <w:rsid w:val="008A25EC"/>
    <w:rsid w:val="008A36C4"/>
    <w:rsid w:val="008A3A09"/>
    <w:rsid w:val="008A4AB9"/>
    <w:rsid w:val="008A5C2C"/>
    <w:rsid w:val="008A70AF"/>
    <w:rsid w:val="008A7245"/>
    <w:rsid w:val="008A79A3"/>
    <w:rsid w:val="008B0D9B"/>
    <w:rsid w:val="008B0F03"/>
    <w:rsid w:val="008B2A55"/>
    <w:rsid w:val="008B2D14"/>
    <w:rsid w:val="008B2DC8"/>
    <w:rsid w:val="008B32BE"/>
    <w:rsid w:val="008B38C7"/>
    <w:rsid w:val="008B3954"/>
    <w:rsid w:val="008B55B5"/>
    <w:rsid w:val="008B6CEC"/>
    <w:rsid w:val="008B6EF6"/>
    <w:rsid w:val="008B78E3"/>
    <w:rsid w:val="008B7EC2"/>
    <w:rsid w:val="008C00C6"/>
    <w:rsid w:val="008C31F3"/>
    <w:rsid w:val="008C3D21"/>
    <w:rsid w:val="008C59A6"/>
    <w:rsid w:val="008C5D2B"/>
    <w:rsid w:val="008C6497"/>
    <w:rsid w:val="008C7877"/>
    <w:rsid w:val="008C7C4B"/>
    <w:rsid w:val="008D033A"/>
    <w:rsid w:val="008D23CB"/>
    <w:rsid w:val="008D2B74"/>
    <w:rsid w:val="008D31C4"/>
    <w:rsid w:val="008D34B2"/>
    <w:rsid w:val="008D3AB9"/>
    <w:rsid w:val="008D3D36"/>
    <w:rsid w:val="008D6C4A"/>
    <w:rsid w:val="008D71D3"/>
    <w:rsid w:val="008D7C0C"/>
    <w:rsid w:val="008E0DB8"/>
    <w:rsid w:val="008E1393"/>
    <w:rsid w:val="008E17C0"/>
    <w:rsid w:val="008E17D5"/>
    <w:rsid w:val="008E3483"/>
    <w:rsid w:val="008E42B3"/>
    <w:rsid w:val="008E45DD"/>
    <w:rsid w:val="008E5319"/>
    <w:rsid w:val="008E60A8"/>
    <w:rsid w:val="008E69B2"/>
    <w:rsid w:val="008E76E6"/>
    <w:rsid w:val="008F3E62"/>
    <w:rsid w:val="008F4555"/>
    <w:rsid w:val="008F57DA"/>
    <w:rsid w:val="008F78DD"/>
    <w:rsid w:val="008F7D99"/>
    <w:rsid w:val="008F7FF5"/>
    <w:rsid w:val="00900511"/>
    <w:rsid w:val="00901732"/>
    <w:rsid w:val="00901C79"/>
    <w:rsid w:val="009033B2"/>
    <w:rsid w:val="00905221"/>
    <w:rsid w:val="00905B92"/>
    <w:rsid w:val="00906A4E"/>
    <w:rsid w:val="0091005C"/>
    <w:rsid w:val="0091162F"/>
    <w:rsid w:val="009157DB"/>
    <w:rsid w:val="0091587F"/>
    <w:rsid w:val="00915C2F"/>
    <w:rsid w:val="00917531"/>
    <w:rsid w:val="0091756C"/>
    <w:rsid w:val="00920B92"/>
    <w:rsid w:val="00921497"/>
    <w:rsid w:val="009216FD"/>
    <w:rsid w:val="009222DF"/>
    <w:rsid w:val="00923465"/>
    <w:rsid w:val="00923A4B"/>
    <w:rsid w:val="009319F3"/>
    <w:rsid w:val="00931C22"/>
    <w:rsid w:val="009335CF"/>
    <w:rsid w:val="00934072"/>
    <w:rsid w:val="00935517"/>
    <w:rsid w:val="009357EE"/>
    <w:rsid w:val="009358B6"/>
    <w:rsid w:val="00935FE4"/>
    <w:rsid w:val="00936081"/>
    <w:rsid w:val="00936378"/>
    <w:rsid w:val="009369B8"/>
    <w:rsid w:val="0094027A"/>
    <w:rsid w:val="009402F5"/>
    <w:rsid w:val="00940662"/>
    <w:rsid w:val="009406CA"/>
    <w:rsid w:val="009411EF"/>
    <w:rsid w:val="00942042"/>
    <w:rsid w:val="00945EE4"/>
    <w:rsid w:val="00946FCE"/>
    <w:rsid w:val="00947E98"/>
    <w:rsid w:val="00950D77"/>
    <w:rsid w:val="00951FE9"/>
    <w:rsid w:val="009527E7"/>
    <w:rsid w:val="0095391E"/>
    <w:rsid w:val="00955879"/>
    <w:rsid w:val="00955EF6"/>
    <w:rsid w:val="00956783"/>
    <w:rsid w:val="009573DF"/>
    <w:rsid w:val="00957F74"/>
    <w:rsid w:val="009602ED"/>
    <w:rsid w:val="0096198F"/>
    <w:rsid w:val="00962068"/>
    <w:rsid w:val="009620AE"/>
    <w:rsid w:val="009623B1"/>
    <w:rsid w:val="00962DA3"/>
    <w:rsid w:val="00963688"/>
    <w:rsid w:val="009638E8"/>
    <w:rsid w:val="009641B6"/>
    <w:rsid w:val="009643FD"/>
    <w:rsid w:val="00964A34"/>
    <w:rsid w:val="00965410"/>
    <w:rsid w:val="009658DF"/>
    <w:rsid w:val="009662D8"/>
    <w:rsid w:val="00966861"/>
    <w:rsid w:val="00967130"/>
    <w:rsid w:val="00970DDC"/>
    <w:rsid w:val="0097109C"/>
    <w:rsid w:val="00971BB0"/>
    <w:rsid w:val="00971D43"/>
    <w:rsid w:val="00972484"/>
    <w:rsid w:val="00972B45"/>
    <w:rsid w:val="00972BA3"/>
    <w:rsid w:val="0097435B"/>
    <w:rsid w:val="00975A24"/>
    <w:rsid w:val="009769A1"/>
    <w:rsid w:val="00976F0F"/>
    <w:rsid w:val="009779B5"/>
    <w:rsid w:val="00977A6A"/>
    <w:rsid w:val="00980712"/>
    <w:rsid w:val="00981899"/>
    <w:rsid w:val="00981943"/>
    <w:rsid w:val="0098394B"/>
    <w:rsid w:val="00983FA8"/>
    <w:rsid w:val="00985103"/>
    <w:rsid w:val="00985CF5"/>
    <w:rsid w:val="009865DA"/>
    <w:rsid w:val="009866A7"/>
    <w:rsid w:val="00987C56"/>
    <w:rsid w:val="00987D43"/>
    <w:rsid w:val="00991347"/>
    <w:rsid w:val="00991BFD"/>
    <w:rsid w:val="009936AC"/>
    <w:rsid w:val="00993DDE"/>
    <w:rsid w:val="00993E25"/>
    <w:rsid w:val="00994ACE"/>
    <w:rsid w:val="00995313"/>
    <w:rsid w:val="00995F06"/>
    <w:rsid w:val="0099678F"/>
    <w:rsid w:val="0099681C"/>
    <w:rsid w:val="00996DD7"/>
    <w:rsid w:val="0099742B"/>
    <w:rsid w:val="009A0FCC"/>
    <w:rsid w:val="009A4076"/>
    <w:rsid w:val="009A4877"/>
    <w:rsid w:val="009A677F"/>
    <w:rsid w:val="009A6BE2"/>
    <w:rsid w:val="009B009B"/>
    <w:rsid w:val="009B12DA"/>
    <w:rsid w:val="009B309F"/>
    <w:rsid w:val="009B3251"/>
    <w:rsid w:val="009B4B0A"/>
    <w:rsid w:val="009B516F"/>
    <w:rsid w:val="009B5754"/>
    <w:rsid w:val="009B5BE3"/>
    <w:rsid w:val="009B6607"/>
    <w:rsid w:val="009B666C"/>
    <w:rsid w:val="009B6976"/>
    <w:rsid w:val="009B749C"/>
    <w:rsid w:val="009B74AB"/>
    <w:rsid w:val="009B7A84"/>
    <w:rsid w:val="009B7FC5"/>
    <w:rsid w:val="009C0460"/>
    <w:rsid w:val="009C09DE"/>
    <w:rsid w:val="009C16DC"/>
    <w:rsid w:val="009C1E5C"/>
    <w:rsid w:val="009C3447"/>
    <w:rsid w:val="009C39F0"/>
    <w:rsid w:val="009C3C18"/>
    <w:rsid w:val="009C4DCF"/>
    <w:rsid w:val="009C512C"/>
    <w:rsid w:val="009C52BF"/>
    <w:rsid w:val="009D2071"/>
    <w:rsid w:val="009D37AB"/>
    <w:rsid w:val="009D3BBE"/>
    <w:rsid w:val="009D5817"/>
    <w:rsid w:val="009D5907"/>
    <w:rsid w:val="009D7B1C"/>
    <w:rsid w:val="009E0B4E"/>
    <w:rsid w:val="009E0B66"/>
    <w:rsid w:val="009E0C51"/>
    <w:rsid w:val="009E1680"/>
    <w:rsid w:val="009E16EC"/>
    <w:rsid w:val="009E18AB"/>
    <w:rsid w:val="009E1F8C"/>
    <w:rsid w:val="009E22FE"/>
    <w:rsid w:val="009E396F"/>
    <w:rsid w:val="009E3E41"/>
    <w:rsid w:val="009E45FA"/>
    <w:rsid w:val="009E5647"/>
    <w:rsid w:val="009E5BD8"/>
    <w:rsid w:val="009E7E21"/>
    <w:rsid w:val="009E7FE2"/>
    <w:rsid w:val="009F09C1"/>
    <w:rsid w:val="009F2529"/>
    <w:rsid w:val="009F2822"/>
    <w:rsid w:val="009F309F"/>
    <w:rsid w:val="009F39BB"/>
    <w:rsid w:val="009F4B7D"/>
    <w:rsid w:val="009F5AC7"/>
    <w:rsid w:val="009F615B"/>
    <w:rsid w:val="009F7548"/>
    <w:rsid w:val="00A0011D"/>
    <w:rsid w:val="00A0113D"/>
    <w:rsid w:val="00A01218"/>
    <w:rsid w:val="00A02665"/>
    <w:rsid w:val="00A04B1A"/>
    <w:rsid w:val="00A05848"/>
    <w:rsid w:val="00A06028"/>
    <w:rsid w:val="00A125A4"/>
    <w:rsid w:val="00A144CA"/>
    <w:rsid w:val="00A15ECF"/>
    <w:rsid w:val="00A16A7E"/>
    <w:rsid w:val="00A170C7"/>
    <w:rsid w:val="00A20387"/>
    <w:rsid w:val="00A20C7B"/>
    <w:rsid w:val="00A22078"/>
    <w:rsid w:val="00A233F9"/>
    <w:rsid w:val="00A24A59"/>
    <w:rsid w:val="00A24E0E"/>
    <w:rsid w:val="00A25FFF"/>
    <w:rsid w:val="00A272E0"/>
    <w:rsid w:val="00A27B6D"/>
    <w:rsid w:val="00A316D4"/>
    <w:rsid w:val="00A318CF"/>
    <w:rsid w:val="00A3244A"/>
    <w:rsid w:val="00A329EA"/>
    <w:rsid w:val="00A33484"/>
    <w:rsid w:val="00A3372B"/>
    <w:rsid w:val="00A345D7"/>
    <w:rsid w:val="00A348BB"/>
    <w:rsid w:val="00A34AFA"/>
    <w:rsid w:val="00A3595B"/>
    <w:rsid w:val="00A35EAE"/>
    <w:rsid w:val="00A360B3"/>
    <w:rsid w:val="00A36661"/>
    <w:rsid w:val="00A37ABC"/>
    <w:rsid w:val="00A413C1"/>
    <w:rsid w:val="00A4283E"/>
    <w:rsid w:val="00A42FC4"/>
    <w:rsid w:val="00A43F3C"/>
    <w:rsid w:val="00A445F3"/>
    <w:rsid w:val="00A45871"/>
    <w:rsid w:val="00A46767"/>
    <w:rsid w:val="00A50DB9"/>
    <w:rsid w:val="00A52BFE"/>
    <w:rsid w:val="00A5492E"/>
    <w:rsid w:val="00A55216"/>
    <w:rsid w:val="00A55CA4"/>
    <w:rsid w:val="00A55E94"/>
    <w:rsid w:val="00A55EF4"/>
    <w:rsid w:val="00A60F8B"/>
    <w:rsid w:val="00A614F3"/>
    <w:rsid w:val="00A61645"/>
    <w:rsid w:val="00A61B53"/>
    <w:rsid w:val="00A628EF"/>
    <w:rsid w:val="00A63164"/>
    <w:rsid w:val="00A63B50"/>
    <w:rsid w:val="00A64600"/>
    <w:rsid w:val="00A646DA"/>
    <w:rsid w:val="00A64B77"/>
    <w:rsid w:val="00A661E8"/>
    <w:rsid w:val="00A66684"/>
    <w:rsid w:val="00A6699F"/>
    <w:rsid w:val="00A70E2B"/>
    <w:rsid w:val="00A71727"/>
    <w:rsid w:val="00A7211A"/>
    <w:rsid w:val="00A72719"/>
    <w:rsid w:val="00A74DA3"/>
    <w:rsid w:val="00A75208"/>
    <w:rsid w:val="00A7559B"/>
    <w:rsid w:val="00A768A6"/>
    <w:rsid w:val="00A801C6"/>
    <w:rsid w:val="00A8363F"/>
    <w:rsid w:val="00A838F0"/>
    <w:rsid w:val="00A84C9F"/>
    <w:rsid w:val="00A858D2"/>
    <w:rsid w:val="00A86E51"/>
    <w:rsid w:val="00A879E3"/>
    <w:rsid w:val="00A91A9A"/>
    <w:rsid w:val="00A92AF2"/>
    <w:rsid w:val="00A938B4"/>
    <w:rsid w:val="00A94083"/>
    <w:rsid w:val="00A94414"/>
    <w:rsid w:val="00A94A3C"/>
    <w:rsid w:val="00A965D0"/>
    <w:rsid w:val="00A9670C"/>
    <w:rsid w:val="00A97A89"/>
    <w:rsid w:val="00AA159B"/>
    <w:rsid w:val="00AA1F10"/>
    <w:rsid w:val="00AA2490"/>
    <w:rsid w:val="00AA475A"/>
    <w:rsid w:val="00AA4856"/>
    <w:rsid w:val="00AA4CD4"/>
    <w:rsid w:val="00AA4EDF"/>
    <w:rsid w:val="00AA54C1"/>
    <w:rsid w:val="00AA58A6"/>
    <w:rsid w:val="00AA6057"/>
    <w:rsid w:val="00AA6D57"/>
    <w:rsid w:val="00AA7046"/>
    <w:rsid w:val="00AB0A54"/>
    <w:rsid w:val="00AB103E"/>
    <w:rsid w:val="00AB147B"/>
    <w:rsid w:val="00AB233B"/>
    <w:rsid w:val="00AB33B9"/>
    <w:rsid w:val="00AB44EC"/>
    <w:rsid w:val="00AB56BF"/>
    <w:rsid w:val="00AB6CC8"/>
    <w:rsid w:val="00AB7D99"/>
    <w:rsid w:val="00AC166D"/>
    <w:rsid w:val="00AC21FC"/>
    <w:rsid w:val="00AC2AD4"/>
    <w:rsid w:val="00AC380B"/>
    <w:rsid w:val="00AC3CD0"/>
    <w:rsid w:val="00AC5391"/>
    <w:rsid w:val="00AC53EC"/>
    <w:rsid w:val="00AC5C2C"/>
    <w:rsid w:val="00AC5C45"/>
    <w:rsid w:val="00AC6177"/>
    <w:rsid w:val="00AC6E5E"/>
    <w:rsid w:val="00AC702B"/>
    <w:rsid w:val="00AD262C"/>
    <w:rsid w:val="00AD2CEE"/>
    <w:rsid w:val="00AD2F5E"/>
    <w:rsid w:val="00AD33D6"/>
    <w:rsid w:val="00AD45C0"/>
    <w:rsid w:val="00AD55E0"/>
    <w:rsid w:val="00AD5978"/>
    <w:rsid w:val="00AD6221"/>
    <w:rsid w:val="00AD6839"/>
    <w:rsid w:val="00AD7A76"/>
    <w:rsid w:val="00AE148E"/>
    <w:rsid w:val="00AE18B4"/>
    <w:rsid w:val="00AE1FE9"/>
    <w:rsid w:val="00AE2172"/>
    <w:rsid w:val="00AE2D2C"/>
    <w:rsid w:val="00AE37A2"/>
    <w:rsid w:val="00AE3BF5"/>
    <w:rsid w:val="00AE480F"/>
    <w:rsid w:val="00AE4C85"/>
    <w:rsid w:val="00AE4E93"/>
    <w:rsid w:val="00AE794D"/>
    <w:rsid w:val="00AF00B7"/>
    <w:rsid w:val="00AF07C1"/>
    <w:rsid w:val="00AF110C"/>
    <w:rsid w:val="00AF2472"/>
    <w:rsid w:val="00AF2580"/>
    <w:rsid w:val="00AF333E"/>
    <w:rsid w:val="00AF3FB3"/>
    <w:rsid w:val="00AF5DAD"/>
    <w:rsid w:val="00AF735B"/>
    <w:rsid w:val="00AF7D46"/>
    <w:rsid w:val="00B01F7B"/>
    <w:rsid w:val="00B03674"/>
    <w:rsid w:val="00B0369B"/>
    <w:rsid w:val="00B0389B"/>
    <w:rsid w:val="00B05AED"/>
    <w:rsid w:val="00B074A9"/>
    <w:rsid w:val="00B10389"/>
    <w:rsid w:val="00B103BB"/>
    <w:rsid w:val="00B105A4"/>
    <w:rsid w:val="00B105C5"/>
    <w:rsid w:val="00B11689"/>
    <w:rsid w:val="00B11710"/>
    <w:rsid w:val="00B12560"/>
    <w:rsid w:val="00B13037"/>
    <w:rsid w:val="00B137CE"/>
    <w:rsid w:val="00B1380F"/>
    <w:rsid w:val="00B13DB4"/>
    <w:rsid w:val="00B147A4"/>
    <w:rsid w:val="00B155CE"/>
    <w:rsid w:val="00B159C7"/>
    <w:rsid w:val="00B15F2A"/>
    <w:rsid w:val="00B170F9"/>
    <w:rsid w:val="00B221E4"/>
    <w:rsid w:val="00B22429"/>
    <w:rsid w:val="00B23FD2"/>
    <w:rsid w:val="00B252F5"/>
    <w:rsid w:val="00B25B47"/>
    <w:rsid w:val="00B25D89"/>
    <w:rsid w:val="00B26420"/>
    <w:rsid w:val="00B27FBB"/>
    <w:rsid w:val="00B30A0A"/>
    <w:rsid w:val="00B3268A"/>
    <w:rsid w:val="00B32733"/>
    <w:rsid w:val="00B32A80"/>
    <w:rsid w:val="00B32C28"/>
    <w:rsid w:val="00B330D5"/>
    <w:rsid w:val="00B35465"/>
    <w:rsid w:val="00B37ACD"/>
    <w:rsid w:val="00B40023"/>
    <w:rsid w:val="00B40A95"/>
    <w:rsid w:val="00B40DE7"/>
    <w:rsid w:val="00B41595"/>
    <w:rsid w:val="00B432DF"/>
    <w:rsid w:val="00B44098"/>
    <w:rsid w:val="00B4477D"/>
    <w:rsid w:val="00B4649B"/>
    <w:rsid w:val="00B465F7"/>
    <w:rsid w:val="00B50B81"/>
    <w:rsid w:val="00B51468"/>
    <w:rsid w:val="00B51668"/>
    <w:rsid w:val="00B51D12"/>
    <w:rsid w:val="00B521AB"/>
    <w:rsid w:val="00B5389B"/>
    <w:rsid w:val="00B539C1"/>
    <w:rsid w:val="00B546EC"/>
    <w:rsid w:val="00B5485F"/>
    <w:rsid w:val="00B5570A"/>
    <w:rsid w:val="00B60AAA"/>
    <w:rsid w:val="00B617D2"/>
    <w:rsid w:val="00B62063"/>
    <w:rsid w:val="00B625A5"/>
    <w:rsid w:val="00B62D54"/>
    <w:rsid w:val="00B64A47"/>
    <w:rsid w:val="00B64E6A"/>
    <w:rsid w:val="00B6543D"/>
    <w:rsid w:val="00B667C1"/>
    <w:rsid w:val="00B66893"/>
    <w:rsid w:val="00B677C9"/>
    <w:rsid w:val="00B71C0B"/>
    <w:rsid w:val="00B71C43"/>
    <w:rsid w:val="00B727F4"/>
    <w:rsid w:val="00B730E6"/>
    <w:rsid w:val="00B73A1B"/>
    <w:rsid w:val="00B73C19"/>
    <w:rsid w:val="00B74698"/>
    <w:rsid w:val="00B74C0D"/>
    <w:rsid w:val="00B7638B"/>
    <w:rsid w:val="00B76CC1"/>
    <w:rsid w:val="00B76E9F"/>
    <w:rsid w:val="00B80546"/>
    <w:rsid w:val="00B82144"/>
    <w:rsid w:val="00B824D2"/>
    <w:rsid w:val="00B84454"/>
    <w:rsid w:val="00B850DF"/>
    <w:rsid w:val="00B85435"/>
    <w:rsid w:val="00B85A26"/>
    <w:rsid w:val="00B87856"/>
    <w:rsid w:val="00B90042"/>
    <w:rsid w:val="00B904AF"/>
    <w:rsid w:val="00B90521"/>
    <w:rsid w:val="00B9101C"/>
    <w:rsid w:val="00B91196"/>
    <w:rsid w:val="00B9179C"/>
    <w:rsid w:val="00B92709"/>
    <w:rsid w:val="00B959CE"/>
    <w:rsid w:val="00B9642B"/>
    <w:rsid w:val="00B97116"/>
    <w:rsid w:val="00B97475"/>
    <w:rsid w:val="00B97BE3"/>
    <w:rsid w:val="00BA1024"/>
    <w:rsid w:val="00BA1BC2"/>
    <w:rsid w:val="00BA2B35"/>
    <w:rsid w:val="00BA3350"/>
    <w:rsid w:val="00BA35AF"/>
    <w:rsid w:val="00BA35F2"/>
    <w:rsid w:val="00BA4A60"/>
    <w:rsid w:val="00BA5A27"/>
    <w:rsid w:val="00BA6237"/>
    <w:rsid w:val="00BA6321"/>
    <w:rsid w:val="00BA6CED"/>
    <w:rsid w:val="00BA761D"/>
    <w:rsid w:val="00BA7EF7"/>
    <w:rsid w:val="00BB10DE"/>
    <w:rsid w:val="00BB166F"/>
    <w:rsid w:val="00BB1A1B"/>
    <w:rsid w:val="00BB317F"/>
    <w:rsid w:val="00BB38BE"/>
    <w:rsid w:val="00BB39AF"/>
    <w:rsid w:val="00BB4228"/>
    <w:rsid w:val="00BB4F15"/>
    <w:rsid w:val="00BB593D"/>
    <w:rsid w:val="00BB605C"/>
    <w:rsid w:val="00BB733D"/>
    <w:rsid w:val="00BC032C"/>
    <w:rsid w:val="00BC035F"/>
    <w:rsid w:val="00BC4386"/>
    <w:rsid w:val="00BC4E7A"/>
    <w:rsid w:val="00BC616F"/>
    <w:rsid w:val="00BC6214"/>
    <w:rsid w:val="00BC6634"/>
    <w:rsid w:val="00BC769A"/>
    <w:rsid w:val="00BC76F3"/>
    <w:rsid w:val="00BC7F4D"/>
    <w:rsid w:val="00BD0338"/>
    <w:rsid w:val="00BD15D9"/>
    <w:rsid w:val="00BD1AEF"/>
    <w:rsid w:val="00BD2020"/>
    <w:rsid w:val="00BD37A9"/>
    <w:rsid w:val="00BD381D"/>
    <w:rsid w:val="00BD418F"/>
    <w:rsid w:val="00BD48ED"/>
    <w:rsid w:val="00BD6DD3"/>
    <w:rsid w:val="00BD7B31"/>
    <w:rsid w:val="00BE0750"/>
    <w:rsid w:val="00BE0809"/>
    <w:rsid w:val="00BE2226"/>
    <w:rsid w:val="00BE3055"/>
    <w:rsid w:val="00BE33AA"/>
    <w:rsid w:val="00BE3EB8"/>
    <w:rsid w:val="00BE400F"/>
    <w:rsid w:val="00BE4E63"/>
    <w:rsid w:val="00BE5109"/>
    <w:rsid w:val="00BE62D0"/>
    <w:rsid w:val="00BE6C9C"/>
    <w:rsid w:val="00BF095F"/>
    <w:rsid w:val="00BF18C0"/>
    <w:rsid w:val="00BF26B0"/>
    <w:rsid w:val="00BF42AA"/>
    <w:rsid w:val="00BF462C"/>
    <w:rsid w:val="00BF47BC"/>
    <w:rsid w:val="00BF5A09"/>
    <w:rsid w:val="00BF6005"/>
    <w:rsid w:val="00BF6863"/>
    <w:rsid w:val="00BF6A45"/>
    <w:rsid w:val="00BF7A0A"/>
    <w:rsid w:val="00C00203"/>
    <w:rsid w:val="00C0158B"/>
    <w:rsid w:val="00C01D34"/>
    <w:rsid w:val="00C01D93"/>
    <w:rsid w:val="00C024EB"/>
    <w:rsid w:val="00C02850"/>
    <w:rsid w:val="00C02F92"/>
    <w:rsid w:val="00C03B68"/>
    <w:rsid w:val="00C0445E"/>
    <w:rsid w:val="00C046ED"/>
    <w:rsid w:val="00C047B9"/>
    <w:rsid w:val="00C06585"/>
    <w:rsid w:val="00C0710A"/>
    <w:rsid w:val="00C07B0A"/>
    <w:rsid w:val="00C1097F"/>
    <w:rsid w:val="00C125D5"/>
    <w:rsid w:val="00C12621"/>
    <w:rsid w:val="00C12BD1"/>
    <w:rsid w:val="00C1697B"/>
    <w:rsid w:val="00C204E2"/>
    <w:rsid w:val="00C208DF"/>
    <w:rsid w:val="00C2104E"/>
    <w:rsid w:val="00C2312E"/>
    <w:rsid w:val="00C23618"/>
    <w:rsid w:val="00C2431E"/>
    <w:rsid w:val="00C25461"/>
    <w:rsid w:val="00C33832"/>
    <w:rsid w:val="00C35B97"/>
    <w:rsid w:val="00C36468"/>
    <w:rsid w:val="00C402A0"/>
    <w:rsid w:val="00C40445"/>
    <w:rsid w:val="00C40EFC"/>
    <w:rsid w:val="00C42301"/>
    <w:rsid w:val="00C42BEA"/>
    <w:rsid w:val="00C4324E"/>
    <w:rsid w:val="00C43402"/>
    <w:rsid w:val="00C4379C"/>
    <w:rsid w:val="00C44AE5"/>
    <w:rsid w:val="00C45533"/>
    <w:rsid w:val="00C45748"/>
    <w:rsid w:val="00C45BBD"/>
    <w:rsid w:val="00C46090"/>
    <w:rsid w:val="00C46688"/>
    <w:rsid w:val="00C54732"/>
    <w:rsid w:val="00C55FAA"/>
    <w:rsid w:val="00C57011"/>
    <w:rsid w:val="00C5730F"/>
    <w:rsid w:val="00C57CE0"/>
    <w:rsid w:val="00C605A7"/>
    <w:rsid w:val="00C61EC9"/>
    <w:rsid w:val="00C639BA"/>
    <w:rsid w:val="00C64706"/>
    <w:rsid w:val="00C650F7"/>
    <w:rsid w:val="00C669E7"/>
    <w:rsid w:val="00C66BAC"/>
    <w:rsid w:val="00C66BB0"/>
    <w:rsid w:val="00C67BCE"/>
    <w:rsid w:val="00C70365"/>
    <w:rsid w:val="00C70874"/>
    <w:rsid w:val="00C70D5F"/>
    <w:rsid w:val="00C7137D"/>
    <w:rsid w:val="00C71D4A"/>
    <w:rsid w:val="00C72AAE"/>
    <w:rsid w:val="00C73508"/>
    <w:rsid w:val="00C7504E"/>
    <w:rsid w:val="00C7603D"/>
    <w:rsid w:val="00C768B5"/>
    <w:rsid w:val="00C7690B"/>
    <w:rsid w:val="00C769AB"/>
    <w:rsid w:val="00C80359"/>
    <w:rsid w:val="00C80AFE"/>
    <w:rsid w:val="00C81D09"/>
    <w:rsid w:val="00C82969"/>
    <w:rsid w:val="00C82A22"/>
    <w:rsid w:val="00C83175"/>
    <w:rsid w:val="00C8326D"/>
    <w:rsid w:val="00C8417D"/>
    <w:rsid w:val="00C85742"/>
    <w:rsid w:val="00C8612C"/>
    <w:rsid w:val="00C863A9"/>
    <w:rsid w:val="00C8642B"/>
    <w:rsid w:val="00C875DC"/>
    <w:rsid w:val="00C876A2"/>
    <w:rsid w:val="00C9011B"/>
    <w:rsid w:val="00C91716"/>
    <w:rsid w:val="00C92585"/>
    <w:rsid w:val="00C9268A"/>
    <w:rsid w:val="00C931E4"/>
    <w:rsid w:val="00C93E71"/>
    <w:rsid w:val="00C9462A"/>
    <w:rsid w:val="00C96309"/>
    <w:rsid w:val="00C972EE"/>
    <w:rsid w:val="00CA0B1A"/>
    <w:rsid w:val="00CA13CC"/>
    <w:rsid w:val="00CA1671"/>
    <w:rsid w:val="00CA1A2A"/>
    <w:rsid w:val="00CA1E7A"/>
    <w:rsid w:val="00CA41AC"/>
    <w:rsid w:val="00CB1224"/>
    <w:rsid w:val="00CB13B9"/>
    <w:rsid w:val="00CB20B7"/>
    <w:rsid w:val="00CB2EE8"/>
    <w:rsid w:val="00CB3AF8"/>
    <w:rsid w:val="00CB3CCE"/>
    <w:rsid w:val="00CB662B"/>
    <w:rsid w:val="00CC0038"/>
    <w:rsid w:val="00CC0386"/>
    <w:rsid w:val="00CC1654"/>
    <w:rsid w:val="00CC17F1"/>
    <w:rsid w:val="00CC3083"/>
    <w:rsid w:val="00CC44C0"/>
    <w:rsid w:val="00CC459C"/>
    <w:rsid w:val="00CC639A"/>
    <w:rsid w:val="00CC7AC7"/>
    <w:rsid w:val="00CD00F7"/>
    <w:rsid w:val="00CD01B9"/>
    <w:rsid w:val="00CD2B13"/>
    <w:rsid w:val="00CD30CF"/>
    <w:rsid w:val="00CD3FC9"/>
    <w:rsid w:val="00CD41B5"/>
    <w:rsid w:val="00CD4AC9"/>
    <w:rsid w:val="00CD53E1"/>
    <w:rsid w:val="00CE1D55"/>
    <w:rsid w:val="00CE42FD"/>
    <w:rsid w:val="00CE59A8"/>
    <w:rsid w:val="00CE68BF"/>
    <w:rsid w:val="00CE68FF"/>
    <w:rsid w:val="00CE7033"/>
    <w:rsid w:val="00CF09CB"/>
    <w:rsid w:val="00CF19F6"/>
    <w:rsid w:val="00CF42AE"/>
    <w:rsid w:val="00CF62C2"/>
    <w:rsid w:val="00CF67B5"/>
    <w:rsid w:val="00CF6944"/>
    <w:rsid w:val="00CF7E06"/>
    <w:rsid w:val="00D01575"/>
    <w:rsid w:val="00D03FE2"/>
    <w:rsid w:val="00D04346"/>
    <w:rsid w:val="00D048EC"/>
    <w:rsid w:val="00D04AE9"/>
    <w:rsid w:val="00D116B4"/>
    <w:rsid w:val="00D11C3A"/>
    <w:rsid w:val="00D11D90"/>
    <w:rsid w:val="00D11E80"/>
    <w:rsid w:val="00D1383F"/>
    <w:rsid w:val="00D13A70"/>
    <w:rsid w:val="00D13B97"/>
    <w:rsid w:val="00D13F9C"/>
    <w:rsid w:val="00D1572D"/>
    <w:rsid w:val="00D15CDC"/>
    <w:rsid w:val="00D15D68"/>
    <w:rsid w:val="00D171B7"/>
    <w:rsid w:val="00D202FE"/>
    <w:rsid w:val="00D23C2D"/>
    <w:rsid w:val="00D24336"/>
    <w:rsid w:val="00D24551"/>
    <w:rsid w:val="00D245DD"/>
    <w:rsid w:val="00D24BA9"/>
    <w:rsid w:val="00D25091"/>
    <w:rsid w:val="00D2530A"/>
    <w:rsid w:val="00D3094B"/>
    <w:rsid w:val="00D316A1"/>
    <w:rsid w:val="00D31C8D"/>
    <w:rsid w:val="00D32127"/>
    <w:rsid w:val="00D32357"/>
    <w:rsid w:val="00D325DA"/>
    <w:rsid w:val="00D32A60"/>
    <w:rsid w:val="00D35164"/>
    <w:rsid w:val="00D3553E"/>
    <w:rsid w:val="00D3601B"/>
    <w:rsid w:val="00D40508"/>
    <w:rsid w:val="00D406CB"/>
    <w:rsid w:val="00D40FFA"/>
    <w:rsid w:val="00D42280"/>
    <w:rsid w:val="00D45DC1"/>
    <w:rsid w:val="00D46E77"/>
    <w:rsid w:val="00D500EC"/>
    <w:rsid w:val="00D5017C"/>
    <w:rsid w:val="00D508B6"/>
    <w:rsid w:val="00D51EAC"/>
    <w:rsid w:val="00D539C5"/>
    <w:rsid w:val="00D544C8"/>
    <w:rsid w:val="00D5541E"/>
    <w:rsid w:val="00D5582C"/>
    <w:rsid w:val="00D56B43"/>
    <w:rsid w:val="00D57237"/>
    <w:rsid w:val="00D572E5"/>
    <w:rsid w:val="00D57546"/>
    <w:rsid w:val="00D60637"/>
    <w:rsid w:val="00D6145F"/>
    <w:rsid w:val="00D61781"/>
    <w:rsid w:val="00D62C9E"/>
    <w:rsid w:val="00D62DD3"/>
    <w:rsid w:val="00D63983"/>
    <w:rsid w:val="00D63F50"/>
    <w:rsid w:val="00D642B1"/>
    <w:rsid w:val="00D7223F"/>
    <w:rsid w:val="00D722E9"/>
    <w:rsid w:val="00D727F9"/>
    <w:rsid w:val="00D72B16"/>
    <w:rsid w:val="00D737E8"/>
    <w:rsid w:val="00D74417"/>
    <w:rsid w:val="00D76021"/>
    <w:rsid w:val="00D8040C"/>
    <w:rsid w:val="00D80DF6"/>
    <w:rsid w:val="00D83AE6"/>
    <w:rsid w:val="00D85093"/>
    <w:rsid w:val="00D86411"/>
    <w:rsid w:val="00D868B3"/>
    <w:rsid w:val="00D868D5"/>
    <w:rsid w:val="00D86E9B"/>
    <w:rsid w:val="00D8706E"/>
    <w:rsid w:val="00D90790"/>
    <w:rsid w:val="00D90E57"/>
    <w:rsid w:val="00D91493"/>
    <w:rsid w:val="00D9215C"/>
    <w:rsid w:val="00D934A1"/>
    <w:rsid w:val="00D93962"/>
    <w:rsid w:val="00D94316"/>
    <w:rsid w:val="00D945A8"/>
    <w:rsid w:val="00D9538B"/>
    <w:rsid w:val="00D95B00"/>
    <w:rsid w:val="00D970AF"/>
    <w:rsid w:val="00DA0669"/>
    <w:rsid w:val="00DA0907"/>
    <w:rsid w:val="00DA0AF0"/>
    <w:rsid w:val="00DA1072"/>
    <w:rsid w:val="00DA112F"/>
    <w:rsid w:val="00DA2084"/>
    <w:rsid w:val="00DA230D"/>
    <w:rsid w:val="00DA290A"/>
    <w:rsid w:val="00DA31A4"/>
    <w:rsid w:val="00DA3752"/>
    <w:rsid w:val="00DA3C85"/>
    <w:rsid w:val="00DA440D"/>
    <w:rsid w:val="00DA66C3"/>
    <w:rsid w:val="00DA7878"/>
    <w:rsid w:val="00DA7E02"/>
    <w:rsid w:val="00DB1388"/>
    <w:rsid w:val="00DB2247"/>
    <w:rsid w:val="00DB23B5"/>
    <w:rsid w:val="00DB35CC"/>
    <w:rsid w:val="00DB4B81"/>
    <w:rsid w:val="00DB5233"/>
    <w:rsid w:val="00DB5B0F"/>
    <w:rsid w:val="00DB7291"/>
    <w:rsid w:val="00DC0C8F"/>
    <w:rsid w:val="00DC0DB2"/>
    <w:rsid w:val="00DC122F"/>
    <w:rsid w:val="00DC337F"/>
    <w:rsid w:val="00DC3D2A"/>
    <w:rsid w:val="00DC42B2"/>
    <w:rsid w:val="00DC5149"/>
    <w:rsid w:val="00DC530D"/>
    <w:rsid w:val="00DC5376"/>
    <w:rsid w:val="00DC6169"/>
    <w:rsid w:val="00DC6AD8"/>
    <w:rsid w:val="00DC6EFC"/>
    <w:rsid w:val="00DC7085"/>
    <w:rsid w:val="00DC74B0"/>
    <w:rsid w:val="00DC793A"/>
    <w:rsid w:val="00DC7EFC"/>
    <w:rsid w:val="00DD07A3"/>
    <w:rsid w:val="00DD2A58"/>
    <w:rsid w:val="00DD313D"/>
    <w:rsid w:val="00DD3726"/>
    <w:rsid w:val="00DD4985"/>
    <w:rsid w:val="00DD4D08"/>
    <w:rsid w:val="00DD5211"/>
    <w:rsid w:val="00DD566A"/>
    <w:rsid w:val="00DD600E"/>
    <w:rsid w:val="00DD61AC"/>
    <w:rsid w:val="00DD63DC"/>
    <w:rsid w:val="00DD6547"/>
    <w:rsid w:val="00DD65C8"/>
    <w:rsid w:val="00DD6D4F"/>
    <w:rsid w:val="00DD6FF7"/>
    <w:rsid w:val="00DD7819"/>
    <w:rsid w:val="00DE191F"/>
    <w:rsid w:val="00DE2885"/>
    <w:rsid w:val="00DE2BBD"/>
    <w:rsid w:val="00DE30D7"/>
    <w:rsid w:val="00DE4244"/>
    <w:rsid w:val="00DE4780"/>
    <w:rsid w:val="00DE7494"/>
    <w:rsid w:val="00DF29D1"/>
    <w:rsid w:val="00DF2C97"/>
    <w:rsid w:val="00DF3931"/>
    <w:rsid w:val="00DF6862"/>
    <w:rsid w:val="00DF7705"/>
    <w:rsid w:val="00E01B51"/>
    <w:rsid w:val="00E01C80"/>
    <w:rsid w:val="00E02496"/>
    <w:rsid w:val="00E02E5F"/>
    <w:rsid w:val="00E038C7"/>
    <w:rsid w:val="00E038FC"/>
    <w:rsid w:val="00E03A7F"/>
    <w:rsid w:val="00E03DD5"/>
    <w:rsid w:val="00E03F86"/>
    <w:rsid w:val="00E04301"/>
    <w:rsid w:val="00E046D2"/>
    <w:rsid w:val="00E0514A"/>
    <w:rsid w:val="00E10901"/>
    <w:rsid w:val="00E11D5D"/>
    <w:rsid w:val="00E12B38"/>
    <w:rsid w:val="00E13849"/>
    <w:rsid w:val="00E14AE9"/>
    <w:rsid w:val="00E14EB3"/>
    <w:rsid w:val="00E15FB0"/>
    <w:rsid w:val="00E1717E"/>
    <w:rsid w:val="00E21314"/>
    <w:rsid w:val="00E21638"/>
    <w:rsid w:val="00E21AD6"/>
    <w:rsid w:val="00E228BB"/>
    <w:rsid w:val="00E24546"/>
    <w:rsid w:val="00E26E5F"/>
    <w:rsid w:val="00E27C73"/>
    <w:rsid w:val="00E31B2E"/>
    <w:rsid w:val="00E33D13"/>
    <w:rsid w:val="00E3428D"/>
    <w:rsid w:val="00E41DD0"/>
    <w:rsid w:val="00E4388B"/>
    <w:rsid w:val="00E43B57"/>
    <w:rsid w:val="00E43DEB"/>
    <w:rsid w:val="00E465EE"/>
    <w:rsid w:val="00E46DDE"/>
    <w:rsid w:val="00E501C2"/>
    <w:rsid w:val="00E50771"/>
    <w:rsid w:val="00E50EB9"/>
    <w:rsid w:val="00E529DB"/>
    <w:rsid w:val="00E52DE0"/>
    <w:rsid w:val="00E52E1A"/>
    <w:rsid w:val="00E53FC7"/>
    <w:rsid w:val="00E54CF3"/>
    <w:rsid w:val="00E55053"/>
    <w:rsid w:val="00E55862"/>
    <w:rsid w:val="00E55930"/>
    <w:rsid w:val="00E56658"/>
    <w:rsid w:val="00E57E77"/>
    <w:rsid w:val="00E60AB2"/>
    <w:rsid w:val="00E62F21"/>
    <w:rsid w:val="00E631E0"/>
    <w:rsid w:val="00E63B8A"/>
    <w:rsid w:val="00E65A23"/>
    <w:rsid w:val="00E676CE"/>
    <w:rsid w:val="00E67E1B"/>
    <w:rsid w:val="00E71DE6"/>
    <w:rsid w:val="00E720DE"/>
    <w:rsid w:val="00E7229A"/>
    <w:rsid w:val="00E73C7A"/>
    <w:rsid w:val="00E73F2A"/>
    <w:rsid w:val="00E74288"/>
    <w:rsid w:val="00E74F8F"/>
    <w:rsid w:val="00E80155"/>
    <w:rsid w:val="00E802C2"/>
    <w:rsid w:val="00E805C0"/>
    <w:rsid w:val="00E818A8"/>
    <w:rsid w:val="00E843AA"/>
    <w:rsid w:val="00E8575D"/>
    <w:rsid w:val="00E85F55"/>
    <w:rsid w:val="00E86773"/>
    <w:rsid w:val="00E90E9F"/>
    <w:rsid w:val="00E91657"/>
    <w:rsid w:val="00E9588A"/>
    <w:rsid w:val="00EA39FF"/>
    <w:rsid w:val="00EA5999"/>
    <w:rsid w:val="00EA6CC4"/>
    <w:rsid w:val="00EA7375"/>
    <w:rsid w:val="00EA7A6A"/>
    <w:rsid w:val="00EB1205"/>
    <w:rsid w:val="00EB251E"/>
    <w:rsid w:val="00EB26E7"/>
    <w:rsid w:val="00EB34D9"/>
    <w:rsid w:val="00EB3571"/>
    <w:rsid w:val="00EB36A9"/>
    <w:rsid w:val="00EB4C00"/>
    <w:rsid w:val="00EB4D51"/>
    <w:rsid w:val="00EB50CA"/>
    <w:rsid w:val="00EB5828"/>
    <w:rsid w:val="00EB6829"/>
    <w:rsid w:val="00EB6BC7"/>
    <w:rsid w:val="00EC0BCD"/>
    <w:rsid w:val="00EC163E"/>
    <w:rsid w:val="00EC1EE1"/>
    <w:rsid w:val="00EC1F16"/>
    <w:rsid w:val="00EC2578"/>
    <w:rsid w:val="00EC28A5"/>
    <w:rsid w:val="00EC4012"/>
    <w:rsid w:val="00EC63B5"/>
    <w:rsid w:val="00EC68BF"/>
    <w:rsid w:val="00ED0326"/>
    <w:rsid w:val="00ED1125"/>
    <w:rsid w:val="00ED17CD"/>
    <w:rsid w:val="00ED19F0"/>
    <w:rsid w:val="00ED20E6"/>
    <w:rsid w:val="00ED2769"/>
    <w:rsid w:val="00ED2A34"/>
    <w:rsid w:val="00ED3F27"/>
    <w:rsid w:val="00ED4134"/>
    <w:rsid w:val="00ED4824"/>
    <w:rsid w:val="00ED4B99"/>
    <w:rsid w:val="00ED528D"/>
    <w:rsid w:val="00ED71EA"/>
    <w:rsid w:val="00EE1F75"/>
    <w:rsid w:val="00EE359A"/>
    <w:rsid w:val="00EE5535"/>
    <w:rsid w:val="00EE6195"/>
    <w:rsid w:val="00EE7256"/>
    <w:rsid w:val="00EE7280"/>
    <w:rsid w:val="00EF05C1"/>
    <w:rsid w:val="00EF1022"/>
    <w:rsid w:val="00EF1575"/>
    <w:rsid w:val="00EF207C"/>
    <w:rsid w:val="00EF4696"/>
    <w:rsid w:val="00EF53CD"/>
    <w:rsid w:val="00EF55C7"/>
    <w:rsid w:val="00EF6D6F"/>
    <w:rsid w:val="00EF77F8"/>
    <w:rsid w:val="00F01165"/>
    <w:rsid w:val="00F01AB4"/>
    <w:rsid w:val="00F02328"/>
    <w:rsid w:val="00F02383"/>
    <w:rsid w:val="00F02E91"/>
    <w:rsid w:val="00F03875"/>
    <w:rsid w:val="00F05B95"/>
    <w:rsid w:val="00F0624C"/>
    <w:rsid w:val="00F06CE3"/>
    <w:rsid w:val="00F106FC"/>
    <w:rsid w:val="00F1076D"/>
    <w:rsid w:val="00F13108"/>
    <w:rsid w:val="00F144AC"/>
    <w:rsid w:val="00F145DB"/>
    <w:rsid w:val="00F15467"/>
    <w:rsid w:val="00F16391"/>
    <w:rsid w:val="00F173D7"/>
    <w:rsid w:val="00F17673"/>
    <w:rsid w:val="00F21354"/>
    <w:rsid w:val="00F2156D"/>
    <w:rsid w:val="00F21CEC"/>
    <w:rsid w:val="00F228B4"/>
    <w:rsid w:val="00F22A5C"/>
    <w:rsid w:val="00F2648D"/>
    <w:rsid w:val="00F267AF"/>
    <w:rsid w:val="00F26BAD"/>
    <w:rsid w:val="00F318AB"/>
    <w:rsid w:val="00F31E87"/>
    <w:rsid w:val="00F3263E"/>
    <w:rsid w:val="00F33785"/>
    <w:rsid w:val="00F34015"/>
    <w:rsid w:val="00F347AA"/>
    <w:rsid w:val="00F36EFD"/>
    <w:rsid w:val="00F3774F"/>
    <w:rsid w:val="00F37FD4"/>
    <w:rsid w:val="00F415A6"/>
    <w:rsid w:val="00F415EF"/>
    <w:rsid w:val="00F43A90"/>
    <w:rsid w:val="00F44E48"/>
    <w:rsid w:val="00F44ECE"/>
    <w:rsid w:val="00F47483"/>
    <w:rsid w:val="00F5114E"/>
    <w:rsid w:val="00F513AD"/>
    <w:rsid w:val="00F5403E"/>
    <w:rsid w:val="00F55712"/>
    <w:rsid w:val="00F567AF"/>
    <w:rsid w:val="00F61309"/>
    <w:rsid w:val="00F6223B"/>
    <w:rsid w:val="00F62682"/>
    <w:rsid w:val="00F62801"/>
    <w:rsid w:val="00F62B55"/>
    <w:rsid w:val="00F63D5F"/>
    <w:rsid w:val="00F63E0E"/>
    <w:rsid w:val="00F64DD1"/>
    <w:rsid w:val="00F662FE"/>
    <w:rsid w:val="00F67C7F"/>
    <w:rsid w:val="00F705FF"/>
    <w:rsid w:val="00F7095E"/>
    <w:rsid w:val="00F70C99"/>
    <w:rsid w:val="00F73851"/>
    <w:rsid w:val="00F746C4"/>
    <w:rsid w:val="00F7498C"/>
    <w:rsid w:val="00F75A23"/>
    <w:rsid w:val="00F769C7"/>
    <w:rsid w:val="00F77396"/>
    <w:rsid w:val="00F7794C"/>
    <w:rsid w:val="00F8155A"/>
    <w:rsid w:val="00F81F1B"/>
    <w:rsid w:val="00F8286E"/>
    <w:rsid w:val="00F83445"/>
    <w:rsid w:val="00F85508"/>
    <w:rsid w:val="00F85E25"/>
    <w:rsid w:val="00F86B70"/>
    <w:rsid w:val="00F86CCD"/>
    <w:rsid w:val="00F87712"/>
    <w:rsid w:val="00F90E10"/>
    <w:rsid w:val="00F92349"/>
    <w:rsid w:val="00F941A4"/>
    <w:rsid w:val="00F95025"/>
    <w:rsid w:val="00F957C0"/>
    <w:rsid w:val="00F958FC"/>
    <w:rsid w:val="00F95F7A"/>
    <w:rsid w:val="00FA1052"/>
    <w:rsid w:val="00FA1242"/>
    <w:rsid w:val="00FA2246"/>
    <w:rsid w:val="00FA3DD9"/>
    <w:rsid w:val="00FA4FB1"/>
    <w:rsid w:val="00FA5402"/>
    <w:rsid w:val="00FA5E34"/>
    <w:rsid w:val="00FA78D2"/>
    <w:rsid w:val="00FB0A50"/>
    <w:rsid w:val="00FB0AED"/>
    <w:rsid w:val="00FB23E1"/>
    <w:rsid w:val="00FB4D70"/>
    <w:rsid w:val="00FB7465"/>
    <w:rsid w:val="00FB74A5"/>
    <w:rsid w:val="00FC0EF0"/>
    <w:rsid w:val="00FC143A"/>
    <w:rsid w:val="00FC145C"/>
    <w:rsid w:val="00FC1AC5"/>
    <w:rsid w:val="00FC1C21"/>
    <w:rsid w:val="00FC2076"/>
    <w:rsid w:val="00FC33DA"/>
    <w:rsid w:val="00FC3BF7"/>
    <w:rsid w:val="00FC3C1A"/>
    <w:rsid w:val="00FC4440"/>
    <w:rsid w:val="00FC4473"/>
    <w:rsid w:val="00FC547C"/>
    <w:rsid w:val="00FC5843"/>
    <w:rsid w:val="00FC752C"/>
    <w:rsid w:val="00FC76CA"/>
    <w:rsid w:val="00FD0BF9"/>
    <w:rsid w:val="00FD2242"/>
    <w:rsid w:val="00FD413E"/>
    <w:rsid w:val="00FD51AE"/>
    <w:rsid w:val="00FD722C"/>
    <w:rsid w:val="00FE1BA1"/>
    <w:rsid w:val="00FE2F08"/>
    <w:rsid w:val="00FE4261"/>
    <w:rsid w:val="00FE4AEC"/>
    <w:rsid w:val="00FE5E5D"/>
    <w:rsid w:val="00FE63FC"/>
    <w:rsid w:val="00FE76F7"/>
    <w:rsid w:val="00FE78D7"/>
    <w:rsid w:val="00FF10B2"/>
    <w:rsid w:val="00FF3839"/>
    <w:rsid w:val="00FF3A56"/>
    <w:rsid w:val="00FF4B1B"/>
    <w:rsid w:val="00FF6AF2"/>
    <w:rsid w:val="00FF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13C02"/>
  <w15:docId w15:val="{1A388057-7577-4255-852C-EE652546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Batang"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qFormat="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iPriority="0" w:unhideWhenUsed="1"/>
    <w:lsdException w:name="Block Text" w:semiHidden="1" w:unhideWhenUsed="1" w:qFormat="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EC"/>
    <w:pPr>
      <w:spacing w:after="240"/>
    </w:pPr>
    <w:rPr>
      <w:rFonts w:ascii="Times New Roman" w:eastAsia="Times New Roman" w:hAnsi="Times New Roman"/>
      <w:sz w:val="22"/>
      <w:szCs w:val="22"/>
    </w:rPr>
  </w:style>
  <w:style w:type="paragraph" w:styleId="Heading1">
    <w:name w:val="heading 1"/>
    <w:basedOn w:val="Normal"/>
    <w:next w:val="Normal"/>
    <w:link w:val="Heading1Char"/>
    <w:qFormat/>
    <w:rsid w:val="005766EC"/>
    <w:pPr>
      <w:keepNext/>
      <w:numPr>
        <w:numId w:val="26"/>
      </w:numPr>
      <w:spacing w:before="720"/>
      <w:outlineLvl w:val="0"/>
    </w:pPr>
    <w:rPr>
      <w:rFonts w:ascii="Segoe UI" w:hAnsi="Segoe UI" w:cs="Arial"/>
      <w:b/>
      <w:bCs/>
      <w:kern w:val="32"/>
      <w:sz w:val="42"/>
      <w:szCs w:val="42"/>
    </w:rPr>
  </w:style>
  <w:style w:type="paragraph" w:styleId="Heading2">
    <w:name w:val="heading 2"/>
    <w:basedOn w:val="Normal"/>
    <w:next w:val="Normal"/>
    <w:link w:val="Heading2Char"/>
    <w:qFormat/>
    <w:rsid w:val="005766EC"/>
    <w:pPr>
      <w:keepNext/>
      <w:numPr>
        <w:ilvl w:val="1"/>
        <w:numId w:val="26"/>
      </w:numPr>
      <w:spacing w:before="480"/>
      <w:outlineLvl w:val="1"/>
    </w:pPr>
    <w:rPr>
      <w:rFonts w:ascii="Segoe UI" w:hAnsi="Segoe UI" w:cs="Arial"/>
      <w:b/>
      <w:bCs/>
      <w:iCs/>
      <w:sz w:val="30"/>
      <w:szCs w:val="30"/>
    </w:rPr>
  </w:style>
  <w:style w:type="paragraph" w:styleId="Heading3">
    <w:name w:val="heading 3"/>
    <w:basedOn w:val="Normal"/>
    <w:next w:val="Normal"/>
    <w:link w:val="Heading3Char"/>
    <w:qFormat/>
    <w:rsid w:val="005766EC"/>
    <w:pPr>
      <w:keepNext/>
      <w:numPr>
        <w:ilvl w:val="2"/>
        <w:numId w:val="26"/>
      </w:numPr>
      <w:spacing w:before="240" w:after="0"/>
      <w:outlineLvl w:val="2"/>
    </w:pPr>
    <w:rPr>
      <w:rFonts w:ascii="Segoe UI" w:hAnsi="Segoe UI" w:cs="Arial"/>
      <w:b/>
      <w:bCs/>
      <w:sz w:val="24"/>
    </w:rPr>
  </w:style>
  <w:style w:type="paragraph" w:styleId="Heading4">
    <w:name w:val="heading 4"/>
    <w:basedOn w:val="Normal"/>
    <w:next w:val="Normal"/>
    <w:link w:val="Heading4Char"/>
    <w:qFormat/>
    <w:rsid w:val="00285D2A"/>
    <w:pPr>
      <w:keepNext/>
      <w:numPr>
        <w:ilvl w:val="3"/>
        <w:numId w:val="26"/>
      </w:numPr>
      <w:spacing w:before="240" w:after="20"/>
      <w:outlineLvl w:val="3"/>
    </w:pPr>
    <w:rPr>
      <w:rFonts w:ascii="Segoe UI" w:hAnsi="Segoe UI"/>
      <w:b/>
      <w:bCs/>
      <w:i/>
    </w:rPr>
  </w:style>
  <w:style w:type="paragraph" w:styleId="Heading5">
    <w:name w:val="heading 5"/>
    <w:basedOn w:val="Normal"/>
    <w:next w:val="Normal"/>
    <w:link w:val="Heading5Char"/>
    <w:qFormat/>
    <w:rsid w:val="00285D2A"/>
    <w:pPr>
      <w:spacing w:after="60"/>
      <w:outlineLvl w:val="4"/>
    </w:pPr>
    <w:rPr>
      <w:b/>
      <w:bCs/>
      <w:iCs/>
      <w:sz w:val="24"/>
    </w:rPr>
  </w:style>
  <w:style w:type="paragraph" w:styleId="Heading6">
    <w:name w:val="heading 6"/>
    <w:basedOn w:val="Normal"/>
    <w:next w:val="Normal"/>
    <w:link w:val="Heading6Char"/>
    <w:qFormat/>
    <w:rsid w:val="00285D2A"/>
    <w:pPr>
      <w:spacing w:after="60"/>
      <w:outlineLvl w:val="5"/>
    </w:pPr>
    <w:rPr>
      <w:bCs/>
      <w:i/>
      <w:sz w:val="24"/>
    </w:rPr>
  </w:style>
  <w:style w:type="paragraph" w:styleId="Heading7">
    <w:name w:val="heading 7"/>
    <w:basedOn w:val="Normal"/>
    <w:next w:val="Normal"/>
    <w:link w:val="Heading7Char"/>
    <w:qFormat/>
    <w:rsid w:val="00285D2A"/>
    <w:pPr>
      <w:spacing w:after="60"/>
      <w:ind w:left="360"/>
      <w:outlineLvl w:val="6"/>
    </w:pPr>
    <w:rPr>
      <w:i/>
      <w:sz w:val="24"/>
    </w:rPr>
  </w:style>
  <w:style w:type="paragraph" w:styleId="Heading8">
    <w:name w:val="heading 8"/>
    <w:basedOn w:val="Normal"/>
    <w:next w:val="Normal"/>
    <w:link w:val="Heading8Char"/>
    <w:qFormat/>
    <w:rsid w:val="00E802C2"/>
    <w:pPr>
      <w:keepNext/>
      <w:spacing w:before="1200"/>
      <w:outlineLvl w:val="7"/>
    </w:pPr>
    <w:rPr>
      <w:rFonts w:ascii="Arial" w:hAnsi="Arial"/>
      <w:b/>
      <w:sz w:val="44"/>
      <w:szCs w:val="44"/>
    </w:rPr>
  </w:style>
  <w:style w:type="paragraph" w:styleId="Heading9">
    <w:name w:val="heading 9"/>
    <w:basedOn w:val="Normal"/>
    <w:next w:val="BodyText"/>
    <w:link w:val="Heading9Char"/>
    <w:qFormat/>
    <w:rsid w:val="00BB4228"/>
    <w:pPr>
      <w:keepNext/>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66EC"/>
    <w:rPr>
      <w:rFonts w:ascii="Segoe UI" w:eastAsia="Times New Roman" w:hAnsi="Segoe UI" w:cs="Arial"/>
      <w:b/>
      <w:bCs/>
      <w:kern w:val="32"/>
      <w:sz w:val="42"/>
      <w:szCs w:val="42"/>
    </w:rPr>
  </w:style>
  <w:style w:type="character" w:customStyle="1" w:styleId="Heading2Char">
    <w:name w:val="Heading 2 Char"/>
    <w:basedOn w:val="DefaultParagraphFont"/>
    <w:link w:val="Heading2"/>
    <w:rsid w:val="005766EC"/>
    <w:rPr>
      <w:rFonts w:ascii="Segoe UI" w:eastAsia="Times New Roman" w:hAnsi="Segoe UI" w:cs="Arial"/>
      <w:b/>
      <w:bCs/>
      <w:iCs/>
      <w:sz w:val="30"/>
      <w:szCs w:val="30"/>
    </w:rPr>
  </w:style>
  <w:style w:type="character" w:customStyle="1" w:styleId="Heading3Char">
    <w:name w:val="Heading 3 Char"/>
    <w:basedOn w:val="DefaultParagraphFont"/>
    <w:link w:val="Heading3"/>
    <w:rsid w:val="005766EC"/>
    <w:rPr>
      <w:rFonts w:ascii="Segoe UI" w:eastAsia="Times New Roman" w:hAnsi="Segoe UI" w:cs="Arial"/>
      <w:b/>
      <w:bCs/>
      <w:sz w:val="24"/>
      <w:szCs w:val="22"/>
    </w:rPr>
  </w:style>
  <w:style w:type="paragraph" w:styleId="TOCHeading">
    <w:name w:val="TOC Heading"/>
    <w:next w:val="Normal"/>
    <w:uiPriority w:val="39"/>
    <w:unhideWhenUsed/>
    <w:qFormat/>
    <w:rsid w:val="00BB4228"/>
    <w:pPr>
      <w:keepNext/>
      <w:keepLines/>
      <w:spacing w:before="480" w:line="276" w:lineRule="auto"/>
    </w:pPr>
    <w:rPr>
      <w:rFonts w:eastAsia="MS Gothic"/>
      <w:bCs/>
      <w:color w:val="365F91"/>
      <w:sz w:val="28"/>
      <w:szCs w:val="28"/>
      <w:lang w:eastAsia="ja-JP"/>
    </w:rPr>
  </w:style>
  <w:style w:type="paragraph" w:styleId="TOC1">
    <w:name w:val="toc 1"/>
    <w:basedOn w:val="Normal"/>
    <w:next w:val="Normal"/>
    <w:autoRedefine/>
    <w:rsid w:val="00E802C2"/>
    <w:pPr>
      <w:tabs>
        <w:tab w:val="right" w:leader="dot" w:pos="7910"/>
      </w:tabs>
      <w:spacing w:before="240"/>
      <w:ind w:left="720" w:hanging="720"/>
    </w:pPr>
    <w:rPr>
      <w:b/>
    </w:rPr>
  </w:style>
  <w:style w:type="paragraph" w:styleId="TOC2">
    <w:name w:val="toc 2"/>
    <w:basedOn w:val="Normal"/>
    <w:next w:val="Normal"/>
    <w:autoRedefine/>
    <w:rsid w:val="00E802C2"/>
    <w:pPr>
      <w:tabs>
        <w:tab w:val="right" w:leader="dot" w:pos="7910"/>
      </w:tabs>
      <w:ind w:left="1080" w:hanging="720"/>
    </w:pPr>
  </w:style>
  <w:style w:type="paragraph" w:styleId="TOC3">
    <w:name w:val="toc 3"/>
    <w:basedOn w:val="Normal"/>
    <w:next w:val="Normal"/>
    <w:autoRedefine/>
    <w:rsid w:val="00E802C2"/>
    <w:pPr>
      <w:tabs>
        <w:tab w:val="right" w:leader="dot" w:pos="7910"/>
      </w:tabs>
      <w:ind w:left="720"/>
    </w:pPr>
  </w:style>
  <w:style w:type="paragraph" w:styleId="BodyText">
    <w:name w:val="Body Text"/>
    <w:basedOn w:val="Normal"/>
    <w:link w:val="BodyTextChar"/>
    <w:qFormat/>
    <w:rsid w:val="00FE4261"/>
    <w:pPr>
      <w:keepNext/>
      <w:tabs>
        <w:tab w:val="left" w:pos="8415"/>
      </w:tabs>
    </w:pPr>
    <w:rPr>
      <w:sz w:val="24"/>
    </w:rPr>
  </w:style>
  <w:style w:type="character" w:customStyle="1" w:styleId="BodyTextChar">
    <w:name w:val="Body Text Char"/>
    <w:link w:val="BodyText"/>
    <w:rsid w:val="00FE4261"/>
    <w:rPr>
      <w:rFonts w:ascii="Times New Roman" w:eastAsia="Times New Roman" w:hAnsi="Times New Roman"/>
      <w:sz w:val="24"/>
      <w:szCs w:val="22"/>
    </w:rPr>
  </w:style>
  <w:style w:type="paragraph" w:styleId="ListBullet">
    <w:name w:val="List Bullet"/>
    <w:basedOn w:val="Normal"/>
    <w:link w:val="ListBulletChar"/>
    <w:qFormat/>
    <w:rsid w:val="00F705FF"/>
    <w:pPr>
      <w:numPr>
        <w:numId w:val="23"/>
      </w:numPr>
      <w:spacing w:before="120" w:after="0"/>
    </w:pPr>
    <w:rPr>
      <w:rFonts w:eastAsia="Calibri"/>
      <w:sz w:val="24"/>
    </w:rPr>
  </w:style>
  <w:style w:type="paragraph" w:styleId="ListNumber">
    <w:name w:val="List Number"/>
    <w:basedOn w:val="Normal"/>
    <w:uiPriority w:val="99"/>
    <w:rsid w:val="00BB4228"/>
    <w:pPr>
      <w:numPr>
        <w:numId w:val="13"/>
      </w:numPr>
    </w:pPr>
    <w:rPr>
      <w:rFonts w:eastAsia="Calibri"/>
    </w:rPr>
  </w:style>
  <w:style w:type="paragraph" w:styleId="Header">
    <w:name w:val="header"/>
    <w:basedOn w:val="Normal"/>
    <w:link w:val="HeaderChar"/>
    <w:rsid w:val="00E802C2"/>
    <w:pPr>
      <w:tabs>
        <w:tab w:val="center" w:pos="4320"/>
        <w:tab w:val="right" w:pos="8640"/>
      </w:tabs>
    </w:pPr>
  </w:style>
  <w:style w:type="character" w:customStyle="1" w:styleId="HeaderChar">
    <w:name w:val="Header Char"/>
    <w:basedOn w:val="DefaultParagraphFont"/>
    <w:link w:val="Header"/>
    <w:rsid w:val="00E802C2"/>
    <w:rPr>
      <w:rFonts w:ascii="Times New Roman" w:eastAsia="Times New Roman" w:hAnsi="Times New Roman"/>
      <w:sz w:val="22"/>
      <w:szCs w:val="22"/>
    </w:rPr>
  </w:style>
  <w:style w:type="paragraph" w:styleId="Footer">
    <w:name w:val="footer"/>
    <w:basedOn w:val="Normal"/>
    <w:link w:val="FooterChar"/>
    <w:qFormat/>
    <w:rsid w:val="00F705FF"/>
    <w:pPr>
      <w:tabs>
        <w:tab w:val="center" w:pos="4320"/>
        <w:tab w:val="right" w:pos="8640"/>
      </w:tabs>
    </w:pPr>
    <w:rPr>
      <w:rFonts w:ascii="Segoe UI" w:hAnsi="Segoe UI"/>
      <w:sz w:val="20"/>
    </w:rPr>
  </w:style>
  <w:style w:type="character" w:customStyle="1" w:styleId="FooterChar">
    <w:name w:val="Footer Char"/>
    <w:basedOn w:val="DefaultParagraphFont"/>
    <w:link w:val="Footer"/>
    <w:rsid w:val="00F705FF"/>
    <w:rPr>
      <w:rFonts w:ascii="Segoe UI" w:eastAsia="Times New Roman" w:hAnsi="Segoe UI"/>
      <w:szCs w:val="22"/>
    </w:rPr>
  </w:style>
  <w:style w:type="character" w:customStyle="1" w:styleId="Heading4Char">
    <w:name w:val="Heading 4 Char"/>
    <w:basedOn w:val="DefaultParagraphFont"/>
    <w:link w:val="Heading4"/>
    <w:rsid w:val="00285D2A"/>
    <w:rPr>
      <w:rFonts w:ascii="Segoe UI" w:eastAsia="Times New Roman" w:hAnsi="Segoe UI"/>
      <w:b/>
      <w:bCs/>
      <w:i/>
      <w:sz w:val="22"/>
      <w:szCs w:val="22"/>
    </w:rPr>
  </w:style>
  <w:style w:type="character" w:customStyle="1" w:styleId="Heading5Char">
    <w:name w:val="Heading 5 Char"/>
    <w:basedOn w:val="DefaultParagraphFont"/>
    <w:link w:val="Heading5"/>
    <w:rsid w:val="00285D2A"/>
    <w:rPr>
      <w:rFonts w:ascii="Times New Roman" w:eastAsia="Times New Roman" w:hAnsi="Times New Roman"/>
      <w:b/>
      <w:bCs/>
      <w:iCs/>
      <w:sz w:val="24"/>
      <w:szCs w:val="22"/>
    </w:rPr>
  </w:style>
  <w:style w:type="character" w:customStyle="1" w:styleId="Heading6Char">
    <w:name w:val="Heading 6 Char"/>
    <w:basedOn w:val="DefaultParagraphFont"/>
    <w:link w:val="Heading6"/>
    <w:rsid w:val="00285D2A"/>
    <w:rPr>
      <w:rFonts w:ascii="Times New Roman" w:eastAsia="Times New Roman" w:hAnsi="Times New Roman"/>
      <w:bCs/>
      <w:i/>
      <w:sz w:val="24"/>
      <w:szCs w:val="22"/>
    </w:rPr>
  </w:style>
  <w:style w:type="character" w:customStyle="1" w:styleId="Heading7Char">
    <w:name w:val="Heading 7 Char"/>
    <w:basedOn w:val="DefaultParagraphFont"/>
    <w:link w:val="Heading7"/>
    <w:rsid w:val="00285D2A"/>
    <w:rPr>
      <w:rFonts w:ascii="Times New Roman" w:eastAsia="Times New Roman" w:hAnsi="Times New Roman"/>
      <w:i/>
      <w:sz w:val="24"/>
      <w:szCs w:val="22"/>
    </w:rPr>
  </w:style>
  <w:style w:type="character" w:customStyle="1" w:styleId="Heading8Char">
    <w:name w:val="Heading 8 Char"/>
    <w:basedOn w:val="DefaultParagraphFont"/>
    <w:link w:val="Heading8"/>
    <w:rsid w:val="00E802C2"/>
    <w:rPr>
      <w:rFonts w:ascii="Arial" w:eastAsia="Times New Roman" w:hAnsi="Arial"/>
      <w:b/>
      <w:sz w:val="44"/>
      <w:szCs w:val="44"/>
    </w:rPr>
  </w:style>
  <w:style w:type="character" w:customStyle="1" w:styleId="Heading9Char">
    <w:name w:val="Heading 9 Char"/>
    <w:link w:val="Heading9"/>
    <w:rsid w:val="00BB4228"/>
    <w:rPr>
      <w:rFonts w:ascii="Arial" w:eastAsia="Times New Roman" w:hAnsi="Arial"/>
      <w:sz w:val="22"/>
      <w:szCs w:val="22"/>
    </w:rPr>
  </w:style>
  <w:style w:type="paragraph" w:styleId="Caption">
    <w:name w:val="caption"/>
    <w:aliases w:val="Caption Char + Arial Char,9 pt Char,Bold Char,Caption Char1"/>
    <w:basedOn w:val="Normal"/>
    <w:next w:val="Normal"/>
    <w:link w:val="CaptionChar"/>
    <w:uiPriority w:val="35"/>
    <w:unhideWhenUsed/>
    <w:qFormat/>
    <w:rsid w:val="00BE0809"/>
    <w:rPr>
      <w:rFonts w:ascii="Segoe UI" w:hAnsi="Segoe UI"/>
      <w:b/>
      <w:bCs/>
      <w:sz w:val="20"/>
      <w:szCs w:val="20"/>
    </w:rPr>
  </w:style>
  <w:style w:type="paragraph" w:styleId="Title">
    <w:name w:val="Title"/>
    <w:basedOn w:val="Normal"/>
    <w:link w:val="TitleChar"/>
    <w:qFormat/>
    <w:rsid w:val="00BB4228"/>
    <w:pPr>
      <w:spacing w:line="40" w:lineRule="atLeast"/>
    </w:pPr>
    <w:rPr>
      <w:b/>
      <w:sz w:val="32"/>
      <w:szCs w:val="28"/>
    </w:rPr>
  </w:style>
  <w:style w:type="character" w:customStyle="1" w:styleId="TitleChar">
    <w:name w:val="Title Char"/>
    <w:link w:val="Title"/>
    <w:rsid w:val="00BB4228"/>
    <w:rPr>
      <w:rFonts w:ascii="Times New Roman" w:eastAsia="Times New Roman" w:hAnsi="Times New Roman"/>
      <w:b/>
      <w:sz w:val="32"/>
      <w:szCs w:val="28"/>
    </w:rPr>
  </w:style>
  <w:style w:type="paragraph" w:styleId="NoSpacing">
    <w:name w:val="No Spacing"/>
    <w:basedOn w:val="Normal"/>
    <w:link w:val="NoSpacingChar"/>
    <w:qFormat/>
    <w:rsid w:val="00090405"/>
    <w:pPr>
      <w:tabs>
        <w:tab w:val="center" w:pos="4320"/>
        <w:tab w:val="right" w:pos="8640"/>
      </w:tabs>
      <w:spacing w:after="0"/>
      <w:ind w:right="360"/>
    </w:pPr>
    <w:rPr>
      <w:rFonts w:ascii="Arial" w:hAnsi="Arial"/>
      <w:sz w:val="16"/>
      <w:szCs w:val="16"/>
    </w:rPr>
  </w:style>
  <w:style w:type="paragraph" w:customStyle="1" w:styleId="TitlePageHeading">
    <w:name w:val="Title Page Heading"/>
    <w:basedOn w:val="Normal"/>
    <w:qFormat/>
    <w:rsid w:val="00BB4228"/>
    <w:pPr>
      <w:spacing w:before="720"/>
      <w:ind w:left="1440"/>
    </w:pPr>
    <w:rPr>
      <w:rFonts w:ascii="Calibri" w:hAnsi="Calibri"/>
      <w:b/>
      <w:smallCaps/>
      <w:spacing w:val="40"/>
    </w:rPr>
  </w:style>
  <w:style w:type="paragraph" w:customStyle="1" w:styleId="TitlePageBody">
    <w:name w:val="Title Page Body"/>
    <w:basedOn w:val="Normal"/>
    <w:qFormat/>
    <w:rsid w:val="00BB4228"/>
    <w:pPr>
      <w:spacing w:before="60" w:after="60"/>
      <w:ind w:left="1620"/>
    </w:pPr>
  </w:style>
  <w:style w:type="paragraph" w:customStyle="1" w:styleId="TitlePageDate">
    <w:name w:val="Title Page Date"/>
    <w:basedOn w:val="TitlePageBody"/>
    <w:qFormat/>
    <w:rsid w:val="00BB4228"/>
    <w:pPr>
      <w:spacing w:before="720"/>
    </w:pPr>
  </w:style>
  <w:style w:type="paragraph" w:styleId="ListBullet2">
    <w:name w:val="List Bullet 2"/>
    <w:basedOn w:val="ListBullet4"/>
    <w:uiPriority w:val="99"/>
    <w:rsid w:val="00487755"/>
    <w:pPr>
      <w:numPr>
        <w:numId w:val="24"/>
      </w:numPr>
      <w:spacing w:before="120" w:after="0" w:line="240" w:lineRule="auto"/>
      <w:ind w:left="1080"/>
    </w:pPr>
    <w:rPr>
      <w:sz w:val="24"/>
    </w:rPr>
  </w:style>
  <w:style w:type="numbering" w:customStyle="1" w:styleId="ICFJSNumbered">
    <w:name w:val="ICF J&amp;S Numbered"/>
    <w:uiPriority w:val="99"/>
    <w:rsid w:val="00E60AB2"/>
    <w:pPr>
      <w:numPr>
        <w:numId w:val="25"/>
      </w:numPr>
    </w:pPr>
  </w:style>
  <w:style w:type="character" w:styleId="CommentReference">
    <w:name w:val="annotation reference"/>
    <w:basedOn w:val="DefaultParagraphFont"/>
    <w:uiPriority w:val="99"/>
    <w:unhideWhenUsed/>
    <w:rsid w:val="00E802C2"/>
    <w:rPr>
      <w:sz w:val="16"/>
      <w:szCs w:val="16"/>
    </w:rPr>
  </w:style>
  <w:style w:type="paragraph" w:styleId="Revision">
    <w:name w:val="Revision"/>
    <w:hidden/>
    <w:uiPriority w:val="99"/>
    <w:semiHidden/>
    <w:rsid w:val="00E802C2"/>
    <w:rPr>
      <w:rFonts w:ascii="Times New Roman" w:eastAsia="Times New Roman" w:hAnsi="Times New Roman"/>
      <w:sz w:val="24"/>
      <w:szCs w:val="24"/>
    </w:rPr>
  </w:style>
  <w:style w:type="paragraph" w:customStyle="1" w:styleId="TableText">
    <w:name w:val="Table Text"/>
    <w:basedOn w:val="Normal"/>
    <w:link w:val="TableTextChar"/>
    <w:rsid w:val="001B04F9"/>
    <w:pPr>
      <w:keepNext/>
      <w:keepLines/>
      <w:spacing w:before="30" w:after="30"/>
    </w:pPr>
    <w:rPr>
      <w:rFonts w:ascii="Segoe UI" w:hAnsi="Segoe UI"/>
      <w:sz w:val="24"/>
    </w:rPr>
  </w:style>
  <w:style w:type="numbering" w:customStyle="1" w:styleId="ICFJSStandard">
    <w:name w:val="ICF J&amp;S Standard"/>
    <w:uiPriority w:val="99"/>
    <w:rsid w:val="00BB4228"/>
    <w:pPr>
      <w:numPr>
        <w:numId w:val="6"/>
      </w:numPr>
    </w:pPr>
  </w:style>
  <w:style w:type="paragraph" w:customStyle="1" w:styleId="FooterCenter">
    <w:name w:val="Footer Center"/>
    <w:basedOn w:val="Normal"/>
    <w:uiPriority w:val="11"/>
    <w:qFormat/>
    <w:rsid w:val="00BB4228"/>
    <w:pPr>
      <w:spacing w:before="120"/>
      <w:jc w:val="center"/>
    </w:pPr>
    <w:rPr>
      <w:rFonts w:ascii="Cambria" w:hAnsi="Cambria"/>
      <w:color w:val="000000"/>
      <w:sz w:val="18"/>
      <w:lang w:bidi="en-US"/>
    </w:rPr>
  </w:style>
  <w:style w:type="paragraph" w:styleId="BlockText">
    <w:name w:val="Block Text"/>
    <w:basedOn w:val="Normal"/>
    <w:uiPriority w:val="99"/>
    <w:qFormat/>
    <w:rsid w:val="00905B92"/>
    <w:pPr>
      <w:ind w:left="720" w:right="720"/>
    </w:pPr>
    <w:rPr>
      <w:kern w:val="32"/>
      <w:sz w:val="20"/>
    </w:rPr>
  </w:style>
  <w:style w:type="paragraph" w:styleId="BodyText2">
    <w:name w:val="Body Text 2"/>
    <w:basedOn w:val="Normal"/>
    <w:link w:val="BodyText2Char"/>
    <w:rsid w:val="00BB4228"/>
    <w:pPr>
      <w:spacing w:after="120" w:line="480" w:lineRule="auto"/>
    </w:pPr>
  </w:style>
  <w:style w:type="character" w:customStyle="1" w:styleId="BodyText2Char">
    <w:name w:val="Body Text 2 Char"/>
    <w:link w:val="BodyText2"/>
    <w:rsid w:val="00BB4228"/>
    <w:rPr>
      <w:rFonts w:ascii="Times New Roman" w:eastAsia="Times New Roman" w:hAnsi="Times New Roman"/>
      <w:sz w:val="22"/>
      <w:szCs w:val="22"/>
    </w:rPr>
  </w:style>
  <w:style w:type="paragraph" w:styleId="BodyText3">
    <w:name w:val="Body Text 3"/>
    <w:basedOn w:val="Normal"/>
    <w:link w:val="BodyText3Char"/>
    <w:rsid w:val="00BB4228"/>
    <w:pPr>
      <w:spacing w:after="120" w:line="40" w:lineRule="atLeast"/>
    </w:pPr>
    <w:rPr>
      <w:sz w:val="16"/>
      <w:szCs w:val="16"/>
    </w:rPr>
  </w:style>
  <w:style w:type="character" w:customStyle="1" w:styleId="BodyText3Char">
    <w:name w:val="Body Text 3 Char"/>
    <w:link w:val="BodyText3"/>
    <w:rsid w:val="00BB4228"/>
    <w:rPr>
      <w:rFonts w:ascii="Times New Roman" w:eastAsia="Times New Roman" w:hAnsi="Times New Roman"/>
      <w:sz w:val="16"/>
      <w:szCs w:val="16"/>
    </w:rPr>
  </w:style>
  <w:style w:type="paragraph" w:styleId="Closing">
    <w:name w:val="Closing"/>
    <w:basedOn w:val="Normal"/>
    <w:link w:val="ClosingChar"/>
    <w:uiPriority w:val="99"/>
    <w:rsid w:val="00BB4228"/>
    <w:pPr>
      <w:spacing w:line="40" w:lineRule="atLeast"/>
      <w:ind w:left="4320"/>
    </w:pPr>
  </w:style>
  <w:style w:type="character" w:customStyle="1" w:styleId="ClosingChar">
    <w:name w:val="Closing Char"/>
    <w:link w:val="Closing"/>
    <w:uiPriority w:val="99"/>
    <w:rsid w:val="00BB4228"/>
    <w:rPr>
      <w:rFonts w:ascii="Times New Roman" w:eastAsia="Times New Roman" w:hAnsi="Times New Roman"/>
      <w:sz w:val="22"/>
      <w:szCs w:val="22"/>
    </w:rPr>
  </w:style>
  <w:style w:type="paragraph" w:styleId="CommentText">
    <w:name w:val="annotation text"/>
    <w:basedOn w:val="Normal"/>
    <w:link w:val="CommentTextChar"/>
    <w:uiPriority w:val="99"/>
    <w:unhideWhenUsed/>
    <w:rsid w:val="00E802C2"/>
    <w:rPr>
      <w:sz w:val="20"/>
      <w:szCs w:val="20"/>
    </w:rPr>
  </w:style>
  <w:style w:type="character" w:customStyle="1" w:styleId="CommentTextChar">
    <w:name w:val="Comment Text Char"/>
    <w:basedOn w:val="DefaultParagraphFont"/>
    <w:link w:val="CommentText"/>
    <w:uiPriority w:val="99"/>
    <w:rsid w:val="00E802C2"/>
    <w:rPr>
      <w:rFonts w:ascii="Times New Roman" w:eastAsia="Times New Roman" w:hAnsi="Times New Roman"/>
    </w:rPr>
  </w:style>
  <w:style w:type="paragraph" w:styleId="CommentSubject">
    <w:name w:val="annotation subject"/>
    <w:basedOn w:val="CommentText"/>
    <w:next w:val="CommentText"/>
    <w:link w:val="CommentSubjectChar"/>
    <w:uiPriority w:val="99"/>
    <w:unhideWhenUsed/>
    <w:rsid w:val="00E802C2"/>
    <w:rPr>
      <w:b/>
      <w:bCs/>
    </w:rPr>
  </w:style>
  <w:style w:type="character" w:customStyle="1" w:styleId="CommentSubjectChar">
    <w:name w:val="Comment Subject Char"/>
    <w:basedOn w:val="CommentTextChar"/>
    <w:link w:val="CommentSubject"/>
    <w:uiPriority w:val="99"/>
    <w:rsid w:val="00E802C2"/>
    <w:rPr>
      <w:rFonts w:ascii="Times New Roman" w:eastAsia="Times New Roman" w:hAnsi="Times New Roman"/>
      <w:b/>
      <w:bCs/>
    </w:rPr>
  </w:style>
  <w:style w:type="paragraph" w:styleId="Date">
    <w:name w:val="Date"/>
    <w:basedOn w:val="Normal"/>
    <w:next w:val="Normal"/>
    <w:link w:val="DateChar"/>
    <w:uiPriority w:val="99"/>
    <w:rsid w:val="00BB4228"/>
    <w:pPr>
      <w:spacing w:line="40" w:lineRule="atLeast"/>
    </w:pPr>
  </w:style>
  <w:style w:type="character" w:customStyle="1" w:styleId="DateChar">
    <w:name w:val="Date Char"/>
    <w:link w:val="Date"/>
    <w:uiPriority w:val="99"/>
    <w:rsid w:val="00BB4228"/>
    <w:rPr>
      <w:rFonts w:ascii="Times New Roman" w:eastAsia="Times New Roman" w:hAnsi="Times New Roman"/>
      <w:sz w:val="22"/>
      <w:szCs w:val="22"/>
    </w:rPr>
  </w:style>
  <w:style w:type="paragraph" w:styleId="DocumentMap">
    <w:name w:val="Document Map"/>
    <w:basedOn w:val="Normal"/>
    <w:link w:val="DocumentMapChar"/>
    <w:uiPriority w:val="99"/>
    <w:rsid w:val="00BB4228"/>
    <w:pPr>
      <w:shd w:val="clear" w:color="auto" w:fill="000080"/>
      <w:spacing w:line="40" w:lineRule="atLeast"/>
    </w:pPr>
    <w:rPr>
      <w:rFonts w:ascii="Tahoma" w:hAnsi="Tahoma"/>
      <w:sz w:val="20"/>
      <w:szCs w:val="20"/>
    </w:rPr>
  </w:style>
  <w:style w:type="character" w:customStyle="1" w:styleId="DocumentMapChar">
    <w:name w:val="Document Map Char"/>
    <w:link w:val="DocumentMap"/>
    <w:uiPriority w:val="99"/>
    <w:rsid w:val="00BB4228"/>
    <w:rPr>
      <w:rFonts w:ascii="Tahoma" w:eastAsia="Times New Roman" w:hAnsi="Tahoma"/>
      <w:shd w:val="clear" w:color="auto" w:fill="000080"/>
    </w:rPr>
  </w:style>
  <w:style w:type="paragraph" w:styleId="FootnoteText">
    <w:name w:val="footnote text"/>
    <w:basedOn w:val="Normal"/>
    <w:link w:val="FootnoteTextChar"/>
    <w:rsid w:val="00E802C2"/>
    <w:rPr>
      <w:sz w:val="20"/>
      <w:szCs w:val="20"/>
    </w:rPr>
  </w:style>
  <w:style w:type="character" w:customStyle="1" w:styleId="FootnoteTextChar">
    <w:name w:val="Footnote Text Char"/>
    <w:basedOn w:val="DefaultParagraphFont"/>
    <w:link w:val="FootnoteText"/>
    <w:rsid w:val="00E802C2"/>
    <w:rPr>
      <w:rFonts w:ascii="Times New Roman" w:eastAsia="Times New Roman" w:hAnsi="Times New Roman"/>
    </w:rPr>
  </w:style>
  <w:style w:type="paragraph" w:styleId="Index1">
    <w:name w:val="index 1"/>
    <w:basedOn w:val="Normal"/>
    <w:next w:val="Normal"/>
    <w:autoRedefine/>
    <w:uiPriority w:val="99"/>
    <w:rsid w:val="00BB4228"/>
    <w:pPr>
      <w:spacing w:line="40" w:lineRule="atLeast"/>
      <w:ind w:left="220" w:hanging="220"/>
    </w:pPr>
  </w:style>
  <w:style w:type="paragraph" w:styleId="Index2">
    <w:name w:val="index 2"/>
    <w:basedOn w:val="Normal"/>
    <w:next w:val="Normal"/>
    <w:autoRedefine/>
    <w:uiPriority w:val="99"/>
    <w:rsid w:val="00BB4228"/>
    <w:pPr>
      <w:spacing w:line="40" w:lineRule="atLeast"/>
      <w:ind w:left="440" w:hanging="220"/>
    </w:pPr>
  </w:style>
  <w:style w:type="paragraph" w:styleId="Index3">
    <w:name w:val="index 3"/>
    <w:basedOn w:val="Normal"/>
    <w:next w:val="Normal"/>
    <w:autoRedefine/>
    <w:uiPriority w:val="99"/>
    <w:rsid w:val="00BB4228"/>
    <w:pPr>
      <w:spacing w:line="40" w:lineRule="atLeast"/>
      <w:ind w:left="660" w:hanging="220"/>
    </w:pPr>
  </w:style>
  <w:style w:type="paragraph" w:styleId="Index4">
    <w:name w:val="index 4"/>
    <w:basedOn w:val="Normal"/>
    <w:next w:val="Normal"/>
    <w:autoRedefine/>
    <w:uiPriority w:val="99"/>
    <w:rsid w:val="00BB4228"/>
    <w:pPr>
      <w:spacing w:line="40" w:lineRule="atLeast"/>
      <w:ind w:left="880" w:hanging="220"/>
    </w:pPr>
  </w:style>
  <w:style w:type="paragraph" w:styleId="Index5">
    <w:name w:val="index 5"/>
    <w:basedOn w:val="Normal"/>
    <w:next w:val="Normal"/>
    <w:autoRedefine/>
    <w:uiPriority w:val="99"/>
    <w:rsid w:val="00BB4228"/>
    <w:pPr>
      <w:spacing w:line="40" w:lineRule="atLeast"/>
      <w:ind w:left="1100" w:hanging="220"/>
    </w:pPr>
  </w:style>
  <w:style w:type="paragraph" w:styleId="Index6">
    <w:name w:val="index 6"/>
    <w:basedOn w:val="Normal"/>
    <w:next w:val="Normal"/>
    <w:autoRedefine/>
    <w:uiPriority w:val="99"/>
    <w:rsid w:val="00BB4228"/>
    <w:pPr>
      <w:spacing w:line="40" w:lineRule="atLeast"/>
      <w:ind w:left="1320" w:hanging="220"/>
    </w:pPr>
  </w:style>
  <w:style w:type="paragraph" w:styleId="Index7">
    <w:name w:val="index 7"/>
    <w:basedOn w:val="Normal"/>
    <w:next w:val="Normal"/>
    <w:autoRedefine/>
    <w:uiPriority w:val="99"/>
    <w:rsid w:val="00BB4228"/>
    <w:pPr>
      <w:spacing w:line="40" w:lineRule="atLeast"/>
      <w:ind w:left="1540" w:hanging="220"/>
    </w:pPr>
  </w:style>
  <w:style w:type="paragraph" w:styleId="Index8">
    <w:name w:val="index 8"/>
    <w:basedOn w:val="Normal"/>
    <w:next w:val="Normal"/>
    <w:autoRedefine/>
    <w:uiPriority w:val="99"/>
    <w:rsid w:val="00BB4228"/>
    <w:pPr>
      <w:spacing w:line="40" w:lineRule="atLeast"/>
      <w:ind w:left="1760" w:hanging="220"/>
    </w:pPr>
  </w:style>
  <w:style w:type="paragraph" w:styleId="Index9">
    <w:name w:val="index 9"/>
    <w:basedOn w:val="Normal"/>
    <w:next w:val="Normal"/>
    <w:autoRedefine/>
    <w:uiPriority w:val="99"/>
    <w:rsid w:val="00BB4228"/>
    <w:pPr>
      <w:spacing w:line="40" w:lineRule="atLeast"/>
      <w:ind w:left="1980" w:hanging="220"/>
    </w:pPr>
  </w:style>
  <w:style w:type="paragraph" w:styleId="List">
    <w:name w:val="List"/>
    <w:basedOn w:val="Normal"/>
    <w:uiPriority w:val="99"/>
    <w:rsid w:val="00BB4228"/>
    <w:pPr>
      <w:spacing w:line="40" w:lineRule="atLeast"/>
      <w:ind w:left="360" w:hanging="360"/>
    </w:pPr>
  </w:style>
  <w:style w:type="paragraph" w:styleId="List2">
    <w:name w:val="List 2"/>
    <w:basedOn w:val="Normal"/>
    <w:uiPriority w:val="99"/>
    <w:rsid w:val="00BB4228"/>
    <w:pPr>
      <w:spacing w:line="40" w:lineRule="atLeast"/>
      <w:ind w:left="720" w:hanging="360"/>
    </w:pPr>
  </w:style>
  <w:style w:type="paragraph" w:styleId="List3">
    <w:name w:val="List 3"/>
    <w:basedOn w:val="Normal"/>
    <w:uiPriority w:val="99"/>
    <w:rsid w:val="00BB4228"/>
    <w:pPr>
      <w:spacing w:line="40" w:lineRule="atLeast"/>
      <w:ind w:left="1080" w:hanging="360"/>
    </w:pPr>
  </w:style>
  <w:style w:type="paragraph" w:styleId="List4">
    <w:name w:val="List 4"/>
    <w:basedOn w:val="Normal"/>
    <w:uiPriority w:val="99"/>
    <w:rsid w:val="00BB4228"/>
    <w:pPr>
      <w:spacing w:line="40" w:lineRule="atLeast"/>
      <w:ind w:left="1440" w:hanging="360"/>
    </w:pPr>
  </w:style>
  <w:style w:type="paragraph" w:styleId="List5">
    <w:name w:val="List 5"/>
    <w:basedOn w:val="Normal"/>
    <w:uiPriority w:val="99"/>
    <w:rsid w:val="00BB4228"/>
    <w:pPr>
      <w:spacing w:line="40" w:lineRule="atLeast"/>
      <w:ind w:left="1800" w:hanging="360"/>
    </w:pPr>
  </w:style>
  <w:style w:type="paragraph" w:styleId="ListBullet3">
    <w:name w:val="List Bullet 3"/>
    <w:basedOn w:val="ListBullet"/>
    <w:uiPriority w:val="99"/>
    <w:rsid w:val="00417146"/>
  </w:style>
  <w:style w:type="paragraph" w:styleId="ListBullet4">
    <w:name w:val="List Bullet 4"/>
    <w:basedOn w:val="Normal"/>
    <w:uiPriority w:val="99"/>
    <w:rsid w:val="00BB4228"/>
    <w:pPr>
      <w:tabs>
        <w:tab w:val="num" w:pos="1440"/>
      </w:tabs>
      <w:spacing w:line="40" w:lineRule="atLeast"/>
      <w:ind w:left="1440" w:hanging="360"/>
    </w:pPr>
  </w:style>
  <w:style w:type="paragraph" w:styleId="ListBullet5">
    <w:name w:val="List Bullet 5"/>
    <w:basedOn w:val="Normal"/>
    <w:uiPriority w:val="99"/>
    <w:rsid w:val="00BB4228"/>
    <w:pPr>
      <w:tabs>
        <w:tab w:val="num" w:pos="1800"/>
      </w:tabs>
      <w:spacing w:line="40" w:lineRule="atLeast"/>
      <w:ind w:left="1800" w:hanging="360"/>
    </w:pPr>
  </w:style>
  <w:style w:type="paragraph" w:styleId="ListNumber2">
    <w:name w:val="List Number 2"/>
    <w:basedOn w:val="Normal"/>
    <w:uiPriority w:val="99"/>
    <w:rsid w:val="00BB4228"/>
    <w:pPr>
      <w:tabs>
        <w:tab w:val="num" w:pos="720"/>
      </w:tabs>
      <w:spacing w:line="40" w:lineRule="atLeast"/>
      <w:ind w:left="720" w:hanging="360"/>
    </w:pPr>
  </w:style>
  <w:style w:type="paragraph" w:styleId="ListNumber3">
    <w:name w:val="List Number 3"/>
    <w:basedOn w:val="Normal"/>
    <w:uiPriority w:val="99"/>
    <w:rsid w:val="00BB4228"/>
    <w:pPr>
      <w:tabs>
        <w:tab w:val="num" w:pos="1080"/>
      </w:tabs>
      <w:spacing w:line="40" w:lineRule="atLeast"/>
      <w:ind w:left="1080" w:hanging="360"/>
    </w:pPr>
  </w:style>
  <w:style w:type="paragraph" w:styleId="ListNumber4">
    <w:name w:val="List Number 4"/>
    <w:basedOn w:val="Normal"/>
    <w:uiPriority w:val="99"/>
    <w:rsid w:val="00BB4228"/>
    <w:pPr>
      <w:tabs>
        <w:tab w:val="num" w:pos="1440"/>
      </w:tabs>
      <w:spacing w:line="40" w:lineRule="atLeast"/>
      <w:ind w:left="1440" w:hanging="360"/>
    </w:pPr>
  </w:style>
  <w:style w:type="paragraph" w:styleId="ListNumber5">
    <w:name w:val="List Number 5"/>
    <w:basedOn w:val="Normal"/>
    <w:uiPriority w:val="99"/>
    <w:rsid w:val="00BB4228"/>
    <w:pPr>
      <w:tabs>
        <w:tab w:val="num" w:pos="1800"/>
      </w:tabs>
      <w:spacing w:line="40" w:lineRule="atLeast"/>
      <w:ind w:left="1800" w:hanging="360"/>
    </w:pPr>
  </w:style>
  <w:style w:type="paragraph" w:styleId="Salutation">
    <w:name w:val="Salutation"/>
    <w:basedOn w:val="Normal"/>
    <w:next w:val="Normal"/>
    <w:link w:val="SalutationChar"/>
    <w:uiPriority w:val="99"/>
    <w:rsid w:val="00BB4228"/>
    <w:pPr>
      <w:spacing w:line="40" w:lineRule="atLeast"/>
    </w:pPr>
  </w:style>
  <w:style w:type="character" w:customStyle="1" w:styleId="SalutationChar">
    <w:name w:val="Salutation Char"/>
    <w:link w:val="Salutation"/>
    <w:uiPriority w:val="99"/>
    <w:rsid w:val="00BB4228"/>
    <w:rPr>
      <w:rFonts w:ascii="Times New Roman" w:eastAsia="Times New Roman" w:hAnsi="Times New Roman"/>
      <w:sz w:val="22"/>
      <w:szCs w:val="22"/>
    </w:rPr>
  </w:style>
  <w:style w:type="paragraph" w:styleId="Signature">
    <w:name w:val="Signature"/>
    <w:basedOn w:val="Normal"/>
    <w:link w:val="SignatureChar"/>
    <w:uiPriority w:val="99"/>
    <w:rsid w:val="00BB4228"/>
    <w:pPr>
      <w:spacing w:line="40" w:lineRule="atLeast"/>
      <w:ind w:left="4320"/>
    </w:pPr>
  </w:style>
  <w:style w:type="character" w:customStyle="1" w:styleId="SignatureChar">
    <w:name w:val="Signature Char"/>
    <w:link w:val="Signature"/>
    <w:uiPriority w:val="99"/>
    <w:rsid w:val="00BB4228"/>
    <w:rPr>
      <w:rFonts w:ascii="Times New Roman" w:eastAsia="Times New Roman" w:hAnsi="Times New Roman"/>
      <w:sz w:val="22"/>
      <w:szCs w:val="22"/>
    </w:rPr>
  </w:style>
  <w:style w:type="paragraph" w:styleId="TableofAuthorities">
    <w:name w:val="table of authorities"/>
    <w:basedOn w:val="Normal"/>
    <w:next w:val="Normal"/>
    <w:uiPriority w:val="99"/>
    <w:rsid w:val="00BB4228"/>
    <w:pPr>
      <w:spacing w:line="40" w:lineRule="atLeast"/>
      <w:ind w:left="220" w:hanging="220"/>
    </w:pPr>
  </w:style>
  <w:style w:type="paragraph" w:styleId="TableofFigures">
    <w:name w:val="table of figures"/>
    <w:basedOn w:val="Normal"/>
    <w:next w:val="Normal"/>
    <w:uiPriority w:val="99"/>
    <w:rsid w:val="00BB4228"/>
    <w:pPr>
      <w:ind w:left="480" w:hanging="480"/>
    </w:pPr>
  </w:style>
  <w:style w:type="paragraph" w:styleId="TOAHeading">
    <w:name w:val="toa heading"/>
    <w:basedOn w:val="Normal"/>
    <w:next w:val="Normal"/>
    <w:uiPriority w:val="99"/>
    <w:rsid w:val="00BB4228"/>
    <w:pPr>
      <w:spacing w:before="120" w:line="40" w:lineRule="atLeast"/>
    </w:pPr>
    <w:rPr>
      <w:rFonts w:ascii="Arial" w:hAnsi="Arial" w:cs="Arial"/>
      <w:b/>
      <w:bCs/>
    </w:rPr>
  </w:style>
  <w:style w:type="paragraph" w:styleId="TOC4">
    <w:name w:val="toc 4"/>
    <w:basedOn w:val="Normal"/>
    <w:next w:val="Normal"/>
    <w:autoRedefine/>
    <w:rsid w:val="00E802C2"/>
    <w:pPr>
      <w:tabs>
        <w:tab w:val="right" w:leader="dot" w:pos="7910"/>
      </w:tabs>
      <w:ind w:left="1080"/>
    </w:pPr>
  </w:style>
  <w:style w:type="paragraph" w:styleId="TOC5">
    <w:name w:val="toc 5"/>
    <w:basedOn w:val="Normal"/>
    <w:next w:val="Normal"/>
    <w:autoRedefine/>
    <w:rsid w:val="00E802C2"/>
    <w:pPr>
      <w:tabs>
        <w:tab w:val="right" w:leader="dot" w:pos="7910"/>
      </w:tabs>
      <w:ind w:left="1440"/>
    </w:pPr>
  </w:style>
  <w:style w:type="paragraph" w:styleId="TOC6">
    <w:name w:val="toc 6"/>
    <w:basedOn w:val="Normal"/>
    <w:next w:val="Normal"/>
    <w:autoRedefine/>
    <w:rsid w:val="00E802C2"/>
    <w:pPr>
      <w:ind w:left="1200"/>
    </w:pPr>
  </w:style>
  <w:style w:type="paragraph" w:styleId="TOC7">
    <w:name w:val="toc 7"/>
    <w:basedOn w:val="Normal"/>
    <w:next w:val="Normal"/>
    <w:autoRedefine/>
    <w:rsid w:val="00E802C2"/>
    <w:pPr>
      <w:ind w:left="1440"/>
    </w:pPr>
  </w:style>
  <w:style w:type="paragraph" w:styleId="TOC8">
    <w:name w:val="toc 8"/>
    <w:basedOn w:val="Normal"/>
    <w:next w:val="Normal"/>
    <w:autoRedefine/>
    <w:rsid w:val="00E802C2"/>
    <w:pPr>
      <w:ind w:left="1680"/>
    </w:pPr>
  </w:style>
  <w:style w:type="paragraph" w:styleId="TOC9">
    <w:name w:val="toc 9"/>
    <w:basedOn w:val="Normal"/>
    <w:next w:val="Normal"/>
    <w:autoRedefine/>
    <w:rsid w:val="00E802C2"/>
    <w:pPr>
      <w:ind w:left="1920"/>
    </w:pPr>
  </w:style>
  <w:style w:type="character" w:styleId="PageNumber">
    <w:name w:val="page number"/>
    <w:basedOn w:val="DefaultParagraphFont"/>
    <w:rsid w:val="00E802C2"/>
    <w:rPr>
      <w:rFonts w:ascii="Arial" w:hAnsi="Arial"/>
      <w:sz w:val="20"/>
      <w:szCs w:val="20"/>
    </w:rPr>
  </w:style>
  <w:style w:type="character" w:styleId="FootnoteReference">
    <w:name w:val="footnote reference"/>
    <w:basedOn w:val="DefaultParagraphFont"/>
    <w:rsid w:val="00E802C2"/>
    <w:rPr>
      <w:vertAlign w:val="superscript"/>
    </w:rPr>
  </w:style>
  <w:style w:type="paragraph" w:customStyle="1" w:styleId="ImpactHeading">
    <w:name w:val="Impact Heading"/>
    <w:basedOn w:val="BodyText"/>
    <w:next w:val="BodyText"/>
    <w:link w:val="ImpactHeadingChar"/>
    <w:qFormat/>
    <w:rsid w:val="00BB4228"/>
    <w:rPr>
      <w:b/>
    </w:rPr>
  </w:style>
  <w:style w:type="character" w:customStyle="1" w:styleId="ImpactHeadingChar">
    <w:name w:val="Impact Heading Char"/>
    <w:link w:val="ImpactHeading"/>
    <w:rsid w:val="00BB4228"/>
    <w:rPr>
      <w:rFonts w:ascii="Times New Roman" w:eastAsia="Times New Roman" w:hAnsi="Times New Roman"/>
      <w:b/>
      <w:sz w:val="24"/>
      <w:szCs w:val="24"/>
    </w:rPr>
  </w:style>
  <w:style w:type="paragraph" w:customStyle="1" w:styleId="MMHeading">
    <w:name w:val="MM Heading"/>
    <w:basedOn w:val="BodyText"/>
    <w:next w:val="MMBodyText"/>
    <w:link w:val="MMHeadingChar"/>
    <w:qFormat/>
    <w:rsid w:val="00BB4228"/>
    <w:pPr>
      <w:ind w:left="720"/>
    </w:pPr>
    <w:rPr>
      <w:b/>
    </w:rPr>
  </w:style>
  <w:style w:type="character" w:customStyle="1" w:styleId="MMHeadingChar">
    <w:name w:val="MM Heading Char"/>
    <w:link w:val="MMHeading"/>
    <w:rsid w:val="00BB4228"/>
    <w:rPr>
      <w:rFonts w:ascii="Times New Roman" w:eastAsia="Times New Roman" w:hAnsi="Times New Roman"/>
      <w:b/>
      <w:sz w:val="24"/>
      <w:szCs w:val="24"/>
    </w:rPr>
  </w:style>
  <w:style w:type="paragraph" w:customStyle="1" w:styleId="MMBodyText">
    <w:name w:val="MM Body Text"/>
    <w:basedOn w:val="BodyText"/>
    <w:link w:val="MMBodyTextChar"/>
    <w:qFormat/>
    <w:rsid w:val="00BB4228"/>
    <w:pPr>
      <w:ind w:left="720"/>
    </w:pPr>
  </w:style>
  <w:style w:type="character" w:customStyle="1" w:styleId="MMBodyTextChar">
    <w:name w:val="MM Body Text Char"/>
    <w:basedOn w:val="BodyTextChar"/>
    <w:link w:val="MMBodyText"/>
    <w:rsid w:val="00BB4228"/>
    <w:rPr>
      <w:rFonts w:ascii="Times New Roman" w:eastAsia="Times New Roman" w:hAnsi="Times New Roman"/>
      <w:sz w:val="24"/>
      <w:szCs w:val="24"/>
    </w:rPr>
  </w:style>
  <w:style w:type="numbering" w:customStyle="1" w:styleId="ICFJSSection">
    <w:name w:val="ICF J&amp;S Section"/>
    <w:uiPriority w:val="99"/>
    <w:rsid w:val="00E60AB2"/>
  </w:style>
  <w:style w:type="character" w:customStyle="1" w:styleId="JobNumber">
    <w:name w:val="Job Number"/>
    <w:unhideWhenUsed/>
    <w:rsid w:val="00BB4228"/>
    <w:rPr>
      <w:sz w:val="14"/>
      <w:szCs w:val="14"/>
    </w:rPr>
  </w:style>
  <w:style w:type="paragraph" w:customStyle="1" w:styleId="HeaderRight">
    <w:name w:val="Header Right"/>
    <w:basedOn w:val="Header"/>
    <w:uiPriority w:val="11"/>
    <w:qFormat/>
    <w:rsid w:val="00BE0809"/>
    <w:pPr>
      <w:jc w:val="right"/>
    </w:pPr>
    <w:rPr>
      <w:rFonts w:ascii="Segoe UI" w:hAnsi="Segoe UI" w:cs="Arial"/>
      <w:noProof/>
      <w:sz w:val="20"/>
    </w:rPr>
  </w:style>
  <w:style w:type="paragraph" w:customStyle="1" w:styleId="TableTitle">
    <w:name w:val="Table Title"/>
    <w:basedOn w:val="Caption"/>
    <w:next w:val="Normal"/>
    <w:link w:val="TableTitleChar"/>
    <w:rsid w:val="001B04F9"/>
    <w:pPr>
      <w:spacing w:before="240" w:after="120"/>
    </w:pPr>
    <w:rPr>
      <w:rFonts w:eastAsia="Calibri"/>
      <w:sz w:val="24"/>
    </w:rPr>
  </w:style>
  <w:style w:type="paragraph" w:customStyle="1" w:styleId="MMListBullet">
    <w:name w:val="MM List Bullet"/>
    <w:basedOn w:val="ListBullet"/>
    <w:qFormat/>
    <w:rsid w:val="00BB4228"/>
    <w:pPr>
      <w:numPr>
        <w:numId w:val="14"/>
      </w:numPr>
    </w:pPr>
  </w:style>
  <w:style w:type="paragraph" w:customStyle="1" w:styleId="MMListBullet2">
    <w:name w:val="MM List Bullet 2"/>
    <w:basedOn w:val="ListBullet2"/>
    <w:qFormat/>
    <w:rsid w:val="00BB4228"/>
    <w:pPr>
      <w:numPr>
        <w:numId w:val="15"/>
      </w:numPr>
    </w:pPr>
  </w:style>
  <w:style w:type="paragraph" w:customStyle="1" w:styleId="Citation">
    <w:name w:val="Citation"/>
    <w:basedOn w:val="LiteratureCited"/>
    <w:link w:val="CitationChar"/>
    <w:qFormat/>
    <w:rsid w:val="00F705FF"/>
    <w:pPr>
      <w:spacing w:before="240" w:after="0"/>
    </w:pPr>
    <w:rPr>
      <w:sz w:val="24"/>
    </w:rPr>
  </w:style>
  <w:style w:type="paragraph" w:styleId="BalloonText">
    <w:name w:val="Balloon Text"/>
    <w:basedOn w:val="Normal"/>
    <w:link w:val="BalloonTextChar"/>
    <w:rsid w:val="00E802C2"/>
    <w:rPr>
      <w:rFonts w:ascii="Tahoma" w:hAnsi="Tahoma" w:cs="Tahoma"/>
      <w:sz w:val="16"/>
      <w:szCs w:val="16"/>
    </w:rPr>
  </w:style>
  <w:style w:type="character" w:customStyle="1" w:styleId="BalloonTextChar">
    <w:name w:val="Balloon Text Char"/>
    <w:basedOn w:val="DefaultParagraphFont"/>
    <w:link w:val="BalloonText"/>
    <w:rsid w:val="00E802C2"/>
    <w:rPr>
      <w:rFonts w:ascii="Tahoma" w:eastAsia="Times New Roman" w:hAnsi="Tahoma" w:cs="Tahoma"/>
      <w:sz w:val="16"/>
      <w:szCs w:val="16"/>
    </w:rPr>
  </w:style>
  <w:style w:type="paragraph" w:customStyle="1" w:styleId="TOCFigureTableList">
    <w:name w:val="TOC Figure Table List"/>
    <w:basedOn w:val="Normal"/>
    <w:qFormat/>
    <w:rsid w:val="00BB4228"/>
    <w:pPr>
      <w:tabs>
        <w:tab w:val="left" w:pos="1440"/>
        <w:tab w:val="right" w:leader="dot" w:pos="9360"/>
      </w:tabs>
      <w:spacing w:before="160"/>
      <w:ind w:left="1440" w:right="1080" w:hanging="1440"/>
    </w:pPr>
    <w:rPr>
      <w:rFonts w:ascii="Calibri" w:hAnsi="Calibri"/>
    </w:rPr>
  </w:style>
  <w:style w:type="paragraph" w:customStyle="1" w:styleId="TableBullet">
    <w:name w:val="Table Bullet"/>
    <w:basedOn w:val="ListBullet"/>
    <w:uiPriority w:val="99"/>
    <w:qFormat/>
    <w:rsid w:val="00BB4228"/>
    <w:pPr>
      <w:spacing w:before="20" w:after="20" w:line="40" w:lineRule="atLeast"/>
      <w:ind w:left="187" w:hanging="187"/>
      <w:contextualSpacing/>
    </w:pPr>
    <w:rPr>
      <w:rFonts w:eastAsia="PMingLiU" w:cs="Arial"/>
      <w:sz w:val="20"/>
      <w:szCs w:val="18"/>
    </w:rPr>
  </w:style>
  <w:style w:type="character" w:styleId="PlaceholderText">
    <w:name w:val="Placeholder Text"/>
    <w:uiPriority w:val="99"/>
    <w:rsid w:val="00BB4228"/>
    <w:rPr>
      <w:color w:val="808080"/>
    </w:rPr>
  </w:style>
  <w:style w:type="paragraph" w:customStyle="1" w:styleId="VersoBody">
    <w:name w:val="Verso Body"/>
    <w:basedOn w:val="Normal"/>
    <w:qFormat/>
    <w:rsid w:val="00BB4228"/>
    <w:pPr>
      <w:spacing w:before="60" w:after="60"/>
      <w:ind w:left="1620"/>
    </w:pPr>
  </w:style>
  <w:style w:type="paragraph" w:styleId="BodyTextFirstIndent">
    <w:name w:val="Body Text First Indent"/>
    <w:basedOn w:val="BodyText"/>
    <w:link w:val="BodyTextFirstIndentChar"/>
    <w:uiPriority w:val="99"/>
    <w:rsid w:val="00BB4228"/>
    <w:pPr>
      <w:spacing w:line="40" w:lineRule="atLeast"/>
      <w:ind w:firstLine="210"/>
    </w:pPr>
    <w:rPr>
      <w:bCs/>
    </w:rPr>
  </w:style>
  <w:style w:type="character" w:customStyle="1" w:styleId="BodyTextFirstIndentChar">
    <w:name w:val="Body Text First Indent Char"/>
    <w:link w:val="BodyTextFirstIndent"/>
    <w:uiPriority w:val="99"/>
    <w:rsid w:val="00BB4228"/>
    <w:rPr>
      <w:rFonts w:ascii="Times New Roman" w:eastAsia="Times New Roman" w:hAnsi="Times New Roman"/>
      <w:bCs/>
      <w:sz w:val="22"/>
      <w:szCs w:val="22"/>
    </w:rPr>
  </w:style>
  <w:style w:type="paragraph" w:styleId="BodyTextIndent">
    <w:name w:val="Body Text Indent"/>
    <w:basedOn w:val="Normal"/>
    <w:link w:val="BodyTextIndentChar"/>
    <w:rsid w:val="00BB4228"/>
    <w:pPr>
      <w:spacing w:after="120"/>
      <w:ind w:left="360"/>
    </w:pPr>
  </w:style>
  <w:style w:type="character" w:customStyle="1" w:styleId="BodyTextIndentChar">
    <w:name w:val="Body Text Indent Char"/>
    <w:link w:val="BodyTextIndent"/>
    <w:rsid w:val="00BB4228"/>
    <w:rPr>
      <w:rFonts w:ascii="Times New Roman" w:eastAsia="Times New Roman" w:hAnsi="Times New Roman"/>
      <w:sz w:val="24"/>
      <w:szCs w:val="24"/>
    </w:rPr>
  </w:style>
  <w:style w:type="paragraph" w:styleId="BodyTextFirstIndent2">
    <w:name w:val="Body Text First Indent 2"/>
    <w:basedOn w:val="BodyTextIndent"/>
    <w:link w:val="BodyTextFirstIndent2Char"/>
    <w:uiPriority w:val="99"/>
    <w:rsid w:val="00BB4228"/>
    <w:pPr>
      <w:spacing w:line="40" w:lineRule="atLeast"/>
      <w:ind w:firstLine="210"/>
    </w:pPr>
  </w:style>
  <w:style w:type="character" w:customStyle="1" w:styleId="BodyTextFirstIndent2Char">
    <w:name w:val="Body Text First Indent 2 Char"/>
    <w:link w:val="BodyTextFirstIndent2"/>
    <w:uiPriority w:val="99"/>
    <w:rsid w:val="00BB4228"/>
    <w:rPr>
      <w:rFonts w:ascii="Times New Roman" w:eastAsia="Times New Roman" w:hAnsi="Times New Roman"/>
      <w:sz w:val="22"/>
      <w:szCs w:val="22"/>
    </w:rPr>
  </w:style>
  <w:style w:type="paragraph" w:styleId="BodyTextIndent2">
    <w:name w:val="Body Text Indent 2"/>
    <w:basedOn w:val="Normal"/>
    <w:link w:val="BodyTextIndent2Char"/>
    <w:rsid w:val="00BB4228"/>
    <w:pPr>
      <w:spacing w:after="120" w:line="480" w:lineRule="auto"/>
      <w:ind w:left="360"/>
    </w:pPr>
  </w:style>
  <w:style w:type="character" w:customStyle="1" w:styleId="BodyTextIndent2Char">
    <w:name w:val="Body Text Indent 2 Char"/>
    <w:link w:val="BodyTextIndent2"/>
    <w:rsid w:val="00BB4228"/>
    <w:rPr>
      <w:rFonts w:ascii="Times New Roman" w:eastAsia="Times New Roman" w:hAnsi="Times New Roman"/>
      <w:sz w:val="22"/>
      <w:szCs w:val="22"/>
    </w:rPr>
  </w:style>
  <w:style w:type="paragraph" w:styleId="BodyTextIndent3">
    <w:name w:val="Body Text Indent 3"/>
    <w:basedOn w:val="Normal"/>
    <w:link w:val="BodyTextIndent3Char"/>
    <w:rsid w:val="00BB4228"/>
    <w:pPr>
      <w:spacing w:after="120"/>
      <w:ind w:left="360"/>
    </w:pPr>
    <w:rPr>
      <w:sz w:val="16"/>
      <w:szCs w:val="16"/>
    </w:rPr>
  </w:style>
  <w:style w:type="character" w:customStyle="1" w:styleId="BodyTextIndent3Char">
    <w:name w:val="Body Text Indent 3 Char"/>
    <w:link w:val="BodyTextIndent3"/>
    <w:rsid w:val="00BB4228"/>
    <w:rPr>
      <w:rFonts w:ascii="Times New Roman" w:eastAsia="Times New Roman" w:hAnsi="Times New Roman"/>
      <w:sz w:val="16"/>
      <w:szCs w:val="16"/>
    </w:rPr>
  </w:style>
  <w:style w:type="paragraph" w:styleId="E-mailSignature">
    <w:name w:val="E-mail Signature"/>
    <w:basedOn w:val="Normal"/>
    <w:link w:val="E-mailSignatureChar"/>
    <w:uiPriority w:val="99"/>
    <w:rsid w:val="00BB4228"/>
    <w:pPr>
      <w:spacing w:line="40" w:lineRule="atLeast"/>
    </w:pPr>
  </w:style>
  <w:style w:type="character" w:customStyle="1" w:styleId="E-mailSignatureChar">
    <w:name w:val="E-mail Signature Char"/>
    <w:link w:val="E-mailSignature"/>
    <w:uiPriority w:val="99"/>
    <w:rsid w:val="00BB4228"/>
    <w:rPr>
      <w:rFonts w:ascii="Times New Roman" w:eastAsia="Times New Roman" w:hAnsi="Times New Roman"/>
      <w:sz w:val="22"/>
      <w:szCs w:val="22"/>
    </w:rPr>
  </w:style>
  <w:style w:type="character" w:styleId="Emphasis">
    <w:name w:val="Emphasis"/>
    <w:basedOn w:val="DefaultParagraphFont"/>
    <w:qFormat/>
    <w:rsid w:val="00E802C2"/>
    <w:rPr>
      <w:b/>
      <w:i/>
      <w:iCs/>
      <w:sz w:val="28"/>
      <w:szCs w:val="28"/>
    </w:rPr>
  </w:style>
  <w:style w:type="character" w:styleId="EndnoteReference">
    <w:name w:val="endnote reference"/>
    <w:uiPriority w:val="99"/>
    <w:rsid w:val="00BB4228"/>
    <w:rPr>
      <w:vertAlign w:val="superscript"/>
    </w:rPr>
  </w:style>
  <w:style w:type="paragraph" w:styleId="EndnoteText">
    <w:name w:val="endnote text"/>
    <w:basedOn w:val="Normal"/>
    <w:link w:val="EndnoteTextChar"/>
    <w:uiPriority w:val="99"/>
    <w:rsid w:val="00BB4228"/>
    <w:pPr>
      <w:spacing w:line="40" w:lineRule="atLeast"/>
    </w:pPr>
    <w:rPr>
      <w:sz w:val="20"/>
      <w:szCs w:val="20"/>
    </w:rPr>
  </w:style>
  <w:style w:type="character" w:customStyle="1" w:styleId="EndnoteTextChar">
    <w:name w:val="Endnote Text Char"/>
    <w:basedOn w:val="DefaultParagraphFont"/>
    <w:link w:val="EndnoteText"/>
    <w:uiPriority w:val="99"/>
    <w:rsid w:val="00BB4228"/>
    <w:rPr>
      <w:rFonts w:ascii="Times New Roman" w:eastAsia="Times New Roman" w:hAnsi="Times New Roman"/>
    </w:rPr>
  </w:style>
  <w:style w:type="paragraph" w:styleId="EnvelopeReturn">
    <w:name w:val="envelope return"/>
    <w:basedOn w:val="Normal"/>
    <w:uiPriority w:val="99"/>
    <w:rsid w:val="00BB4228"/>
    <w:pPr>
      <w:spacing w:line="40" w:lineRule="atLeast"/>
    </w:pPr>
    <w:rPr>
      <w:rFonts w:ascii="Arial" w:hAnsi="Arial" w:cs="Arial"/>
      <w:sz w:val="20"/>
      <w:szCs w:val="20"/>
    </w:rPr>
  </w:style>
  <w:style w:type="character" w:styleId="HTMLAcronym">
    <w:name w:val="HTML Acronym"/>
    <w:uiPriority w:val="99"/>
    <w:semiHidden/>
    <w:unhideWhenUsed/>
    <w:rsid w:val="00BB4228"/>
    <w:rPr>
      <w:color w:val="000000"/>
    </w:rPr>
  </w:style>
  <w:style w:type="paragraph" w:styleId="HTMLAddress">
    <w:name w:val="HTML Address"/>
    <w:basedOn w:val="Normal"/>
    <w:link w:val="HTMLAddressChar"/>
    <w:rsid w:val="00BB4228"/>
    <w:pPr>
      <w:spacing w:line="40" w:lineRule="atLeast"/>
    </w:pPr>
    <w:rPr>
      <w:i/>
      <w:iCs/>
    </w:rPr>
  </w:style>
  <w:style w:type="character" w:customStyle="1" w:styleId="HTMLAddressChar">
    <w:name w:val="HTML Address Char"/>
    <w:link w:val="HTMLAddress"/>
    <w:rsid w:val="00BB4228"/>
    <w:rPr>
      <w:rFonts w:ascii="Times New Roman" w:eastAsia="Times New Roman" w:hAnsi="Times New Roman"/>
      <w:i/>
      <w:iCs/>
      <w:sz w:val="22"/>
      <w:szCs w:val="22"/>
    </w:rPr>
  </w:style>
  <w:style w:type="character" w:styleId="HTMLCite">
    <w:name w:val="HTML Cite"/>
    <w:uiPriority w:val="99"/>
    <w:unhideWhenUsed/>
    <w:rsid w:val="00BB4228"/>
    <w:rPr>
      <w:i/>
      <w:iCs/>
    </w:rPr>
  </w:style>
  <w:style w:type="character" w:styleId="HTMLCode">
    <w:name w:val="HTML Code"/>
    <w:uiPriority w:val="99"/>
    <w:semiHidden/>
    <w:unhideWhenUsed/>
    <w:rsid w:val="00BB4228"/>
    <w:rPr>
      <w:rFonts w:ascii="Consolas" w:hAnsi="Consolas"/>
      <w:color w:val="000000"/>
      <w:sz w:val="20"/>
      <w:szCs w:val="20"/>
    </w:rPr>
  </w:style>
  <w:style w:type="character" w:styleId="HTMLDefinition">
    <w:name w:val="HTML Definition"/>
    <w:uiPriority w:val="99"/>
    <w:semiHidden/>
    <w:unhideWhenUsed/>
    <w:rsid w:val="00BB4228"/>
    <w:rPr>
      <w:i/>
      <w:iCs/>
      <w:color w:val="000000"/>
    </w:rPr>
  </w:style>
  <w:style w:type="character" w:styleId="HTMLKeyboard">
    <w:name w:val="HTML Keyboard"/>
    <w:uiPriority w:val="99"/>
    <w:semiHidden/>
    <w:unhideWhenUsed/>
    <w:rsid w:val="00BB4228"/>
    <w:rPr>
      <w:rFonts w:ascii="Consolas" w:hAnsi="Consolas"/>
      <w:color w:val="000000"/>
      <w:sz w:val="20"/>
      <w:szCs w:val="20"/>
    </w:rPr>
  </w:style>
  <w:style w:type="paragraph" w:styleId="HTMLPreformatted">
    <w:name w:val="HTML Preformatted"/>
    <w:basedOn w:val="Normal"/>
    <w:link w:val="HTMLPreformattedChar"/>
    <w:rsid w:val="00BB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BB4228"/>
    <w:rPr>
      <w:rFonts w:ascii="Courier New" w:eastAsia="Times New Roman" w:hAnsi="Courier New"/>
    </w:rPr>
  </w:style>
  <w:style w:type="character" w:styleId="HTMLSample">
    <w:name w:val="HTML Sample"/>
    <w:uiPriority w:val="99"/>
    <w:semiHidden/>
    <w:unhideWhenUsed/>
    <w:rsid w:val="00BB4228"/>
    <w:rPr>
      <w:rFonts w:ascii="Consolas" w:hAnsi="Consolas"/>
      <w:color w:val="000000"/>
      <w:sz w:val="24"/>
      <w:szCs w:val="24"/>
    </w:rPr>
  </w:style>
  <w:style w:type="numbering" w:customStyle="1" w:styleId="ICFJSListBullet">
    <w:name w:val="ICF J&amp;S List Bullet"/>
    <w:uiPriority w:val="99"/>
    <w:rsid w:val="00BD48ED"/>
    <w:pPr>
      <w:numPr>
        <w:numId w:val="2"/>
      </w:numPr>
    </w:pPr>
  </w:style>
  <w:style w:type="numbering" w:customStyle="1" w:styleId="ICFJSListNumber">
    <w:name w:val="ICF J&amp;S List Number"/>
    <w:uiPriority w:val="99"/>
    <w:rsid w:val="00BB4228"/>
    <w:pPr>
      <w:numPr>
        <w:numId w:val="4"/>
      </w:numPr>
    </w:pPr>
  </w:style>
  <w:style w:type="paragraph" w:customStyle="1" w:styleId="BlockHeading">
    <w:name w:val="Block Heading"/>
    <w:next w:val="BlockText"/>
    <w:qFormat/>
    <w:rsid w:val="00BB4228"/>
    <w:pPr>
      <w:keepNext/>
      <w:spacing w:before="240" w:line="216" w:lineRule="auto"/>
      <w:ind w:left="720"/>
    </w:pPr>
    <w:rPr>
      <w:rFonts w:ascii="Calibri" w:hAnsi="Calibri"/>
      <w:b/>
      <w:sz w:val="21"/>
      <w:szCs w:val="21"/>
      <w:lang w:bidi="en-US"/>
    </w:rPr>
  </w:style>
  <w:style w:type="paragraph" w:customStyle="1" w:styleId="BlockListBullet">
    <w:name w:val="Block List Bullet"/>
    <w:basedOn w:val="BlockText"/>
    <w:qFormat/>
    <w:rsid w:val="00BB4228"/>
    <w:pPr>
      <w:numPr>
        <w:numId w:val="10"/>
      </w:numPr>
    </w:pPr>
  </w:style>
  <w:style w:type="paragraph" w:customStyle="1" w:styleId="BlockList">
    <w:name w:val="Block List"/>
    <w:basedOn w:val="BlockText"/>
    <w:qFormat/>
    <w:rsid w:val="00BB4228"/>
    <w:pPr>
      <w:ind w:left="1080"/>
    </w:pPr>
  </w:style>
  <w:style w:type="paragraph" w:customStyle="1" w:styleId="BlockListBullet2">
    <w:name w:val="Block List Bullet 2"/>
    <w:basedOn w:val="BlockListBullet"/>
    <w:qFormat/>
    <w:rsid w:val="00BB4228"/>
    <w:pPr>
      <w:numPr>
        <w:numId w:val="11"/>
      </w:numPr>
    </w:pPr>
  </w:style>
  <w:style w:type="paragraph" w:customStyle="1" w:styleId="BlockList2">
    <w:name w:val="Block List 2"/>
    <w:basedOn w:val="BlockList"/>
    <w:qFormat/>
    <w:rsid w:val="00BB4228"/>
    <w:pPr>
      <w:ind w:left="1440"/>
    </w:pPr>
  </w:style>
  <w:style w:type="paragraph" w:customStyle="1" w:styleId="BlockListNumber">
    <w:name w:val="Block List Number"/>
    <w:basedOn w:val="BlockText"/>
    <w:qFormat/>
    <w:rsid w:val="00BB4228"/>
    <w:pPr>
      <w:ind w:left="1080" w:hanging="360"/>
    </w:pPr>
  </w:style>
  <w:style w:type="paragraph" w:customStyle="1" w:styleId="BlockListNumber2">
    <w:name w:val="Block List Number 2"/>
    <w:basedOn w:val="BlockListNumber"/>
    <w:qFormat/>
    <w:rsid w:val="00BB4228"/>
    <w:pPr>
      <w:ind w:left="1440"/>
    </w:pPr>
  </w:style>
  <w:style w:type="paragraph" w:customStyle="1" w:styleId="MMList">
    <w:name w:val="MM List"/>
    <w:basedOn w:val="MMBodyText"/>
    <w:qFormat/>
    <w:rsid w:val="00BB4228"/>
    <w:pPr>
      <w:spacing w:before="120"/>
      <w:ind w:left="1080"/>
    </w:pPr>
  </w:style>
  <w:style w:type="paragraph" w:customStyle="1" w:styleId="MMList2">
    <w:name w:val="MM List 2"/>
    <w:basedOn w:val="MMList"/>
    <w:qFormat/>
    <w:rsid w:val="00BB4228"/>
    <w:pPr>
      <w:ind w:left="1440"/>
    </w:pPr>
  </w:style>
  <w:style w:type="paragraph" w:customStyle="1" w:styleId="MMListNumber">
    <w:name w:val="MM List Number"/>
    <w:basedOn w:val="MMBodyText"/>
    <w:qFormat/>
    <w:rsid w:val="00BB4228"/>
    <w:pPr>
      <w:spacing w:before="120"/>
      <w:ind w:left="1080" w:hanging="360"/>
    </w:pPr>
  </w:style>
  <w:style w:type="paragraph" w:customStyle="1" w:styleId="MMListNumber2">
    <w:name w:val="MM List Number 2"/>
    <w:basedOn w:val="MMListNumber"/>
    <w:qFormat/>
    <w:rsid w:val="00BB4228"/>
    <w:pPr>
      <w:ind w:left="1440"/>
    </w:pPr>
  </w:style>
  <w:style w:type="paragraph" w:customStyle="1" w:styleId="Heading0">
    <w:name w:val="Heading 0"/>
    <w:basedOn w:val="Heading1"/>
    <w:next w:val="BodyText"/>
    <w:qFormat/>
    <w:rsid w:val="00F705FF"/>
    <w:pPr>
      <w:numPr>
        <w:numId w:val="0"/>
      </w:numPr>
    </w:pPr>
  </w:style>
  <w:style w:type="paragraph" w:customStyle="1" w:styleId="CulturalAuthor">
    <w:name w:val="Cultural Author"/>
    <w:basedOn w:val="BodyText"/>
    <w:qFormat/>
    <w:rsid w:val="00BB4228"/>
    <w:pPr>
      <w:keepLines/>
    </w:pPr>
  </w:style>
  <w:style w:type="paragraph" w:customStyle="1" w:styleId="CulturalCitation">
    <w:name w:val="Cultural Citation"/>
    <w:basedOn w:val="CulturalAuthor"/>
    <w:next w:val="CulturalAuthor"/>
    <w:qFormat/>
    <w:rsid w:val="00BB4228"/>
    <w:pPr>
      <w:keepNext w:val="0"/>
      <w:tabs>
        <w:tab w:val="left" w:pos="1440"/>
      </w:tabs>
      <w:ind w:left="1080" w:hanging="360"/>
    </w:pPr>
  </w:style>
  <w:style w:type="paragraph" w:customStyle="1" w:styleId="TOCAcroText">
    <w:name w:val="TOC Acro Text"/>
    <w:basedOn w:val="Normal"/>
    <w:rsid w:val="00BB4228"/>
    <w:pPr>
      <w:spacing w:before="20"/>
    </w:pPr>
  </w:style>
  <w:style w:type="paragraph" w:customStyle="1" w:styleId="TOC-PageFollowsPage">
    <w:name w:val="TOC-Page/Follows Page"/>
    <w:basedOn w:val="Normal"/>
    <w:rsid w:val="00BB4228"/>
    <w:pPr>
      <w:tabs>
        <w:tab w:val="right" w:pos="9360"/>
      </w:tabs>
      <w:ind w:left="1440"/>
      <w:jc w:val="right"/>
    </w:pPr>
    <w:rPr>
      <w:rFonts w:ascii="Calibri" w:hAnsi="Calibri"/>
      <w:b/>
    </w:rPr>
  </w:style>
  <w:style w:type="paragraph" w:customStyle="1" w:styleId="TableBullet2">
    <w:name w:val="Table Bullet 2"/>
    <w:basedOn w:val="TableBullet"/>
    <w:qFormat/>
    <w:rsid w:val="00BB4228"/>
    <w:pPr>
      <w:numPr>
        <w:numId w:val="18"/>
      </w:numPr>
    </w:pPr>
  </w:style>
  <w:style w:type="character" w:styleId="LineNumber">
    <w:name w:val="line number"/>
    <w:rsid w:val="00BB4228"/>
  </w:style>
  <w:style w:type="paragraph" w:customStyle="1" w:styleId="TOC-TableFigureTitle">
    <w:name w:val="TOC-Table/Figure Title"/>
    <w:basedOn w:val="Normal"/>
    <w:rsid w:val="00BB4228"/>
    <w:pPr>
      <w:tabs>
        <w:tab w:val="left" w:pos="720"/>
        <w:tab w:val="right" w:leader="dot" w:pos="9360"/>
      </w:tabs>
      <w:spacing w:before="160"/>
      <w:ind w:left="720" w:right="1440" w:hanging="720"/>
    </w:pPr>
  </w:style>
  <w:style w:type="character" w:customStyle="1" w:styleId="TableTextChar">
    <w:name w:val="Table Text Char"/>
    <w:link w:val="TableText"/>
    <w:locked/>
    <w:rsid w:val="001B04F9"/>
    <w:rPr>
      <w:rFonts w:ascii="Segoe UI" w:eastAsia="Times New Roman" w:hAnsi="Segoe UI"/>
      <w:sz w:val="24"/>
      <w:szCs w:val="22"/>
    </w:rPr>
  </w:style>
  <w:style w:type="paragraph" w:customStyle="1" w:styleId="TableSubheading">
    <w:name w:val="Table Subheading"/>
    <w:basedOn w:val="TableText"/>
    <w:qFormat/>
    <w:rsid w:val="00BB4228"/>
    <w:pPr>
      <w:spacing w:before="20" w:after="20"/>
    </w:pPr>
    <w:rPr>
      <w:rFonts w:ascii="Calibri" w:hAnsi="Calibri"/>
      <w:b/>
    </w:rPr>
  </w:style>
  <w:style w:type="paragraph" w:customStyle="1" w:styleId="TableHeading">
    <w:name w:val="Table Heading"/>
    <w:basedOn w:val="Normal"/>
    <w:link w:val="TableHeadingChar"/>
    <w:qFormat/>
    <w:rsid w:val="00BB4228"/>
    <w:pPr>
      <w:keepNext/>
      <w:keepLines/>
      <w:jc w:val="center"/>
    </w:pPr>
    <w:rPr>
      <w:b/>
      <w:sz w:val="20"/>
    </w:rPr>
  </w:style>
  <w:style w:type="paragraph" w:customStyle="1" w:styleId="BodyTextStacked">
    <w:name w:val="Body Text Stacked"/>
    <w:basedOn w:val="BodyText"/>
    <w:next w:val="BodyText"/>
    <w:link w:val="BodyTextStackedChar"/>
    <w:qFormat/>
    <w:rsid w:val="00740D2A"/>
    <w:pPr>
      <w:ind w:left="2160"/>
    </w:pPr>
    <w:rPr>
      <w:szCs w:val="20"/>
    </w:rPr>
  </w:style>
  <w:style w:type="character" w:customStyle="1" w:styleId="BodyTextStackedChar">
    <w:name w:val="Body Text Stacked Char"/>
    <w:link w:val="BodyTextStacked"/>
    <w:rsid w:val="00740D2A"/>
    <w:rPr>
      <w:rFonts w:ascii="Times New Roman" w:hAnsi="Times New Roman"/>
      <w:sz w:val="21"/>
      <w:lang w:val="x-none" w:eastAsia="x-none"/>
    </w:rPr>
  </w:style>
  <w:style w:type="character" w:customStyle="1" w:styleId="A0">
    <w:name w:val="A0"/>
    <w:uiPriority w:val="99"/>
    <w:rsid w:val="00740D2A"/>
    <w:rPr>
      <w:color w:val="000000"/>
      <w:sz w:val="20"/>
      <w:szCs w:val="20"/>
    </w:rPr>
  </w:style>
  <w:style w:type="character" w:styleId="Hyperlink">
    <w:name w:val="Hyperlink"/>
    <w:basedOn w:val="DefaultParagraphFont"/>
    <w:rsid w:val="00E802C2"/>
    <w:rPr>
      <w:color w:val="0000FF"/>
      <w:u w:val="single"/>
    </w:rPr>
  </w:style>
  <w:style w:type="table" w:styleId="TableGrid">
    <w:name w:val="Table Grid"/>
    <w:basedOn w:val="TableNormal"/>
    <w:uiPriority w:val="39"/>
    <w:rsid w:val="00E802C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BulletChar">
    <w:name w:val="List Bullet Char"/>
    <w:link w:val="ListBullet"/>
    <w:rsid w:val="00F705FF"/>
    <w:rPr>
      <w:rFonts w:ascii="Times New Roman" w:eastAsia="Calibri" w:hAnsi="Times New Roman"/>
      <w:sz w:val="24"/>
      <w:szCs w:val="22"/>
    </w:rPr>
  </w:style>
  <w:style w:type="paragraph" w:styleId="ListParagraph">
    <w:name w:val="List Paragraph"/>
    <w:basedOn w:val="Normal"/>
    <w:link w:val="ListParagraphChar"/>
    <w:uiPriority w:val="34"/>
    <w:qFormat/>
    <w:rsid w:val="00BB4228"/>
    <w:pPr>
      <w:tabs>
        <w:tab w:val="left" w:pos="1627"/>
      </w:tabs>
      <w:ind w:left="720"/>
    </w:pPr>
  </w:style>
  <w:style w:type="numbering" w:customStyle="1" w:styleId="ICFJSListBullet1">
    <w:name w:val="ICF J&amp;S List Bullet1"/>
    <w:uiPriority w:val="99"/>
    <w:rsid w:val="00BB4228"/>
    <w:pPr>
      <w:numPr>
        <w:numId w:val="1"/>
      </w:numPr>
    </w:pPr>
  </w:style>
  <w:style w:type="paragraph" w:customStyle="1" w:styleId="ListBulletLast">
    <w:name w:val="List Bullet Last"/>
    <w:basedOn w:val="ListBullet"/>
    <w:rsid w:val="009E1F8C"/>
    <w:pPr>
      <w:numPr>
        <w:numId w:val="3"/>
      </w:numPr>
      <w:spacing w:after="260"/>
    </w:pPr>
    <w:rPr>
      <w:rFonts w:eastAsia="Times New Roman"/>
      <w:szCs w:val="20"/>
    </w:rPr>
  </w:style>
  <w:style w:type="numbering" w:customStyle="1" w:styleId="ICFJSStandard2">
    <w:name w:val="ICF J&amp;S Standard2"/>
    <w:rsid w:val="00BB4228"/>
    <w:pPr>
      <w:numPr>
        <w:numId w:val="7"/>
      </w:numPr>
    </w:pPr>
  </w:style>
  <w:style w:type="character" w:customStyle="1" w:styleId="CitationChar">
    <w:name w:val="Citation Char"/>
    <w:link w:val="Citation"/>
    <w:rsid w:val="00F705FF"/>
    <w:rPr>
      <w:rFonts w:ascii="Times New Roman" w:eastAsia="Times New Roman" w:hAnsi="Times New Roman"/>
      <w:sz w:val="24"/>
      <w:szCs w:val="22"/>
    </w:rPr>
  </w:style>
  <w:style w:type="paragraph" w:styleId="Bibliography">
    <w:name w:val="Bibliography"/>
    <w:basedOn w:val="Normal"/>
    <w:next w:val="Normal"/>
    <w:uiPriority w:val="37"/>
    <w:semiHidden/>
    <w:unhideWhenUsed/>
    <w:rsid w:val="00606E2B"/>
  </w:style>
  <w:style w:type="paragraph" w:styleId="EnvelopeAddress">
    <w:name w:val="envelope address"/>
    <w:basedOn w:val="Normal"/>
    <w:uiPriority w:val="99"/>
    <w:rsid w:val="00BB4228"/>
    <w:pPr>
      <w:framePr w:w="7920" w:h="1980" w:hRule="exact" w:hSpace="180" w:wrap="auto" w:hAnchor="page" w:xAlign="center" w:yAlign="bottom"/>
      <w:spacing w:line="40" w:lineRule="atLeast"/>
      <w:ind w:left="2880"/>
    </w:pPr>
    <w:rPr>
      <w:rFonts w:ascii="Arial" w:hAnsi="Arial" w:cs="Arial"/>
    </w:rPr>
  </w:style>
  <w:style w:type="paragraph" w:styleId="IndexHeading">
    <w:name w:val="index heading"/>
    <w:basedOn w:val="Normal"/>
    <w:next w:val="Index1"/>
    <w:uiPriority w:val="99"/>
    <w:rsid w:val="00BB4228"/>
    <w:pPr>
      <w:spacing w:line="40" w:lineRule="atLeast"/>
    </w:pPr>
    <w:rPr>
      <w:rFonts w:ascii="Arial" w:hAnsi="Arial" w:cs="Arial"/>
      <w:b/>
      <w:bCs/>
    </w:rPr>
  </w:style>
  <w:style w:type="paragraph" w:styleId="IntenseQuote">
    <w:name w:val="Intense Quote"/>
    <w:basedOn w:val="Normal"/>
    <w:next w:val="Normal"/>
    <w:link w:val="IntenseQuoteChar"/>
    <w:qFormat/>
    <w:rsid w:val="00BB4228"/>
    <w:pPr>
      <w:ind w:left="720" w:right="720"/>
    </w:pPr>
    <w:rPr>
      <w:rFonts w:ascii="Calibri" w:hAnsi="Calibri"/>
      <w:b/>
      <w:i/>
      <w:lang w:bidi="en-US"/>
    </w:rPr>
  </w:style>
  <w:style w:type="character" w:customStyle="1" w:styleId="IntenseQuoteChar">
    <w:name w:val="Intense Quote Char"/>
    <w:basedOn w:val="DefaultParagraphFont"/>
    <w:link w:val="IntenseQuote"/>
    <w:rsid w:val="00BB4228"/>
    <w:rPr>
      <w:rFonts w:ascii="Calibri" w:eastAsia="Times New Roman" w:hAnsi="Calibri"/>
      <w:b/>
      <w:i/>
      <w:sz w:val="24"/>
      <w:szCs w:val="22"/>
      <w:lang w:bidi="en-US"/>
    </w:rPr>
  </w:style>
  <w:style w:type="paragraph" w:styleId="ListContinue">
    <w:name w:val="List Continue"/>
    <w:basedOn w:val="Normal"/>
    <w:uiPriority w:val="99"/>
    <w:rsid w:val="00BB4228"/>
    <w:pPr>
      <w:spacing w:after="120" w:line="40" w:lineRule="atLeast"/>
      <w:ind w:left="360"/>
    </w:pPr>
  </w:style>
  <w:style w:type="paragraph" w:styleId="ListContinue2">
    <w:name w:val="List Continue 2"/>
    <w:basedOn w:val="Normal"/>
    <w:uiPriority w:val="99"/>
    <w:rsid w:val="00BB4228"/>
    <w:pPr>
      <w:spacing w:after="120" w:line="40" w:lineRule="atLeast"/>
      <w:ind w:left="720"/>
    </w:pPr>
  </w:style>
  <w:style w:type="paragraph" w:styleId="ListContinue3">
    <w:name w:val="List Continue 3"/>
    <w:basedOn w:val="Normal"/>
    <w:uiPriority w:val="99"/>
    <w:rsid w:val="00BB4228"/>
    <w:pPr>
      <w:spacing w:after="120" w:line="40" w:lineRule="atLeast"/>
      <w:ind w:left="1080"/>
    </w:pPr>
  </w:style>
  <w:style w:type="paragraph" w:styleId="ListContinue4">
    <w:name w:val="List Continue 4"/>
    <w:basedOn w:val="Normal"/>
    <w:uiPriority w:val="99"/>
    <w:rsid w:val="00BB4228"/>
    <w:pPr>
      <w:spacing w:after="120" w:line="40" w:lineRule="atLeast"/>
      <w:ind w:left="1440"/>
    </w:pPr>
  </w:style>
  <w:style w:type="paragraph" w:styleId="ListContinue5">
    <w:name w:val="List Continue 5"/>
    <w:basedOn w:val="Normal"/>
    <w:uiPriority w:val="99"/>
    <w:rsid w:val="00BB4228"/>
    <w:pPr>
      <w:spacing w:after="120" w:line="40" w:lineRule="atLeast"/>
      <w:ind w:left="1800"/>
    </w:pPr>
  </w:style>
  <w:style w:type="paragraph" w:styleId="MacroText">
    <w:name w:val="macro"/>
    <w:link w:val="MacroTextChar"/>
    <w:uiPriority w:val="99"/>
    <w:rsid w:val="00BB4228"/>
    <w:pPr>
      <w:tabs>
        <w:tab w:val="left" w:pos="480"/>
        <w:tab w:val="left" w:pos="960"/>
        <w:tab w:val="left" w:pos="1440"/>
        <w:tab w:val="left" w:pos="1920"/>
        <w:tab w:val="left" w:pos="2400"/>
        <w:tab w:val="left" w:pos="2880"/>
        <w:tab w:val="left" w:pos="3360"/>
        <w:tab w:val="left" w:pos="3840"/>
        <w:tab w:val="left" w:pos="4320"/>
      </w:tabs>
      <w:spacing w:line="40" w:lineRule="atLeast"/>
    </w:pPr>
    <w:rPr>
      <w:rFonts w:ascii="Courier New" w:eastAsia="Times New Roman" w:hAnsi="Courier New" w:cs="Courier New"/>
      <w:sz w:val="24"/>
      <w:szCs w:val="24"/>
    </w:rPr>
  </w:style>
  <w:style w:type="character" w:customStyle="1" w:styleId="MacroTextChar">
    <w:name w:val="Macro Text Char"/>
    <w:link w:val="MacroText"/>
    <w:uiPriority w:val="99"/>
    <w:rsid w:val="00BB4228"/>
    <w:rPr>
      <w:rFonts w:ascii="Courier New" w:eastAsia="Times New Roman" w:hAnsi="Courier New" w:cs="Courier New"/>
      <w:sz w:val="24"/>
      <w:szCs w:val="24"/>
    </w:rPr>
  </w:style>
  <w:style w:type="paragraph" w:styleId="MessageHeader">
    <w:name w:val="Message Header"/>
    <w:basedOn w:val="Normal"/>
    <w:link w:val="MessageHeaderChar"/>
    <w:uiPriority w:val="99"/>
    <w:rsid w:val="00BB4228"/>
    <w:pPr>
      <w:pBdr>
        <w:top w:val="single" w:sz="6" w:space="1" w:color="auto"/>
        <w:left w:val="single" w:sz="6" w:space="1" w:color="auto"/>
        <w:bottom w:val="single" w:sz="6" w:space="1" w:color="auto"/>
        <w:right w:val="single" w:sz="6" w:space="1" w:color="auto"/>
      </w:pBdr>
      <w:shd w:val="pct20" w:color="auto" w:fill="auto"/>
      <w:spacing w:line="40" w:lineRule="atLeast"/>
      <w:ind w:left="1080" w:hanging="1080"/>
    </w:pPr>
    <w:rPr>
      <w:rFonts w:ascii="Arial" w:hAnsi="Arial"/>
    </w:rPr>
  </w:style>
  <w:style w:type="character" w:customStyle="1" w:styleId="MessageHeaderChar">
    <w:name w:val="Message Header Char"/>
    <w:link w:val="MessageHeader"/>
    <w:uiPriority w:val="99"/>
    <w:rsid w:val="00BB4228"/>
    <w:rPr>
      <w:rFonts w:ascii="Arial" w:eastAsia="Times New Roman" w:hAnsi="Arial"/>
      <w:sz w:val="24"/>
      <w:szCs w:val="24"/>
      <w:shd w:val="pct20" w:color="auto" w:fill="auto"/>
    </w:rPr>
  </w:style>
  <w:style w:type="paragraph" w:styleId="NormalWeb">
    <w:name w:val="Normal (Web)"/>
    <w:basedOn w:val="Normal"/>
    <w:uiPriority w:val="99"/>
    <w:unhideWhenUsed/>
    <w:rsid w:val="00E802C2"/>
  </w:style>
  <w:style w:type="paragraph" w:styleId="NormalIndent">
    <w:name w:val="Normal Indent"/>
    <w:basedOn w:val="Normal"/>
    <w:uiPriority w:val="99"/>
    <w:rsid w:val="00BB4228"/>
    <w:pPr>
      <w:spacing w:line="40" w:lineRule="atLeast"/>
      <w:ind w:left="720"/>
    </w:pPr>
  </w:style>
  <w:style w:type="paragraph" w:styleId="NoteHeading">
    <w:name w:val="Note Heading"/>
    <w:basedOn w:val="Normal"/>
    <w:next w:val="Normal"/>
    <w:link w:val="NoteHeadingChar"/>
    <w:uiPriority w:val="99"/>
    <w:rsid w:val="00BB4228"/>
    <w:pPr>
      <w:spacing w:line="40" w:lineRule="atLeast"/>
    </w:pPr>
  </w:style>
  <w:style w:type="character" w:customStyle="1" w:styleId="NoteHeadingChar">
    <w:name w:val="Note Heading Char"/>
    <w:link w:val="NoteHeading"/>
    <w:uiPriority w:val="99"/>
    <w:rsid w:val="00BB4228"/>
    <w:rPr>
      <w:rFonts w:ascii="Times New Roman" w:eastAsia="Times New Roman" w:hAnsi="Times New Roman"/>
      <w:sz w:val="22"/>
      <w:szCs w:val="22"/>
    </w:rPr>
  </w:style>
  <w:style w:type="paragraph" w:styleId="PlainText">
    <w:name w:val="Plain Text"/>
    <w:basedOn w:val="Normal"/>
    <w:link w:val="PlainTextChar"/>
    <w:rsid w:val="00BB4228"/>
    <w:pPr>
      <w:spacing w:line="40" w:lineRule="atLeast"/>
    </w:pPr>
    <w:rPr>
      <w:rFonts w:ascii="Courier New" w:hAnsi="Courier New"/>
      <w:sz w:val="20"/>
      <w:szCs w:val="20"/>
    </w:rPr>
  </w:style>
  <w:style w:type="character" w:customStyle="1" w:styleId="PlainTextChar">
    <w:name w:val="Plain Text Char"/>
    <w:link w:val="PlainText"/>
    <w:rsid w:val="00BB4228"/>
    <w:rPr>
      <w:rFonts w:ascii="Courier New" w:eastAsia="Times New Roman" w:hAnsi="Courier New"/>
    </w:rPr>
  </w:style>
  <w:style w:type="paragraph" w:styleId="Quote">
    <w:name w:val="Quote"/>
    <w:basedOn w:val="Normal"/>
    <w:next w:val="Normal"/>
    <w:link w:val="QuoteChar"/>
    <w:uiPriority w:val="29"/>
    <w:qFormat/>
    <w:rsid w:val="00BB4228"/>
    <w:rPr>
      <w:i/>
      <w:iCs/>
      <w:color w:val="000000" w:themeColor="text1"/>
    </w:rPr>
  </w:style>
  <w:style w:type="character" w:customStyle="1" w:styleId="QuoteChar">
    <w:name w:val="Quote Char"/>
    <w:basedOn w:val="DefaultParagraphFont"/>
    <w:link w:val="Quote"/>
    <w:uiPriority w:val="29"/>
    <w:rsid w:val="00BB4228"/>
    <w:rPr>
      <w:rFonts w:ascii="Times New Roman" w:eastAsia="Times New Roman" w:hAnsi="Times New Roman"/>
      <w:i/>
      <w:iCs/>
      <w:color w:val="000000" w:themeColor="text1"/>
      <w:sz w:val="24"/>
      <w:szCs w:val="24"/>
    </w:rPr>
  </w:style>
  <w:style w:type="paragraph" w:styleId="Subtitle">
    <w:name w:val="Subtitle"/>
    <w:basedOn w:val="Normal"/>
    <w:link w:val="SubtitleChar"/>
    <w:qFormat/>
    <w:rsid w:val="00BB4228"/>
    <w:pPr>
      <w:spacing w:after="60" w:line="40" w:lineRule="atLeast"/>
      <w:jc w:val="center"/>
      <w:outlineLvl w:val="1"/>
    </w:pPr>
    <w:rPr>
      <w:rFonts w:ascii="Arial" w:hAnsi="Arial"/>
    </w:rPr>
  </w:style>
  <w:style w:type="character" w:customStyle="1" w:styleId="SubtitleChar">
    <w:name w:val="Subtitle Char"/>
    <w:link w:val="Subtitle"/>
    <w:rsid w:val="00BB4228"/>
    <w:rPr>
      <w:rFonts w:ascii="Arial" w:eastAsia="Times New Roman" w:hAnsi="Arial"/>
      <w:sz w:val="24"/>
      <w:szCs w:val="24"/>
    </w:rPr>
  </w:style>
  <w:style w:type="character" w:customStyle="1" w:styleId="biblio-authors">
    <w:name w:val="biblio-authors"/>
    <w:rsid w:val="00BB4228"/>
  </w:style>
  <w:style w:type="character" w:customStyle="1" w:styleId="biblio-title">
    <w:name w:val="biblio-title"/>
    <w:rsid w:val="00BB4228"/>
  </w:style>
  <w:style w:type="paragraph" w:customStyle="1" w:styleId="blank">
    <w:name w:val="blank"/>
    <w:basedOn w:val="Normal"/>
    <w:uiPriority w:val="99"/>
    <w:rsid w:val="00BB4228"/>
    <w:pPr>
      <w:tabs>
        <w:tab w:val="left" w:pos="720"/>
        <w:tab w:val="left" w:pos="1627"/>
      </w:tabs>
      <w:ind w:left="720" w:hanging="360"/>
    </w:pPr>
  </w:style>
  <w:style w:type="character" w:customStyle="1" w:styleId="BodyTextBold">
    <w:name w:val="Body Text Bold"/>
    <w:rsid w:val="00BB4228"/>
    <w:rPr>
      <w:rFonts w:ascii="Times New Roman" w:hAnsi="Times New Roman"/>
      <w:b/>
      <w:sz w:val="24"/>
    </w:rPr>
  </w:style>
  <w:style w:type="paragraph" w:customStyle="1" w:styleId="BodyTextRECIRC">
    <w:name w:val="Body Text_RECIRC"/>
    <w:rsid w:val="00BB4228"/>
    <w:pPr>
      <w:spacing w:before="160" w:line="264" w:lineRule="auto"/>
      <w:ind w:left="360"/>
    </w:pPr>
    <w:rPr>
      <w:rFonts w:eastAsia="Times New Roman"/>
      <w:color w:val="1F497D"/>
      <w:sz w:val="21"/>
      <w:szCs w:val="21"/>
    </w:rPr>
  </w:style>
  <w:style w:type="paragraph" w:customStyle="1" w:styleId="BodyText1">
    <w:name w:val="Body Text1"/>
    <w:link w:val="BodytextChar0"/>
    <w:uiPriority w:val="99"/>
    <w:rsid w:val="00BB4228"/>
    <w:pPr>
      <w:spacing w:after="200"/>
    </w:pPr>
    <w:rPr>
      <w:rFonts w:ascii="Times New Roman" w:hAnsi="Times New Roman"/>
      <w:sz w:val="24"/>
      <w:szCs w:val="24"/>
    </w:rPr>
  </w:style>
  <w:style w:type="character" w:customStyle="1" w:styleId="BodytextChar0">
    <w:name w:val="Body text Char"/>
    <w:link w:val="BodyText1"/>
    <w:uiPriority w:val="99"/>
    <w:locked/>
    <w:rsid w:val="00BB4228"/>
    <w:rPr>
      <w:rFonts w:ascii="Times New Roman" w:hAnsi="Times New Roman"/>
      <w:sz w:val="24"/>
      <w:szCs w:val="24"/>
    </w:rPr>
  </w:style>
  <w:style w:type="paragraph" w:customStyle="1" w:styleId="Bullet">
    <w:name w:val="Bullet"/>
    <w:next w:val="BodyText"/>
    <w:qFormat/>
    <w:rsid w:val="00BB4228"/>
    <w:pPr>
      <w:numPr>
        <w:numId w:val="12"/>
      </w:numPr>
      <w:spacing w:after="120" w:line="264" w:lineRule="auto"/>
    </w:pPr>
    <w:rPr>
      <w:rFonts w:ascii="Times New Roman" w:hAnsi="Times New Roman"/>
      <w:sz w:val="24"/>
      <w:szCs w:val="24"/>
    </w:rPr>
  </w:style>
  <w:style w:type="character" w:customStyle="1" w:styleId="CaptionChar">
    <w:name w:val="Caption Char"/>
    <w:aliases w:val="Caption Char + Arial Char Char2,9 pt Char Char2,Bold Char Char2,Caption Char1 Char1"/>
    <w:link w:val="Caption"/>
    <w:uiPriority w:val="35"/>
    <w:rsid w:val="00BE0809"/>
    <w:rPr>
      <w:rFonts w:ascii="Segoe UI" w:eastAsia="Times New Roman" w:hAnsi="Segoe UI"/>
      <w:b/>
      <w:bCs/>
    </w:rPr>
  </w:style>
  <w:style w:type="paragraph" w:customStyle="1" w:styleId="Checklistletter">
    <w:name w:val="Checklist letter"/>
    <w:basedOn w:val="BodyText"/>
    <w:rsid w:val="00BB4228"/>
    <w:pPr>
      <w:ind w:hanging="720"/>
    </w:pPr>
  </w:style>
  <w:style w:type="paragraph" w:customStyle="1" w:styleId="LiteratureCited">
    <w:name w:val="Literature Cited"/>
    <w:basedOn w:val="Normal"/>
    <w:rsid w:val="00BB4228"/>
    <w:pPr>
      <w:ind w:left="720" w:hanging="720"/>
    </w:pPr>
  </w:style>
  <w:style w:type="paragraph" w:customStyle="1" w:styleId="CitationRECIRC">
    <w:name w:val="Citation_RECIRC"/>
    <w:basedOn w:val="BodyTextRECIRC"/>
    <w:qFormat/>
    <w:rsid w:val="00BB4228"/>
    <w:pPr>
      <w:ind w:left="720" w:hanging="360"/>
    </w:pPr>
  </w:style>
  <w:style w:type="paragraph" w:customStyle="1" w:styleId="Default">
    <w:name w:val="Default"/>
    <w:rsid w:val="00BB4228"/>
    <w:pPr>
      <w:autoSpaceDE w:val="0"/>
      <w:autoSpaceDN w:val="0"/>
      <w:adjustRightInd w:val="0"/>
    </w:pPr>
    <w:rPr>
      <w:rFonts w:ascii="Times New Roman" w:eastAsia="Times New Roman" w:hAnsi="Times New Roman"/>
      <w:color w:val="000000"/>
      <w:sz w:val="24"/>
      <w:szCs w:val="24"/>
    </w:rPr>
  </w:style>
  <w:style w:type="paragraph" w:customStyle="1" w:styleId="CM55">
    <w:name w:val="CM55"/>
    <w:basedOn w:val="Default"/>
    <w:next w:val="Default"/>
    <w:uiPriority w:val="99"/>
    <w:rsid w:val="00BB4228"/>
    <w:rPr>
      <w:rFonts w:eastAsia="Calibri"/>
      <w:color w:val="auto"/>
    </w:rPr>
  </w:style>
  <w:style w:type="paragraph" w:customStyle="1" w:styleId="Contents">
    <w:name w:val="Contents"/>
    <w:next w:val="BodyText"/>
    <w:qFormat/>
    <w:rsid w:val="00F705FF"/>
    <w:pPr>
      <w:pBdr>
        <w:bottom w:val="single" w:sz="4" w:space="1" w:color="auto"/>
      </w:pBdr>
      <w:spacing w:after="360" w:line="440" w:lineRule="exact"/>
    </w:pPr>
    <w:rPr>
      <w:rFonts w:ascii="Segoe UI" w:eastAsia="Times New Roman" w:hAnsi="Segoe UI"/>
      <w:b/>
      <w:sz w:val="44"/>
    </w:rPr>
  </w:style>
  <w:style w:type="character" w:customStyle="1" w:styleId="DeltaViewInsertion">
    <w:name w:val="DeltaView Insertion"/>
    <w:rsid w:val="00BB4228"/>
    <w:rPr>
      <w:color w:val="0000FF"/>
      <w:spacing w:val="0"/>
      <w:u w:val="double"/>
    </w:rPr>
  </w:style>
  <w:style w:type="character" w:customStyle="1" w:styleId="DocumentTitle">
    <w:name w:val="Document Title"/>
    <w:rsid w:val="00BB4228"/>
    <w:rPr>
      <w:rFonts w:ascii="Times New Roman" w:hAnsi="Times New Roman"/>
      <w:i/>
      <w:sz w:val="22"/>
    </w:rPr>
  </w:style>
  <w:style w:type="paragraph" w:customStyle="1" w:styleId="Figure">
    <w:name w:val="Figure"/>
    <w:basedOn w:val="Normal"/>
    <w:next w:val="FigureCaption"/>
    <w:qFormat/>
    <w:rsid w:val="00BB4228"/>
    <w:rPr>
      <w:noProof/>
    </w:rPr>
  </w:style>
  <w:style w:type="paragraph" w:customStyle="1" w:styleId="FigureCaption">
    <w:name w:val="Figure Caption"/>
    <w:next w:val="Normal"/>
    <w:link w:val="FigureCaptionChar"/>
    <w:autoRedefine/>
    <w:rsid w:val="00BB4228"/>
    <w:pPr>
      <w:tabs>
        <w:tab w:val="left" w:pos="900"/>
        <w:tab w:val="left" w:pos="1440"/>
      </w:tabs>
    </w:pPr>
    <w:rPr>
      <w:rFonts w:ascii="Arial" w:eastAsia="Times New Roman" w:hAnsi="Arial"/>
      <w:sz w:val="24"/>
      <w:szCs w:val="24"/>
    </w:rPr>
  </w:style>
  <w:style w:type="character" w:customStyle="1" w:styleId="FigureCaptionChar">
    <w:name w:val="Figure Caption Char"/>
    <w:link w:val="FigureCaption"/>
    <w:rsid w:val="00BB4228"/>
    <w:rPr>
      <w:rFonts w:ascii="Arial" w:eastAsia="Times New Roman" w:hAnsi="Arial"/>
      <w:sz w:val="24"/>
      <w:szCs w:val="24"/>
    </w:rPr>
  </w:style>
  <w:style w:type="paragraph" w:customStyle="1" w:styleId="FigureNote">
    <w:name w:val="Figure Note"/>
    <w:basedOn w:val="TableText"/>
    <w:qFormat/>
    <w:rsid w:val="00BB4228"/>
    <w:pPr>
      <w:keepNext w:val="0"/>
      <w:spacing w:before="0" w:after="20"/>
    </w:pPr>
    <w:rPr>
      <w:sz w:val="16"/>
    </w:rPr>
  </w:style>
  <w:style w:type="paragraph" w:customStyle="1" w:styleId="FigureTitle">
    <w:name w:val="Figure Title"/>
    <w:basedOn w:val="Caption"/>
    <w:link w:val="FigureTitleChar"/>
    <w:rsid w:val="001B04F9"/>
    <w:rPr>
      <w:rFonts w:eastAsiaTheme="minorHAnsi"/>
      <w:sz w:val="24"/>
    </w:rPr>
  </w:style>
  <w:style w:type="character" w:customStyle="1" w:styleId="FigureTitleChar">
    <w:name w:val="Figure Title Char"/>
    <w:link w:val="FigureTitle"/>
    <w:locked/>
    <w:rsid w:val="001B04F9"/>
    <w:rPr>
      <w:rFonts w:ascii="Segoe UI" w:eastAsiaTheme="minorHAnsi" w:hAnsi="Segoe UI"/>
      <w:b/>
      <w:bCs/>
      <w:sz w:val="24"/>
    </w:rPr>
  </w:style>
  <w:style w:type="character" w:styleId="FollowedHyperlink">
    <w:name w:val="FollowedHyperlink"/>
    <w:rsid w:val="00BB4228"/>
    <w:rPr>
      <w:color w:val="800080"/>
      <w:u w:val="single"/>
    </w:rPr>
  </w:style>
  <w:style w:type="paragraph" w:customStyle="1" w:styleId="FooterBorder">
    <w:name w:val="Footer Border"/>
    <w:basedOn w:val="Footer"/>
    <w:rsid w:val="00BB4228"/>
    <w:pPr>
      <w:pBdr>
        <w:bottom w:val="single" w:sz="4" w:space="1" w:color="auto"/>
      </w:pBdr>
    </w:pPr>
  </w:style>
  <w:style w:type="paragraph" w:customStyle="1" w:styleId="FooterRt">
    <w:name w:val="FooterRt"/>
    <w:basedOn w:val="HeaderRt"/>
    <w:rsid w:val="000E30A7"/>
    <w:pPr>
      <w:spacing w:after="0"/>
    </w:pPr>
    <w:rPr>
      <w:rFonts w:ascii="Segoe UI" w:hAnsi="Segoe UI"/>
    </w:rPr>
  </w:style>
  <w:style w:type="paragraph" w:customStyle="1" w:styleId="FooterLft">
    <w:name w:val="FooterLft"/>
    <w:basedOn w:val="FooterRt"/>
    <w:rsid w:val="000E30A7"/>
    <w:pPr>
      <w:jc w:val="left"/>
    </w:pPr>
    <w:rPr>
      <w:szCs w:val="24"/>
    </w:rPr>
  </w:style>
  <w:style w:type="paragraph" w:customStyle="1" w:styleId="footnote">
    <w:name w:val="footnote"/>
    <w:basedOn w:val="Normal"/>
    <w:link w:val="footnoteChar"/>
    <w:rsid w:val="00BB4228"/>
    <w:pPr>
      <w:keepNext/>
      <w:keepLines/>
    </w:pPr>
    <w:rPr>
      <w:rFonts w:ascii="Arial" w:hAnsi="Arial"/>
      <w:sz w:val="18"/>
    </w:rPr>
  </w:style>
  <w:style w:type="character" w:customStyle="1" w:styleId="footnoteChar">
    <w:name w:val="footnote Char"/>
    <w:link w:val="footnote"/>
    <w:rsid w:val="00BB4228"/>
    <w:rPr>
      <w:rFonts w:ascii="Arial" w:eastAsia="Times New Roman" w:hAnsi="Arial"/>
      <w:sz w:val="18"/>
      <w:szCs w:val="24"/>
    </w:rPr>
  </w:style>
  <w:style w:type="paragraph" w:customStyle="1" w:styleId="Footnote0">
    <w:name w:val="Footnote"/>
    <w:basedOn w:val="Normal"/>
    <w:link w:val="FootnoteChar0"/>
    <w:qFormat/>
    <w:rsid w:val="00BB4228"/>
    <w:pPr>
      <w:jc w:val="center"/>
    </w:pPr>
    <w:rPr>
      <w:rFonts w:asciiTheme="minorHAnsi" w:eastAsiaTheme="minorHAnsi" w:hAnsiTheme="minorHAnsi" w:cstheme="minorBidi"/>
      <w:vertAlign w:val="superscript"/>
    </w:rPr>
  </w:style>
  <w:style w:type="character" w:customStyle="1" w:styleId="FootnoteChar0">
    <w:name w:val="Footnote Char"/>
    <w:basedOn w:val="DefaultParagraphFont"/>
    <w:link w:val="Footnote0"/>
    <w:rsid w:val="00BB4228"/>
    <w:rPr>
      <w:rFonts w:asciiTheme="minorHAnsi" w:eastAsiaTheme="minorHAnsi" w:hAnsiTheme="minorHAnsi" w:cstheme="minorBidi"/>
      <w:sz w:val="22"/>
      <w:szCs w:val="22"/>
      <w:vertAlign w:val="superscript"/>
    </w:rPr>
  </w:style>
  <w:style w:type="paragraph" w:customStyle="1" w:styleId="Footnotes">
    <w:name w:val="Footnotes"/>
    <w:autoRedefine/>
    <w:uiPriority w:val="99"/>
    <w:rsid w:val="00BB4228"/>
    <w:pPr>
      <w:spacing w:after="60"/>
      <w:ind w:firstLine="360"/>
    </w:pPr>
    <w:rPr>
      <w:rFonts w:ascii="Times New Roman" w:eastAsia="Times New Roman" w:hAnsi="Times New Roman"/>
      <w:sz w:val="24"/>
      <w:szCs w:val="24"/>
    </w:rPr>
  </w:style>
  <w:style w:type="paragraph" w:customStyle="1" w:styleId="Graphic">
    <w:name w:val="Graphic"/>
    <w:next w:val="FigureTitle"/>
    <w:uiPriority w:val="99"/>
    <w:rsid w:val="00BB4228"/>
    <w:pPr>
      <w:widowControl w:val="0"/>
      <w:spacing w:after="120"/>
    </w:pPr>
    <w:rPr>
      <w:rFonts w:ascii="Times New Roman" w:eastAsia="Times New Roman" w:hAnsi="Times New Roman"/>
      <w:sz w:val="24"/>
      <w:szCs w:val="24"/>
    </w:rPr>
  </w:style>
  <w:style w:type="paragraph" w:customStyle="1" w:styleId="HeaderLft">
    <w:name w:val="HeaderLft"/>
    <w:basedOn w:val="HeaderRt"/>
    <w:rsid w:val="00E802C2"/>
    <w:pPr>
      <w:jc w:val="left"/>
    </w:pPr>
  </w:style>
  <w:style w:type="paragraph" w:customStyle="1" w:styleId="HeaderRt">
    <w:name w:val="HeaderRt"/>
    <w:basedOn w:val="Header"/>
    <w:rsid w:val="00E802C2"/>
    <w:pPr>
      <w:jc w:val="right"/>
    </w:pPr>
    <w:rPr>
      <w:rFonts w:ascii="Arial" w:hAnsi="Arial"/>
      <w:sz w:val="20"/>
      <w:szCs w:val="20"/>
    </w:rPr>
  </w:style>
  <w:style w:type="character" w:styleId="HTMLTypewriter">
    <w:name w:val="HTML Typewriter"/>
    <w:uiPriority w:val="99"/>
    <w:unhideWhenUsed/>
    <w:rsid w:val="00BB4228"/>
    <w:rPr>
      <w:rFonts w:ascii="Courier New" w:eastAsia="Times New Roman" w:hAnsi="Courier New" w:cs="Courier New"/>
      <w:sz w:val="20"/>
      <w:szCs w:val="20"/>
    </w:rPr>
  </w:style>
  <w:style w:type="character" w:customStyle="1" w:styleId="Hypertext">
    <w:name w:val="Hypertext"/>
    <w:rsid w:val="00BB4228"/>
    <w:rPr>
      <w:color w:val="0000FF"/>
      <w:u w:val="single"/>
    </w:rPr>
  </w:style>
  <w:style w:type="numbering" w:customStyle="1" w:styleId="ICFJSSection1">
    <w:name w:val="ICF J&amp;S Section1"/>
    <w:uiPriority w:val="99"/>
    <w:rsid w:val="00BB4228"/>
    <w:pPr>
      <w:numPr>
        <w:numId w:val="5"/>
      </w:numPr>
    </w:pPr>
  </w:style>
  <w:style w:type="paragraph" w:customStyle="1" w:styleId="Index">
    <w:name w:val="Index"/>
    <w:basedOn w:val="BodyText"/>
    <w:qFormat/>
    <w:rsid w:val="00BB4228"/>
    <w:pPr>
      <w:tabs>
        <w:tab w:val="right" w:leader="dot" w:pos="9360"/>
      </w:tabs>
      <w:ind w:left="720" w:hanging="360"/>
      <w:jc w:val="right"/>
    </w:pPr>
    <w:rPr>
      <w:noProof/>
    </w:rPr>
  </w:style>
  <w:style w:type="paragraph" w:customStyle="1" w:styleId="InsideCoverAddressBlock">
    <w:name w:val="Inside Cover Address Block"/>
    <w:uiPriority w:val="99"/>
    <w:rsid w:val="00BB4228"/>
    <w:pPr>
      <w:tabs>
        <w:tab w:val="left" w:pos="2520"/>
        <w:tab w:val="left" w:pos="3960"/>
      </w:tabs>
      <w:ind w:left="1080"/>
    </w:pPr>
    <w:rPr>
      <w:rFonts w:ascii="Arial Narrow" w:eastAsia="Times New Roman" w:hAnsi="Arial Narrow" w:cs="Arial"/>
      <w:iCs/>
      <w:sz w:val="24"/>
      <w:szCs w:val="24"/>
    </w:rPr>
  </w:style>
  <w:style w:type="character" w:styleId="IntenseEmphasis">
    <w:name w:val="Intense Emphasis"/>
    <w:qFormat/>
    <w:rsid w:val="00BB4228"/>
    <w:rPr>
      <w:b/>
      <w:bCs/>
      <w:i/>
      <w:iCs/>
      <w:color w:val="4F81BD"/>
    </w:rPr>
  </w:style>
  <w:style w:type="character" w:styleId="IntenseReference">
    <w:name w:val="Intense Reference"/>
    <w:qFormat/>
    <w:rsid w:val="00BB4228"/>
    <w:rPr>
      <w:b/>
      <w:sz w:val="24"/>
      <w:u w:val="single"/>
    </w:rPr>
  </w:style>
  <w:style w:type="paragraph" w:customStyle="1" w:styleId="ListBulletEND">
    <w:name w:val="List Bullet END"/>
    <w:basedOn w:val="ListBullet"/>
    <w:uiPriority w:val="99"/>
    <w:rsid w:val="00BB4228"/>
    <w:pPr>
      <w:tabs>
        <w:tab w:val="num" w:pos="0"/>
        <w:tab w:val="left" w:pos="900"/>
        <w:tab w:val="left" w:pos="1627"/>
      </w:tabs>
      <w:spacing w:line="40" w:lineRule="atLeast"/>
      <w:ind w:left="360"/>
    </w:pPr>
  </w:style>
  <w:style w:type="character" w:customStyle="1" w:styleId="ListParagraphChar">
    <w:name w:val="List Paragraph Char"/>
    <w:link w:val="ListParagraph"/>
    <w:uiPriority w:val="34"/>
    <w:rsid w:val="00BB4228"/>
    <w:rPr>
      <w:rFonts w:ascii="Times New Roman" w:eastAsia="Times New Roman" w:hAnsi="Times New Roman"/>
      <w:sz w:val="24"/>
      <w:szCs w:val="24"/>
    </w:rPr>
  </w:style>
  <w:style w:type="paragraph" w:customStyle="1" w:styleId="ListParagraph2">
    <w:name w:val="List Paragraph 2"/>
    <w:basedOn w:val="Normal"/>
    <w:uiPriority w:val="99"/>
    <w:rsid w:val="00BB4228"/>
    <w:pPr>
      <w:tabs>
        <w:tab w:val="left" w:pos="1627"/>
      </w:tabs>
      <w:ind w:left="2808" w:hanging="360"/>
    </w:pPr>
  </w:style>
  <w:style w:type="character" w:customStyle="1" w:styleId="MediumGrid11">
    <w:name w:val="Medium Grid 11"/>
    <w:uiPriority w:val="99"/>
    <w:unhideWhenUsed/>
    <w:rsid w:val="00BB4228"/>
    <w:rPr>
      <w:color w:val="808080"/>
    </w:rPr>
  </w:style>
  <w:style w:type="paragraph" w:customStyle="1" w:styleId="MediumGrid21">
    <w:name w:val="Medium Grid 21"/>
    <w:uiPriority w:val="99"/>
    <w:semiHidden/>
    <w:unhideWhenUsed/>
    <w:rsid w:val="00BB4228"/>
    <w:pPr>
      <w:spacing w:line="264" w:lineRule="auto"/>
    </w:pPr>
    <w:rPr>
      <w:color w:val="000000"/>
      <w:sz w:val="22"/>
      <w:szCs w:val="22"/>
      <w:lang w:bidi="en-US"/>
    </w:rPr>
  </w:style>
  <w:style w:type="paragraph" w:customStyle="1" w:styleId="MMListBulletRECIRC">
    <w:name w:val="MM List Bullet_RECIRC"/>
    <w:basedOn w:val="Normal"/>
    <w:qFormat/>
    <w:rsid w:val="00BB4228"/>
    <w:pPr>
      <w:numPr>
        <w:numId w:val="16"/>
      </w:numPr>
      <w:spacing w:before="120"/>
    </w:pPr>
    <w:rPr>
      <w:color w:val="1F497D"/>
      <w:sz w:val="21"/>
      <w:szCs w:val="21"/>
    </w:rPr>
  </w:style>
  <w:style w:type="paragraph" w:customStyle="1" w:styleId="MMText">
    <w:name w:val="MM Text"/>
    <w:basedOn w:val="BodyText"/>
    <w:link w:val="MMTextChar"/>
    <w:qFormat/>
    <w:rsid w:val="00BB4228"/>
    <w:pPr>
      <w:ind w:left="2880"/>
    </w:pPr>
  </w:style>
  <w:style w:type="character" w:customStyle="1" w:styleId="MMTextChar">
    <w:name w:val="MM Text Char"/>
    <w:basedOn w:val="BodyTextChar"/>
    <w:link w:val="MMText"/>
    <w:rsid w:val="00BB4228"/>
    <w:rPr>
      <w:rFonts w:ascii="Times New Roman" w:eastAsia="Times New Roman" w:hAnsi="Times New Roman"/>
      <w:sz w:val="24"/>
      <w:szCs w:val="24"/>
    </w:rPr>
  </w:style>
  <w:style w:type="character" w:customStyle="1" w:styleId="NoSpacingChar">
    <w:name w:val="No Spacing Char"/>
    <w:link w:val="NoSpacing"/>
    <w:rsid w:val="00090405"/>
    <w:rPr>
      <w:rFonts w:ascii="Arial" w:eastAsia="Times New Roman" w:hAnsi="Arial"/>
      <w:sz w:val="16"/>
      <w:szCs w:val="16"/>
    </w:rPr>
  </w:style>
  <w:style w:type="paragraph" w:customStyle="1" w:styleId="NormalText">
    <w:name w:val="Normal Text"/>
    <w:basedOn w:val="Normal"/>
    <w:rsid w:val="00BB4228"/>
    <w:pPr>
      <w:ind w:left="720"/>
    </w:pPr>
  </w:style>
  <w:style w:type="paragraph" w:customStyle="1" w:styleId="ParagraphNoIndent">
    <w:name w:val="Paragraph No Indent"/>
    <w:basedOn w:val="Normal"/>
    <w:link w:val="ParagraphNoIndentChar"/>
    <w:rsid w:val="00BB4228"/>
    <w:pPr>
      <w:overflowPunct w:val="0"/>
      <w:autoSpaceDE w:val="0"/>
      <w:autoSpaceDN w:val="0"/>
      <w:adjustRightInd w:val="0"/>
      <w:spacing w:before="240"/>
      <w:textAlignment w:val="baseline"/>
    </w:pPr>
    <w:rPr>
      <w:rFonts w:eastAsia="Calibri"/>
      <w:szCs w:val="20"/>
      <w:lang w:eastAsia="zh-CN"/>
    </w:rPr>
  </w:style>
  <w:style w:type="character" w:customStyle="1" w:styleId="ParagraphNoIndentChar">
    <w:name w:val="Paragraph No Indent Char"/>
    <w:link w:val="ParagraphNoIndent"/>
    <w:locked/>
    <w:rsid w:val="00BB4228"/>
    <w:rPr>
      <w:rFonts w:ascii="Times New Roman" w:eastAsia="Calibri" w:hAnsi="Times New Roman"/>
      <w:sz w:val="24"/>
      <w:lang w:eastAsia="zh-CN"/>
    </w:rPr>
  </w:style>
  <w:style w:type="paragraph" w:customStyle="1" w:styleId="Post">
    <w:name w:val="Post"/>
    <w:basedOn w:val="Normal"/>
    <w:qFormat/>
    <w:rsid w:val="00BB4228"/>
    <w:pPr>
      <w:spacing w:after="320"/>
    </w:pPr>
    <w:rPr>
      <w:sz w:val="2"/>
    </w:rPr>
  </w:style>
  <w:style w:type="paragraph" w:customStyle="1" w:styleId="PullQuote">
    <w:name w:val="Pull Quote"/>
    <w:basedOn w:val="Normal"/>
    <w:rsid w:val="00BB4228"/>
    <w:pPr>
      <w:keepLines/>
    </w:pPr>
    <w:rPr>
      <w:i/>
      <w:sz w:val="20"/>
    </w:rPr>
  </w:style>
  <w:style w:type="paragraph" w:customStyle="1" w:styleId="PullQuoteGreen">
    <w:name w:val="Pull Quote Green"/>
    <w:basedOn w:val="Normal"/>
    <w:qFormat/>
    <w:rsid w:val="00BB4228"/>
    <w:pPr>
      <w:pBdr>
        <w:top w:val="single" w:sz="4" w:space="6" w:color="9BBB59" w:themeColor="accent3"/>
        <w:bottom w:val="single" w:sz="4" w:space="6" w:color="9BBB59" w:themeColor="accent3"/>
      </w:pBdr>
      <w:spacing w:before="120" w:line="280" w:lineRule="atLeast"/>
    </w:pPr>
    <w:rPr>
      <w:rFonts w:ascii="Arial" w:hAnsi="Arial"/>
      <w:iCs/>
      <w:color w:val="9BBB59" w:themeColor="accent3"/>
      <w:sz w:val="20"/>
    </w:rPr>
  </w:style>
  <w:style w:type="paragraph" w:customStyle="1" w:styleId="References">
    <w:name w:val="References"/>
    <w:basedOn w:val="Default"/>
    <w:next w:val="Default"/>
    <w:link w:val="ReferencesChar"/>
    <w:rsid w:val="00BB4228"/>
    <w:pPr>
      <w:spacing w:after="180"/>
    </w:pPr>
    <w:rPr>
      <w:rFonts w:ascii="GIMEMA+TimesNewRoman" w:hAnsi="GIMEMA+TimesNewRoman"/>
      <w:color w:val="auto"/>
    </w:rPr>
  </w:style>
  <w:style w:type="character" w:customStyle="1" w:styleId="ReferencesChar">
    <w:name w:val="References Char"/>
    <w:link w:val="References"/>
    <w:locked/>
    <w:rsid w:val="00BB4228"/>
    <w:rPr>
      <w:rFonts w:ascii="GIMEMA+TimesNewRoman" w:eastAsia="Times New Roman" w:hAnsi="GIMEMA+TimesNewRoman"/>
      <w:sz w:val="24"/>
      <w:szCs w:val="24"/>
    </w:rPr>
  </w:style>
  <w:style w:type="character" w:styleId="Strong">
    <w:name w:val="Strong"/>
    <w:qFormat/>
    <w:rsid w:val="00BB4228"/>
    <w:rPr>
      <w:rFonts w:cs="Times New Roman"/>
      <w:b/>
      <w:bCs/>
    </w:rPr>
  </w:style>
  <w:style w:type="numbering" w:customStyle="1" w:styleId="Style1">
    <w:name w:val="Style1"/>
    <w:uiPriority w:val="99"/>
    <w:rsid w:val="00BB4228"/>
    <w:pPr>
      <w:numPr>
        <w:numId w:val="8"/>
      </w:numPr>
    </w:pPr>
  </w:style>
  <w:style w:type="numbering" w:customStyle="1" w:styleId="Style2">
    <w:name w:val="Style2"/>
    <w:uiPriority w:val="99"/>
    <w:rsid w:val="00BB4228"/>
    <w:pPr>
      <w:numPr>
        <w:numId w:val="9"/>
      </w:numPr>
    </w:pPr>
  </w:style>
  <w:style w:type="paragraph" w:customStyle="1" w:styleId="sub-bullet">
    <w:name w:val="sub-bullet"/>
    <w:basedOn w:val="Normal"/>
    <w:rsid w:val="00BB4228"/>
    <w:pPr>
      <w:numPr>
        <w:numId w:val="17"/>
      </w:numPr>
      <w:spacing w:after="120"/>
    </w:pPr>
    <w:rPr>
      <w:rFonts w:eastAsia="Calibri"/>
    </w:rPr>
  </w:style>
  <w:style w:type="character" w:styleId="SubtleEmphasis">
    <w:name w:val="Subtle Emphasis"/>
    <w:qFormat/>
    <w:rsid w:val="00BB4228"/>
    <w:rPr>
      <w:i/>
      <w:iCs/>
      <w:color w:val="808080"/>
    </w:rPr>
  </w:style>
  <w:style w:type="character" w:styleId="SubtleReference">
    <w:name w:val="Subtle Reference"/>
    <w:qFormat/>
    <w:rsid w:val="00BB4228"/>
    <w:rPr>
      <w:sz w:val="24"/>
      <w:szCs w:val="24"/>
      <w:u w:val="single"/>
    </w:rPr>
  </w:style>
  <w:style w:type="paragraph" w:customStyle="1" w:styleId="Table">
    <w:name w:val="Table"/>
    <w:basedOn w:val="Normal"/>
    <w:rsid w:val="00BB4228"/>
    <w:pPr>
      <w:spacing w:before="100" w:beforeAutospacing="1" w:after="100" w:afterAutospacing="1"/>
    </w:pPr>
    <w:rPr>
      <w:rFonts w:ascii="Arial" w:eastAsia="Times" w:hAnsi="Arial"/>
      <w:iCs/>
      <w:sz w:val="20"/>
    </w:rPr>
  </w:style>
  <w:style w:type="paragraph" w:customStyle="1" w:styleId="tableboldcentered">
    <w:name w:val="table bold centered"/>
    <w:basedOn w:val="Normal"/>
    <w:uiPriority w:val="99"/>
    <w:rsid w:val="00BB4228"/>
    <w:pPr>
      <w:keepNext/>
      <w:keepLines/>
      <w:jc w:val="center"/>
    </w:pPr>
    <w:rPr>
      <w:rFonts w:ascii="Arial" w:hAnsi="Arial"/>
      <w:b/>
      <w:color w:val="000000"/>
      <w:position w:val="-6"/>
      <w:szCs w:val="16"/>
    </w:rPr>
  </w:style>
  <w:style w:type="paragraph" w:customStyle="1" w:styleId="TableCaption">
    <w:name w:val="Table Caption"/>
    <w:basedOn w:val="BodyText"/>
    <w:next w:val="BodyText"/>
    <w:uiPriority w:val="99"/>
    <w:rsid w:val="00BB4228"/>
    <w:pPr>
      <w:keepLines/>
      <w:numPr>
        <w:numId w:val="19"/>
      </w:numPr>
      <w:spacing w:before="120"/>
    </w:pPr>
    <w:rPr>
      <w:bCs/>
      <w:i/>
      <w:color w:val="000000"/>
      <w:szCs w:val="20"/>
    </w:rPr>
  </w:style>
  <w:style w:type="table" w:styleId="TableClassic2">
    <w:name w:val="Table Classic 2"/>
    <w:basedOn w:val="TableNormal"/>
    <w:rsid w:val="00BB4228"/>
    <w:rPr>
      <w:rFonts w:ascii="Times New Roman" w:eastAsia="Times New Roman" w:hAnsi="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ablefootnotes">
    <w:name w:val="table footnotes"/>
    <w:link w:val="tablefootnotesChar"/>
    <w:autoRedefine/>
    <w:rsid w:val="00BB4228"/>
    <w:pPr>
      <w:keepNext/>
      <w:keepLines/>
      <w:spacing w:before="20" w:after="60" w:line="264" w:lineRule="auto"/>
      <w:ind w:firstLine="240"/>
    </w:pPr>
    <w:rPr>
      <w:rFonts w:ascii="Arial" w:eastAsia="Times New Roman" w:hAnsi="Arial"/>
      <w:bCs/>
      <w:sz w:val="18"/>
      <w:szCs w:val="18"/>
    </w:rPr>
  </w:style>
  <w:style w:type="character" w:customStyle="1" w:styleId="tablefootnotesChar">
    <w:name w:val="table footnotes Char"/>
    <w:link w:val="tablefootnotes"/>
    <w:rsid w:val="00BB4228"/>
    <w:rPr>
      <w:rFonts w:ascii="Arial" w:eastAsia="Times New Roman" w:hAnsi="Arial"/>
      <w:bCs/>
      <w:sz w:val="18"/>
      <w:szCs w:val="18"/>
    </w:rPr>
  </w:style>
  <w:style w:type="table" w:customStyle="1" w:styleId="TableGrid1">
    <w:name w:val="Table Grid1"/>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link w:val="TableHeading"/>
    <w:rsid w:val="00BB4228"/>
    <w:rPr>
      <w:rFonts w:ascii="Times New Roman" w:eastAsia="Times New Roman" w:hAnsi="Times New Roman"/>
      <w:b/>
      <w:szCs w:val="22"/>
    </w:rPr>
  </w:style>
  <w:style w:type="paragraph" w:customStyle="1" w:styleId="TableKey">
    <w:name w:val="Table Key"/>
    <w:basedOn w:val="Normal"/>
    <w:uiPriority w:val="99"/>
    <w:rsid w:val="00BB4228"/>
    <w:pPr>
      <w:tabs>
        <w:tab w:val="left" w:pos="1627"/>
      </w:tabs>
      <w:spacing w:before="30"/>
      <w:ind w:left="1627"/>
    </w:pPr>
    <w:rPr>
      <w:rFonts w:ascii="Arial" w:hAnsi="Arial"/>
      <w:sz w:val="16"/>
    </w:rPr>
  </w:style>
  <w:style w:type="paragraph" w:customStyle="1" w:styleId="TableNotes">
    <w:name w:val="Table Notes"/>
    <w:basedOn w:val="Normal"/>
    <w:link w:val="TableNotesChar"/>
    <w:uiPriority w:val="99"/>
    <w:rsid w:val="001B04F9"/>
    <w:pPr>
      <w:tabs>
        <w:tab w:val="left" w:pos="1627"/>
      </w:tabs>
      <w:spacing w:before="30" w:after="120"/>
      <w:ind w:left="144" w:hanging="144"/>
    </w:pPr>
    <w:rPr>
      <w:rFonts w:ascii="Segoe UI" w:hAnsi="Segoe UI"/>
      <w:sz w:val="20"/>
    </w:rPr>
  </w:style>
  <w:style w:type="paragraph" w:customStyle="1" w:styleId="TableNotesNumbered">
    <w:name w:val="Table Notes Numbered"/>
    <w:basedOn w:val="TableNotes"/>
    <w:qFormat/>
    <w:rsid w:val="00BB4228"/>
    <w:pPr>
      <w:ind w:left="245" w:hanging="245"/>
    </w:pPr>
  </w:style>
  <w:style w:type="paragraph" w:customStyle="1" w:styleId="TableParagraph">
    <w:name w:val="Table Paragraph"/>
    <w:basedOn w:val="Normal"/>
    <w:uiPriority w:val="1"/>
    <w:qFormat/>
    <w:rsid w:val="001B04F9"/>
    <w:pPr>
      <w:widowControl w:val="0"/>
    </w:pPr>
    <w:rPr>
      <w:rFonts w:ascii="Segoe UI" w:hAnsi="Segoe UI" w:cstheme="minorBidi"/>
      <w:sz w:val="24"/>
    </w:rPr>
  </w:style>
  <w:style w:type="paragraph" w:customStyle="1" w:styleId="TableSource">
    <w:name w:val="Table Source"/>
    <w:basedOn w:val="Normal"/>
    <w:link w:val="TableSourceChar"/>
    <w:rsid w:val="001B04F9"/>
    <w:pPr>
      <w:spacing w:before="20" w:line="40" w:lineRule="atLeast"/>
    </w:pPr>
    <w:rPr>
      <w:rFonts w:ascii="Segoe UI" w:hAnsi="Segoe UI"/>
      <w:i/>
      <w:sz w:val="16"/>
    </w:rPr>
  </w:style>
  <w:style w:type="character" w:customStyle="1" w:styleId="TableSourceChar">
    <w:name w:val="Table Source Char"/>
    <w:link w:val="TableSource"/>
    <w:rsid w:val="001B04F9"/>
    <w:rPr>
      <w:rFonts w:ascii="Segoe UI" w:eastAsia="Times New Roman" w:hAnsi="Segoe UI"/>
      <w:i/>
      <w:sz w:val="16"/>
      <w:szCs w:val="22"/>
    </w:rPr>
  </w:style>
  <w:style w:type="paragraph" w:customStyle="1" w:styleId="TableSubtext-footnote">
    <w:name w:val="Table Subtext-footnote"/>
    <w:uiPriority w:val="99"/>
    <w:rsid w:val="00BB4228"/>
    <w:pPr>
      <w:spacing w:before="20"/>
      <w:ind w:left="187" w:hanging="187"/>
    </w:pPr>
    <w:rPr>
      <w:rFonts w:ascii="Arial" w:eastAsia="Times New Roman" w:hAnsi="Arial"/>
      <w:sz w:val="16"/>
      <w:szCs w:val="24"/>
    </w:rPr>
  </w:style>
  <w:style w:type="character" w:customStyle="1" w:styleId="TableTitleChar">
    <w:name w:val="Table Title Char"/>
    <w:link w:val="TableTitle"/>
    <w:locked/>
    <w:rsid w:val="001B04F9"/>
    <w:rPr>
      <w:rFonts w:ascii="Segoe UI" w:eastAsia="Calibri" w:hAnsi="Segoe UI"/>
      <w:b/>
      <w:bCs/>
      <w:sz w:val="24"/>
    </w:rPr>
  </w:style>
  <w:style w:type="paragraph" w:customStyle="1" w:styleId="AutoCorrect">
    <w:name w:val="AutoCorrect"/>
    <w:uiPriority w:val="99"/>
    <w:rsid w:val="00BB4228"/>
    <w:pPr>
      <w:spacing w:after="200" w:line="276" w:lineRule="auto"/>
    </w:pPr>
    <w:rPr>
      <w:rFonts w:ascii="Calibri" w:eastAsia="Times New Roman" w:hAnsi="Calibri"/>
      <w:sz w:val="22"/>
      <w:szCs w:val="22"/>
    </w:rPr>
  </w:style>
  <w:style w:type="paragraph" w:styleId="z-TopofForm">
    <w:name w:val="HTML Top of Form"/>
    <w:basedOn w:val="Normal"/>
    <w:next w:val="Normal"/>
    <w:link w:val="z-TopofFormChar"/>
    <w:hidden/>
    <w:uiPriority w:val="99"/>
    <w:unhideWhenUsed/>
    <w:rsid w:val="00473AA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473A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73AA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473AA9"/>
    <w:rPr>
      <w:rFonts w:ascii="Arial" w:eastAsia="Times New Roman" w:hAnsi="Arial" w:cs="Arial"/>
      <w:vanish/>
      <w:sz w:val="16"/>
      <w:szCs w:val="16"/>
    </w:rPr>
  </w:style>
  <w:style w:type="character" w:customStyle="1" w:styleId="apple-converted-space">
    <w:name w:val="apple-converted-space"/>
    <w:basedOn w:val="DefaultParagraphFont"/>
    <w:rsid w:val="00473AA9"/>
  </w:style>
  <w:style w:type="paragraph" w:customStyle="1" w:styleId="TOC-AcroText">
    <w:name w:val="TOC-Acro Text"/>
    <w:basedOn w:val="Normal"/>
    <w:rsid w:val="00BB4228"/>
    <w:pPr>
      <w:spacing w:before="60" w:after="60"/>
    </w:pPr>
    <w:rPr>
      <w:rFonts w:ascii="Arial" w:hAnsi="Arial"/>
    </w:rPr>
  </w:style>
  <w:style w:type="paragraph" w:customStyle="1" w:styleId="HeaderLeft">
    <w:name w:val="Header Left"/>
    <w:basedOn w:val="Normal"/>
    <w:uiPriority w:val="99"/>
    <w:rsid w:val="001B04F9"/>
    <w:pPr>
      <w:tabs>
        <w:tab w:val="left" w:pos="1627"/>
        <w:tab w:val="right" w:pos="9360"/>
      </w:tabs>
    </w:pPr>
    <w:rPr>
      <w:rFonts w:ascii="Segoe UI" w:hAnsi="Segoe UI"/>
      <w:sz w:val="20"/>
      <w:szCs w:val="20"/>
    </w:rPr>
  </w:style>
  <w:style w:type="paragraph" w:customStyle="1" w:styleId="BlockHeading5">
    <w:name w:val="Block Heading 5"/>
    <w:basedOn w:val="BlockHeading4"/>
    <w:next w:val="BlockList"/>
    <w:qFormat/>
    <w:rsid w:val="007F197B"/>
    <w:pPr>
      <w:spacing w:line="240" w:lineRule="auto"/>
    </w:pPr>
    <w:rPr>
      <w:lang w:bidi="ar-SA"/>
    </w:rPr>
  </w:style>
  <w:style w:type="paragraph" w:customStyle="1" w:styleId="BlockHeading6">
    <w:name w:val="Block Heading 6"/>
    <w:basedOn w:val="BlockHeading5"/>
    <w:qFormat/>
    <w:rsid w:val="007F197B"/>
    <w:pPr>
      <w:spacing w:before="200"/>
      <w:ind w:left="720" w:firstLine="0"/>
    </w:pPr>
    <w:rPr>
      <w:sz w:val="20"/>
    </w:rPr>
  </w:style>
  <w:style w:type="paragraph" w:customStyle="1" w:styleId="BlockHeading7">
    <w:name w:val="Block Heading 7"/>
    <w:basedOn w:val="BlockHeading6"/>
    <w:qFormat/>
    <w:rsid w:val="007F197B"/>
    <w:pPr>
      <w:numPr>
        <w:ilvl w:val="5"/>
        <w:numId w:val="20"/>
      </w:numPr>
      <w:ind w:left="720"/>
    </w:pPr>
    <w:rPr>
      <w:i/>
    </w:rPr>
  </w:style>
  <w:style w:type="paragraph" w:customStyle="1" w:styleId="BlockHeading4">
    <w:name w:val="Block Heading 4"/>
    <w:basedOn w:val="BodyText"/>
    <w:qFormat/>
    <w:rsid w:val="007F197B"/>
    <w:pPr>
      <w:tabs>
        <w:tab w:val="clear" w:pos="8415"/>
      </w:tabs>
      <w:spacing w:after="0" w:line="264" w:lineRule="auto"/>
      <w:ind w:left="2160" w:hanging="1440"/>
    </w:pPr>
    <w:rPr>
      <w:rFonts w:ascii="Calibri" w:eastAsia="Batang" w:hAnsi="Calibri"/>
      <w:b/>
      <w:color w:val="000000"/>
      <w:szCs w:val="21"/>
      <w:lang w:bidi="en-US"/>
    </w:rPr>
  </w:style>
  <w:style w:type="paragraph" w:customStyle="1" w:styleId="TitleR">
    <w:name w:val="TitleR"/>
    <w:basedOn w:val="Normal"/>
    <w:rsid w:val="00E802C2"/>
    <w:rPr>
      <w:rFonts w:ascii="Arial" w:hAnsi="Arial"/>
      <w:b/>
      <w:sz w:val="60"/>
      <w:szCs w:val="60"/>
    </w:rPr>
  </w:style>
  <w:style w:type="paragraph" w:customStyle="1" w:styleId="Title3IdentTxt">
    <w:name w:val="Title3IdentTxt"/>
    <w:basedOn w:val="Normal"/>
    <w:rsid w:val="00E802C2"/>
    <w:pPr>
      <w:tabs>
        <w:tab w:val="right" w:pos="10080"/>
      </w:tabs>
    </w:pPr>
    <w:rPr>
      <w:rFonts w:ascii="Arial" w:hAnsi="Arial" w:cs="Arial"/>
      <w:sz w:val="20"/>
      <w:szCs w:val="20"/>
    </w:rPr>
  </w:style>
  <w:style w:type="paragraph" w:customStyle="1" w:styleId="Title2Aux">
    <w:name w:val="Title2Aux"/>
    <w:basedOn w:val="Normal"/>
    <w:rsid w:val="00E802C2"/>
    <w:rPr>
      <w:rFonts w:ascii="Arial" w:hAnsi="Arial"/>
      <w:b/>
      <w:sz w:val="32"/>
      <w:szCs w:val="32"/>
    </w:rPr>
  </w:style>
  <w:style w:type="paragraph" w:customStyle="1" w:styleId="Reference">
    <w:name w:val="Reference"/>
    <w:basedOn w:val="Normal"/>
    <w:rsid w:val="00E802C2"/>
    <w:pPr>
      <w:ind w:left="720" w:hanging="720"/>
    </w:pPr>
  </w:style>
  <w:style w:type="paragraph" w:customStyle="1" w:styleId="USBRbullet1">
    <w:name w:val="USBR bullet 1"/>
    <w:basedOn w:val="Normal"/>
    <w:qFormat/>
    <w:rsid w:val="00E802C2"/>
    <w:pPr>
      <w:numPr>
        <w:numId w:val="21"/>
      </w:numPr>
      <w:tabs>
        <w:tab w:val="right" w:pos="7920"/>
      </w:tabs>
      <w:spacing w:after="120"/>
    </w:pPr>
    <w:rPr>
      <w:sz w:val="24"/>
      <w:szCs w:val="24"/>
    </w:rPr>
  </w:style>
  <w:style w:type="paragraph" w:customStyle="1" w:styleId="USBRbullet1last">
    <w:name w:val="USBR bullet 1_last"/>
    <w:basedOn w:val="USBRbullet1"/>
    <w:qFormat/>
    <w:rsid w:val="00E802C2"/>
    <w:pPr>
      <w:numPr>
        <w:numId w:val="22"/>
      </w:numPr>
      <w:spacing w:after="240"/>
    </w:pPr>
  </w:style>
  <w:style w:type="paragraph" w:customStyle="1" w:styleId="Heading">
    <w:name w:val="Heading"/>
    <w:basedOn w:val="Normal"/>
    <w:next w:val="Normal"/>
    <w:uiPriority w:val="1"/>
    <w:qFormat/>
    <w:rsid w:val="00C66BAC"/>
    <w:pPr>
      <w:keepNext/>
      <w:numPr>
        <w:numId w:val="28"/>
      </w:numPr>
      <w:spacing w:before="240" w:after="120" w:line="240" w:lineRule="atLeast"/>
    </w:pPr>
    <w:rPr>
      <w:b/>
      <w:sz w:val="24"/>
    </w:rPr>
  </w:style>
  <w:style w:type="paragraph" w:customStyle="1" w:styleId="Main-Head">
    <w:name w:val="Main-Head"/>
    <w:basedOn w:val="Normal"/>
    <w:next w:val="BodyText"/>
    <w:link w:val="Main-HeadChar"/>
    <w:qFormat/>
    <w:rsid w:val="00AA1F10"/>
    <w:rPr>
      <w:rFonts w:ascii="Arial Narrow" w:hAnsi="Arial Narrow"/>
      <w:b/>
    </w:rPr>
  </w:style>
  <w:style w:type="character" w:customStyle="1" w:styleId="Main-HeadChar">
    <w:name w:val="Main-Head Char"/>
    <w:basedOn w:val="DefaultParagraphFont"/>
    <w:link w:val="Main-Head"/>
    <w:rsid w:val="00AA1F10"/>
    <w:rPr>
      <w:rFonts w:ascii="Arial Narrow" w:eastAsia="Times New Roman" w:hAnsi="Arial Narrow"/>
      <w:b/>
      <w:sz w:val="22"/>
      <w:szCs w:val="22"/>
    </w:rPr>
  </w:style>
  <w:style w:type="paragraph" w:customStyle="1" w:styleId="CSA">
    <w:name w:val="CSA"/>
    <w:basedOn w:val="BodyText"/>
    <w:next w:val="Heading1"/>
    <w:qFormat/>
    <w:rsid w:val="00AA1F10"/>
    <w:pPr>
      <w:tabs>
        <w:tab w:val="clear" w:pos="8415"/>
      </w:tabs>
      <w:spacing w:before="240" w:after="0"/>
    </w:pPr>
    <w:rPr>
      <w:rFonts w:ascii="Arial" w:hAnsi="Arial"/>
      <w:b/>
      <w:sz w:val="22"/>
    </w:rPr>
  </w:style>
  <w:style w:type="paragraph" w:customStyle="1" w:styleId="Divider">
    <w:name w:val="Divider"/>
    <w:basedOn w:val="Normal"/>
    <w:next w:val="BlockText"/>
    <w:qFormat/>
    <w:rsid w:val="00AA1F10"/>
    <w:pPr>
      <w:pBdr>
        <w:bottom w:val="single" w:sz="6" w:space="1" w:color="auto"/>
      </w:pBdr>
      <w:spacing w:before="10000"/>
      <w:jc w:val="right"/>
    </w:pPr>
    <w:rPr>
      <w:b/>
      <w:sz w:val="40"/>
    </w:rPr>
  </w:style>
  <w:style w:type="paragraph" w:customStyle="1" w:styleId="Exhibit--Number">
    <w:name w:val="Exhibit--Number"/>
    <w:basedOn w:val="Main-Head"/>
    <w:next w:val="Exhibit--Title"/>
    <w:link w:val="Exhibit--NumberChar"/>
    <w:qFormat/>
    <w:rsid w:val="00AA1F10"/>
    <w:pPr>
      <w:spacing w:before="160"/>
    </w:pPr>
    <w:rPr>
      <w:caps/>
      <w:sz w:val="18"/>
    </w:rPr>
  </w:style>
  <w:style w:type="paragraph" w:customStyle="1" w:styleId="Exhibit--Title">
    <w:name w:val="Exhibit--Title"/>
    <w:basedOn w:val="Exhibit--Number"/>
    <w:next w:val="Exhibit--Caption"/>
    <w:qFormat/>
    <w:rsid w:val="00AA1F10"/>
    <w:pPr>
      <w:spacing w:before="0"/>
    </w:pPr>
    <w:rPr>
      <w:b w:val="0"/>
      <w:caps w:val="0"/>
      <w:sz w:val="20"/>
    </w:rPr>
  </w:style>
  <w:style w:type="paragraph" w:customStyle="1" w:styleId="Exhibit--Caption">
    <w:name w:val="Exhibit--Caption"/>
    <w:basedOn w:val="Exhibit--Title"/>
    <w:next w:val="BodyText"/>
    <w:qFormat/>
    <w:rsid w:val="00AA1F10"/>
    <w:rPr>
      <w:i/>
    </w:rPr>
  </w:style>
  <w:style w:type="character" w:customStyle="1" w:styleId="Exhibit--NumberChar">
    <w:name w:val="Exhibit--Number Char"/>
    <w:basedOn w:val="DefaultParagraphFont"/>
    <w:link w:val="Exhibit--Number"/>
    <w:rsid w:val="00AA1F10"/>
    <w:rPr>
      <w:rFonts w:ascii="Arial Narrow" w:eastAsia="Times New Roman" w:hAnsi="Arial Narrow"/>
      <w:b/>
      <w:caps/>
      <w:sz w:val="18"/>
      <w:szCs w:val="22"/>
    </w:rPr>
  </w:style>
  <w:style w:type="paragraph" w:customStyle="1" w:styleId="Number">
    <w:name w:val="Number"/>
    <w:basedOn w:val="BodyText"/>
    <w:next w:val="BodyText"/>
    <w:qFormat/>
    <w:rsid w:val="00AA1F10"/>
    <w:pPr>
      <w:keepNext w:val="0"/>
      <w:tabs>
        <w:tab w:val="clear" w:pos="8415"/>
      </w:tabs>
      <w:spacing w:before="240" w:after="0"/>
      <w:ind w:left="360" w:hanging="360"/>
    </w:pPr>
    <w:rPr>
      <w:sz w:val="22"/>
    </w:rPr>
  </w:style>
  <w:style w:type="paragraph" w:customStyle="1" w:styleId="TableHead">
    <w:name w:val="Table Head"/>
    <w:basedOn w:val="Normal"/>
    <w:next w:val="Normal"/>
    <w:link w:val="TableHeadChar"/>
    <w:qFormat/>
    <w:rsid w:val="00AA1F10"/>
    <w:pPr>
      <w:spacing w:before="80" w:after="80"/>
      <w:jc w:val="center"/>
    </w:pPr>
    <w:rPr>
      <w:rFonts w:ascii="Arial" w:hAnsi="Arial" w:cs="Arial"/>
      <w:b/>
      <w:spacing w:val="-2"/>
      <w:sz w:val="20"/>
    </w:rPr>
  </w:style>
  <w:style w:type="character" w:customStyle="1" w:styleId="TableHeadChar">
    <w:name w:val="Table Head Char"/>
    <w:basedOn w:val="DefaultParagraphFont"/>
    <w:link w:val="TableHead"/>
    <w:rsid w:val="00AA1F10"/>
    <w:rPr>
      <w:rFonts w:ascii="Arial" w:eastAsia="Times New Roman" w:hAnsi="Arial" w:cs="Arial"/>
      <w:b/>
      <w:spacing w:val="-2"/>
      <w:szCs w:val="22"/>
    </w:rPr>
  </w:style>
  <w:style w:type="paragraph" w:customStyle="1" w:styleId="TableBody">
    <w:name w:val="Table Body"/>
    <w:basedOn w:val="TableHead"/>
    <w:link w:val="TableBodyChar"/>
    <w:qFormat/>
    <w:rsid w:val="00AA1F10"/>
    <w:pPr>
      <w:jc w:val="left"/>
    </w:pPr>
    <w:rPr>
      <w:b w:val="0"/>
    </w:rPr>
  </w:style>
  <w:style w:type="character" w:customStyle="1" w:styleId="TableBodyChar">
    <w:name w:val="Table Body Char"/>
    <w:basedOn w:val="TableHeadChar"/>
    <w:link w:val="TableBody"/>
    <w:rsid w:val="00AA1F10"/>
    <w:rPr>
      <w:rFonts w:ascii="Arial" w:eastAsia="Times New Roman" w:hAnsi="Arial" w:cs="Arial"/>
      <w:b w:val="0"/>
      <w:spacing w:val="-2"/>
      <w:szCs w:val="22"/>
    </w:rPr>
  </w:style>
  <w:style w:type="character" w:customStyle="1" w:styleId="TableNotesChar">
    <w:name w:val="Table Notes Char"/>
    <w:basedOn w:val="DefaultParagraphFont"/>
    <w:link w:val="TableNotes"/>
    <w:uiPriority w:val="99"/>
    <w:rsid w:val="00AA1F10"/>
    <w:rPr>
      <w:rFonts w:ascii="Segoe UI" w:eastAsia="Times New Roman" w:hAnsi="Segoe UI"/>
      <w:szCs w:val="22"/>
    </w:rPr>
  </w:style>
  <w:style w:type="paragraph" w:customStyle="1" w:styleId="Tick">
    <w:name w:val="Tick"/>
    <w:basedOn w:val="BodyText"/>
    <w:next w:val="BodyText"/>
    <w:qFormat/>
    <w:rsid w:val="00AA1F10"/>
    <w:pPr>
      <w:keepNext w:val="0"/>
      <w:tabs>
        <w:tab w:val="clear" w:pos="8415"/>
      </w:tabs>
      <w:spacing w:before="240" w:after="0"/>
      <w:ind w:left="720" w:hanging="360"/>
    </w:pPr>
    <w:rPr>
      <w:sz w:val="22"/>
    </w:rPr>
  </w:style>
  <w:style w:type="paragraph" w:customStyle="1" w:styleId="toc--entries--appendixexhibit">
    <w:name w:val="toc--entries--appendix/exhibit"/>
    <w:basedOn w:val="Normal"/>
    <w:qFormat/>
    <w:rsid w:val="00AA1F10"/>
    <w:pPr>
      <w:tabs>
        <w:tab w:val="left" w:pos="720"/>
        <w:tab w:val="right" w:leader="dot" w:pos="9000"/>
      </w:tabs>
    </w:pPr>
  </w:style>
  <w:style w:type="paragraph" w:customStyle="1" w:styleId="Flysheet">
    <w:name w:val="Flysheet"/>
    <w:basedOn w:val="Normal"/>
    <w:qFormat/>
    <w:rsid w:val="00AA1F10"/>
    <w:pPr>
      <w:jc w:val="right"/>
    </w:pPr>
    <w:rPr>
      <w:rFonts w:ascii="Arial Narrow" w:hAnsi="Arial Narrow"/>
      <w:b/>
      <w:sz w:val="28"/>
    </w:rPr>
  </w:style>
  <w:style w:type="paragraph" w:customStyle="1" w:styleId="FlysheetCont">
    <w:name w:val="Flysheet Cont"/>
    <w:basedOn w:val="Normal"/>
    <w:qFormat/>
    <w:rsid w:val="00AA1F10"/>
    <w:pPr>
      <w:spacing w:before="9720"/>
      <w:jc w:val="right"/>
    </w:pPr>
    <w:rPr>
      <w:rFonts w:ascii="Arial Narrow" w:hAnsi="Arial Narrow"/>
      <w:b/>
      <w:sz w:val="28"/>
    </w:rPr>
  </w:style>
  <w:style w:type="paragraph" w:customStyle="1" w:styleId="FlysheetTitle">
    <w:name w:val="Flysheet Title"/>
    <w:basedOn w:val="Normal"/>
    <w:qFormat/>
    <w:rsid w:val="00AA1F10"/>
    <w:pPr>
      <w:spacing w:before="9720"/>
      <w:jc w:val="right"/>
    </w:pPr>
    <w:rPr>
      <w:rFonts w:ascii="Arial Narrow" w:hAnsi="Arial Narrow"/>
      <w:b/>
      <w:sz w:val="28"/>
    </w:rPr>
  </w:style>
  <w:style w:type="paragraph" w:customStyle="1" w:styleId="TableFlysheet">
    <w:name w:val="Table Flysheet"/>
    <w:basedOn w:val="Normal"/>
    <w:qFormat/>
    <w:rsid w:val="00AA1F10"/>
    <w:pPr>
      <w:jc w:val="right"/>
    </w:pPr>
    <w:rPr>
      <w:rFonts w:ascii="Arial Narrow" w:hAnsi="Arial Narrow"/>
      <w:b/>
      <w:sz w:val="28"/>
    </w:rPr>
  </w:style>
  <w:style w:type="paragraph" w:customStyle="1" w:styleId="TableFlysheetCont">
    <w:name w:val="Table Flysheet Cont"/>
    <w:basedOn w:val="Normal"/>
    <w:qFormat/>
    <w:rsid w:val="00AA1F10"/>
    <w:pPr>
      <w:spacing w:before="9720"/>
      <w:jc w:val="right"/>
    </w:pPr>
    <w:rPr>
      <w:rFonts w:ascii="Arial Narrow" w:hAnsi="Arial Narrow"/>
      <w:b/>
      <w:sz w:val="28"/>
    </w:rPr>
  </w:style>
  <w:style w:type="paragraph" w:customStyle="1" w:styleId="TableFlysheetTitle">
    <w:name w:val="Table Flysheet Title"/>
    <w:basedOn w:val="Normal"/>
    <w:qFormat/>
    <w:rsid w:val="00AA1F10"/>
    <w:pPr>
      <w:spacing w:before="9720"/>
      <w:jc w:val="right"/>
    </w:pPr>
    <w:rPr>
      <w:rFonts w:ascii="Arial Narrow" w:hAnsi="Arial Narrow"/>
      <w:b/>
      <w:sz w:val="28"/>
    </w:rPr>
  </w:style>
  <w:style w:type="paragraph" w:customStyle="1" w:styleId="toc--heads--appendixexhibit">
    <w:name w:val="toc--heads--appendix/exhibit"/>
    <w:basedOn w:val="BodyText"/>
    <w:next w:val="Normal"/>
    <w:qFormat/>
    <w:rsid w:val="00AA1F10"/>
    <w:pPr>
      <w:keepNext w:val="0"/>
      <w:tabs>
        <w:tab w:val="clear" w:pos="8415"/>
        <w:tab w:val="right" w:pos="9000"/>
      </w:tabs>
      <w:spacing w:before="240" w:after="120"/>
    </w:pPr>
    <w:rPr>
      <w:b/>
      <w:sz w:val="22"/>
    </w:rPr>
  </w:style>
  <w:style w:type="paragraph" w:customStyle="1" w:styleId="FirstMemoLine">
    <w:name w:val="First Memo Line"/>
    <w:basedOn w:val="Main-Head"/>
    <w:rsid w:val="00AA1F10"/>
    <w:pPr>
      <w:pBdr>
        <w:bottom w:val="single" w:sz="6" w:space="1" w:color="auto"/>
      </w:pBdr>
      <w:tabs>
        <w:tab w:val="right" w:pos="9000"/>
      </w:tabs>
    </w:pPr>
    <w:rPr>
      <w:spacing w:val="50"/>
      <w:sz w:val="20"/>
    </w:rPr>
  </w:style>
  <w:style w:type="paragraph" w:customStyle="1" w:styleId="MemoSubject">
    <w:name w:val="Memo Subject"/>
    <w:basedOn w:val="Normal"/>
    <w:rsid w:val="00AA1F10"/>
    <w:rPr>
      <w:b/>
      <w:sz w:val="36"/>
    </w:rPr>
  </w:style>
  <w:style w:type="paragraph" w:customStyle="1" w:styleId="DateSubjProj">
    <w:name w:val="Date/Subj/Proj"/>
    <w:basedOn w:val="BodyText"/>
    <w:rsid w:val="00AA1F10"/>
    <w:pPr>
      <w:keepNext w:val="0"/>
      <w:tabs>
        <w:tab w:val="clear" w:pos="8415"/>
      </w:tabs>
      <w:spacing w:before="240" w:after="120"/>
    </w:pPr>
    <w:rPr>
      <w:sz w:val="22"/>
    </w:rPr>
  </w:style>
  <w:style w:type="paragraph" w:customStyle="1" w:styleId="TableBody1">
    <w:name w:val="Table Body1"/>
    <w:basedOn w:val="TableHead"/>
    <w:rsid w:val="00AA1F10"/>
    <w:pPr>
      <w:jc w:val="left"/>
    </w:pPr>
    <w:rPr>
      <w:b w:val="0"/>
    </w:rPr>
  </w:style>
  <w:style w:type="paragraph" w:customStyle="1" w:styleId="FooterRight">
    <w:name w:val="Footer Right"/>
    <w:basedOn w:val="Footer"/>
    <w:uiPriority w:val="11"/>
    <w:qFormat/>
    <w:rsid w:val="00AA1F10"/>
    <w:pPr>
      <w:jc w:val="right"/>
    </w:pPr>
    <w:rPr>
      <w:rFonts w:ascii="Times New Roman" w:hAnsi="Times New Roman"/>
      <w:sz w:val="22"/>
    </w:rPr>
  </w:style>
  <w:style w:type="paragraph" w:customStyle="1" w:styleId="TableHead1">
    <w:name w:val="Table Head1"/>
    <w:basedOn w:val="Normal"/>
    <w:next w:val="Normal"/>
    <w:rsid w:val="00AA1F10"/>
    <w:pPr>
      <w:spacing w:before="80" w:after="80"/>
      <w:jc w:val="center"/>
    </w:pPr>
    <w:rPr>
      <w:rFonts w:ascii="Arial" w:hAnsi="Arial"/>
      <w:b/>
      <w:sz w:val="18"/>
    </w:rPr>
  </w:style>
  <w:style w:type="paragraph" w:customStyle="1" w:styleId="Heading40">
    <w:name w:val="Heading4"/>
    <w:basedOn w:val="Normal"/>
    <w:rsid w:val="00AA1F10"/>
    <w:pPr>
      <w:spacing w:before="60" w:after="60"/>
    </w:pPr>
    <w:rPr>
      <w:i/>
    </w:rPr>
  </w:style>
  <w:style w:type="paragraph" w:customStyle="1" w:styleId="Bullet1">
    <w:name w:val="Bullet1"/>
    <w:basedOn w:val="BodyText"/>
    <w:next w:val="BodyText"/>
    <w:rsid w:val="00AA1F10"/>
    <w:pPr>
      <w:keepNext w:val="0"/>
      <w:tabs>
        <w:tab w:val="clear" w:pos="8415"/>
      </w:tabs>
      <w:spacing w:before="240" w:after="120"/>
      <w:jc w:val="both"/>
    </w:pPr>
    <w:rPr>
      <w:snapToGrid w:val="0"/>
      <w:sz w:val="22"/>
    </w:rPr>
  </w:style>
  <w:style w:type="paragraph" w:customStyle="1" w:styleId="Exhibit--Title1">
    <w:name w:val="Exhibit--Title1"/>
    <w:basedOn w:val="Exhibit--Number"/>
    <w:next w:val="Exhibit--Caption"/>
    <w:rsid w:val="00AA1F10"/>
    <w:pPr>
      <w:spacing w:before="0"/>
    </w:pPr>
    <w:rPr>
      <w:b w:val="0"/>
      <w:caps w:val="0"/>
      <w:sz w:val="20"/>
    </w:rPr>
  </w:style>
  <w:style w:type="paragraph" w:customStyle="1" w:styleId="Preparedinpartnership">
    <w:name w:val="Prepared in partnership"/>
    <w:basedOn w:val="Preparedfor"/>
    <w:rsid w:val="00AA1F10"/>
    <w:pPr>
      <w:spacing w:before="0"/>
    </w:pPr>
    <w:rPr>
      <w:sz w:val="18"/>
    </w:rPr>
  </w:style>
  <w:style w:type="paragraph" w:customStyle="1" w:styleId="Preparedfor">
    <w:name w:val="Prepared for"/>
    <w:basedOn w:val="DocumentType"/>
    <w:next w:val="ClientName"/>
    <w:rsid w:val="00AA1F10"/>
    <w:pPr>
      <w:pBdr>
        <w:top w:val="none" w:sz="0" w:space="0" w:color="auto"/>
      </w:pBdr>
      <w:spacing w:before="480" w:after="80"/>
    </w:pPr>
    <w:rPr>
      <w:rFonts w:ascii="Arial" w:hAnsi="Arial"/>
      <w:i w:val="0"/>
      <w:spacing w:val="0"/>
      <w:sz w:val="24"/>
    </w:rPr>
  </w:style>
  <w:style w:type="paragraph" w:customStyle="1" w:styleId="DocumentType">
    <w:name w:val="Document Type"/>
    <w:basedOn w:val="Exhibit--Title"/>
    <w:rsid w:val="00AA1F10"/>
    <w:pPr>
      <w:pBdr>
        <w:top w:val="single" w:sz="8" w:space="1" w:color="auto"/>
      </w:pBdr>
      <w:spacing w:after="720"/>
      <w:jc w:val="right"/>
    </w:pPr>
    <w:rPr>
      <w:rFonts w:ascii="Book Antiqua" w:hAnsi="Book Antiqua"/>
      <w:i/>
      <w:spacing w:val="50"/>
      <w:sz w:val="40"/>
    </w:rPr>
  </w:style>
  <w:style w:type="paragraph" w:customStyle="1" w:styleId="ClientName">
    <w:name w:val="Client Name"/>
    <w:basedOn w:val="Normal"/>
    <w:next w:val="Date"/>
    <w:rsid w:val="00AA1F10"/>
    <w:pPr>
      <w:jc w:val="right"/>
    </w:pPr>
    <w:rPr>
      <w:b/>
      <w:sz w:val="40"/>
    </w:rPr>
  </w:style>
  <w:style w:type="character" w:customStyle="1" w:styleId="BodyTextCharChar">
    <w:name w:val="Body Text Char Char"/>
    <w:basedOn w:val="DefaultParagraphFont"/>
    <w:rsid w:val="00AA1F10"/>
    <w:rPr>
      <w:rFonts w:ascii="Book Antiqua" w:hAnsi="Book Antiqua"/>
      <w:bCs/>
      <w:sz w:val="22"/>
      <w:lang w:val="en-US" w:eastAsia="en-US" w:bidi="ar-SA"/>
    </w:rPr>
  </w:style>
  <w:style w:type="paragraph" w:customStyle="1" w:styleId="Procedure1">
    <w:name w:val="Procedure 1"/>
    <w:basedOn w:val="Normal"/>
    <w:rsid w:val="00AA1F10"/>
    <w:pPr>
      <w:numPr>
        <w:numId w:val="29"/>
      </w:numPr>
    </w:pPr>
    <w:rPr>
      <w:rFonts w:ascii="Arial" w:eastAsia="SimSun" w:hAnsi="Arial"/>
      <w:sz w:val="24"/>
      <w:lang w:eastAsia="zh-CN"/>
    </w:rPr>
  </w:style>
  <w:style w:type="character" w:customStyle="1" w:styleId="CaptionChar2">
    <w:name w:val="Caption Char2"/>
    <w:aliases w:val="Caption Char Char1,Caption Char + Arial Char Char1,9 pt Char Char1,Bold Char Char1,Caption Char1 Char"/>
    <w:basedOn w:val="DefaultParagraphFont"/>
    <w:rsid w:val="00AA1F10"/>
    <w:rPr>
      <w:rFonts w:ascii="Arial Narrow" w:hAnsi="Arial Narrow"/>
      <w:i/>
      <w:szCs w:val="24"/>
      <w:lang w:val="en-US" w:eastAsia="en-US" w:bidi="ar-SA"/>
    </w:rPr>
  </w:style>
  <w:style w:type="character" w:customStyle="1" w:styleId="CaptionCharChar">
    <w:name w:val="Caption Char Char"/>
    <w:aliases w:val="Caption Char + Arial Char Char,9 pt Char Char,Bold Char Char,Caption Char1 Char Char"/>
    <w:basedOn w:val="DefaultParagraphFont"/>
    <w:rsid w:val="00AA1F10"/>
    <w:rPr>
      <w:b/>
      <w:bCs/>
      <w:lang w:val="en-US" w:eastAsia="en-US" w:bidi="ar-SA"/>
    </w:rPr>
  </w:style>
  <w:style w:type="paragraph" w:customStyle="1" w:styleId="AddressText">
    <w:name w:val="Address Text"/>
    <w:basedOn w:val="Normal"/>
    <w:rsid w:val="00AA1F10"/>
    <w:rPr>
      <w:rFonts w:ascii="Arial" w:hAnsi="Arial"/>
      <w:sz w:val="20"/>
      <w:szCs w:val="24"/>
    </w:rPr>
  </w:style>
  <w:style w:type="character" w:customStyle="1" w:styleId="BodyTextChar1">
    <w:name w:val="Body Text Char1"/>
    <w:aliases w:val=" Char Char,bt Char,BT Char"/>
    <w:basedOn w:val="DefaultParagraphFont"/>
    <w:rsid w:val="00AA1F10"/>
    <w:rPr>
      <w:rFonts w:ascii="Book Antiqua" w:hAnsi="Book Antiqua"/>
      <w:sz w:val="22"/>
      <w:lang w:val="en-US" w:eastAsia="en-US" w:bidi="ar-SA"/>
    </w:rPr>
  </w:style>
  <w:style w:type="character" w:customStyle="1" w:styleId="Exhibit--TitleChar">
    <w:name w:val="Exhibit--Title Char"/>
    <w:basedOn w:val="Exhibit--NumberChar"/>
    <w:rsid w:val="00AA1F10"/>
    <w:rPr>
      <w:rFonts w:ascii="Arial Narrow" w:eastAsia="Times New Roman" w:hAnsi="Arial Narrow"/>
      <w:b/>
      <w:caps/>
      <w:sz w:val="18"/>
      <w:szCs w:val="22"/>
      <w:lang w:val="en-US" w:eastAsia="en-US" w:bidi="ar-SA"/>
    </w:rPr>
  </w:style>
  <w:style w:type="character" w:customStyle="1" w:styleId="Bold">
    <w:name w:val="Bold"/>
    <w:rsid w:val="00AA1F10"/>
    <w:rPr>
      <w:b/>
    </w:rPr>
  </w:style>
  <w:style w:type="paragraph" w:customStyle="1" w:styleId="In-textFigure">
    <w:name w:val="In-text Figure"/>
    <w:basedOn w:val="BodyText"/>
    <w:rsid w:val="00AA1F10"/>
    <w:pPr>
      <w:keepNext w:val="0"/>
      <w:tabs>
        <w:tab w:val="clear" w:pos="8415"/>
      </w:tabs>
      <w:spacing w:before="240" w:after="120"/>
      <w:ind w:left="288"/>
    </w:pPr>
    <w:rPr>
      <w:rFonts w:ascii="Arial Narrow Bold" w:hAnsi="Arial Narrow Bold"/>
      <w:b/>
      <w:caps/>
      <w:sz w:val="20"/>
    </w:rPr>
  </w:style>
  <w:style w:type="paragraph" w:customStyle="1" w:styleId="Table--NumberandTitle">
    <w:name w:val="Table--Number and Title"/>
    <w:basedOn w:val="Normal"/>
    <w:qFormat/>
    <w:rsid w:val="00AA1F10"/>
    <w:pPr>
      <w:keepNext/>
      <w:spacing w:before="160"/>
    </w:pPr>
    <w:rPr>
      <w:rFonts w:ascii="Arial" w:hAnsi="Arial"/>
      <w:b/>
      <w:sz w:val="20"/>
      <w:szCs w:val="24"/>
    </w:rPr>
  </w:style>
  <w:style w:type="paragraph" w:customStyle="1" w:styleId="Exhibit--NumberandTitle">
    <w:name w:val="Exhibit--Number and Title"/>
    <w:basedOn w:val="Normal"/>
    <w:qFormat/>
    <w:rsid w:val="00AA1F10"/>
    <w:pPr>
      <w:spacing w:before="160" w:after="320"/>
    </w:pPr>
    <w:rPr>
      <w:rFonts w:ascii="Arial" w:hAnsi="Arial"/>
      <w:b/>
      <w:sz w:val="20"/>
      <w:szCs w:val="24"/>
    </w:rPr>
  </w:style>
  <w:style w:type="character" w:customStyle="1" w:styleId="il">
    <w:name w:val="il"/>
    <w:basedOn w:val="DefaultParagraphFont"/>
    <w:rsid w:val="00AA1F10"/>
  </w:style>
  <w:style w:type="paragraph" w:customStyle="1" w:styleId="Company">
    <w:name w:val="Company"/>
    <w:basedOn w:val="Normal"/>
    <w:semiHidden/>
    <w:rsid w:val="00AA1F10"/>
    <w:pPr>
      <w:spacing w:before="240" w:line="240" w:lineRule="exact"/>
    </w:pPr>
    <w:rPr>
      <w:rFonts w:asciiTheme="minorHAnsi" w:eastAsiaTheme="minorHAnsi" w:hAnsiTheme="minorHAnsi" w:cstheme="minorBidi"/>
      <w:b/>
      <w:sz w:val="18"/>
    </w:rPr>
  </w:style>
  <w:style w:type="table" w:customStyle="1" w:styleId="TableGrid5">
    <w:name w:val="Table Grid5"/>
    <w:basedOn w:val="TableNormal"/>
    <w:next w:val="TableGrid"/>
    <w:uiPriority w:val="39"/>
    <w:rsid w:val="00AA1F1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A1F10"/>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C7A45"/>
    <w:pPr>
      <w:spacing w:before="100" w:beforeAutospacing="1" w:after="100" w:afterAutospacing="1"/>
    </w:pPr>
    <w:rPr>
      <w:sz w:val="24"/>
      <w:szCs w:val="24"/>
    </w:rPr>
  </w:style>
  <w:style w:type="character" w:customStyle="1" w:styleId="normaltextrun">
    <w:name w:val="normaltextrun"/>
    <w:basedOn w:val="DefaultParagraphFont"/>
    <w:rsid w:val="001C7A45"/>
  </w:style>
  <w:style w:type="character" w:customStyle="1" w:styleId="eop">
    <w:name w:val="eop"/>
    <w:basedOn w:val="DefaultParagraphFont"/>
    <w:rsid w:val="001C7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694">
      <w:bodyDiv w:val="1"/>
      <w:marLeft w:val="0"/>
      <w:marRight w:val="0"/>
      <w:marTop w:val="0"/>
      <w:marBottom w:val="0"/>
      <w:divBdr>
        <w:top w:val="none" w:sz="0" w:space="0" w:color="auto"/>
        <w:left w:val="none" w:sz="0" w:space="0" w:color="auto"/>
        <w:bottom w:val="none" w:sz="0" w:space="0" w:color="auto"/>
        <w:right w:val="none" w:sz="0" w:space="0" w:color="auto"/>
      </w:divBdr>
    </w:div>
    <w:div w:id="124127746">
      <w:bodyDiv w:val="1"/>
      <w:marLeft w:val="0"/>
      <w:marRight w:val="0"/>
      <w:marTop w:val="0"/>
      <w:marBottom w:val="0"/>
      <w:divBdr>
        <w:top w:val="none" w:sz="0" w:space="0" w:color="auto"/>
        <w:left w:val="none" w:sz="0" w:space="0" w:color="auto"/>
        <w:bottom w:val="none" w:sz="0" w:space="0" w:color="auto"/>
        <w:right w:val="none" w:sz="0" w:space="0" w:color="auto"/>
      </w:divBdr>
    </w:div>
    <w:div w:id="160320323">
      <w:bodyDiv w:val="1"/>
      <w:marLeft w:val="0"/>
      <w:marRight w:val="0"/>
      <w:marTop w:val="0"/>
      <w:marBottom w:val="0"/>
      <w:divBdr>
        <w:top w:val="none" w:sz="0" w:space="0" w:color="auto"/>
        <w:left w:val="none" w:sz="0" w:space="0" w:color="auto"/>
        <w:bottom w:val="none" w:sz="0" w:space="0" w:color="auto"/>
        <w:right w:val="none" w:sz="0" w:space="0" w:color="auto"/>
      </w:divBdr>
    </w:div>
    <w:div w:id="220017607">
      <w:bodyDiv w:val="1"/>
      <w:marLeft w:val="0"/>
      <w:marRight w:val="0"/>
      <w:marTop w:val="0"/>
      <w:marBottom w:val="0"/>
      <w:divBdr>
        <w:top w:val="none" w:sz="0" w:space="0" w:color="auto"/>
        <w:left w:val="none" w:sz="0" w:space="0" w:color="auto"/>
        <w:bottom w:val="none" w:sz="0" w:space="0" w:color="auto"/>
        <w:right w:val="none" w:sz="0" w:space="0" w:color="auto"/>
      </w:divBdr>
    </w:div>
    <w:div w:id="485126397">
      <w:bodyDiv w:val="1"/>
      <w:marLeft w:val="0"/>
      <w:marRight w:val="0"/>
      <w:marTop w:val="0"/>
      <w:marBottom w:val="0"/>
      <w:divBdr>
        <w:top w:val="none" w:sz="0" w:space="0" w:color="auto"/>
        <w:left w:val="none" w:sz="0" w:space="0" w:color="auto"/>
        <w:bottom w:val="none" w:sz="0" w:space="0" w:color="auto"/>
        <w:right w:val="none" w:sz="0" w:space="0" w:color="auto"/>
      </w:divBdr>
    </w:div>
    <w:div w:id="547910474">
      <w:bodyDiv w:val="1"/>
      <w:marLeft w:val="0"/>
      <w:marRight w:val="0"/>
      <w:marTop w:val="0"/>
      <w:marBottom w:val="0"/>
      <w:divBdr>
        <w:top w:val="none" w:sz="0" w:space="0" w:color="auto"/>
        <w:left w:val="none" w:sz="0" w:space="0" w:color="auto"/>
        <w:bottom w:val="none" w:sz="0" w:space="0" w:color="auto"/>
        <w:right w:val="none" w:sz="0" w:space="0" w:color="auto"/>
      </w:divBdr>
    </w:div>
    <w:div w:id="577062317">
      <w:bodyDiv w:val="1"/>
      <w:marLeft w:val="0"/>
      <w:marRight w:val="0"/>
      <w:marTop w:val="0"/>
      <w:marBottom w:val="0"/>
      <w:divBdr>
        <w:top w:val="none" w:sz="0" w:space="0" w:color="auto"/>
        <w:left w:val="none" w:sz="0" w:space="0" w:color="auto"/>
        <w:bottom w:val="none" w:sz="0" w:space="0" w:color="auto"/>
        <w:right w:val="none" w:sz="0" w:space="0" w:color="auto"/>
      </w:divBdr>
    </w:div>
    <w:div w:id="653727135">
      <w:bodyDiv w:val="1"/>
      <w:marLeft w:val="0"/>
      <w:marRight w:val="0"/>
      <w:marTop w:val="0"/>
      <w:marBottom w:val="0"/>
      <w:divBdr>
        <w:top w:val="none" w:sz="0" w:space="0" w:color="auto"/>
        <w:left w:val="none" w:sz="0" w:space="0" w:color="auto"/>
        <w:bottom w:val="none" w:sz="0" w:space="0" w:color="auto"/>
        <w:right w:val="none" w:sz="0" w:space="0" w:color="auto"/>
      </w:divBdr>
    </w:div>
    <w:div w:id="701519726">
      <w:bodyDiv w:val="1"/>
      <w:marLeft w:val="0"/>
      <w:marRight w:val="0"/>
      <w:marTop w:val="0"/>
      <w:marBottom w:val="0"/>
      <w:divBdr>
        <w:top w:val="none" w:sz="0" w:space="0" w:color="auto"/>
        <w:left w:val="none" w:sz="0" w:space="0" w:color="auto"/>
        <w:bottom w:val="none" w:sz="0" w:space="0" w:color="auto"/>
        <w:right w:val="none" w:sz="0" w:space="0" w:color="auto"/>
      </w:divBdr>
    </w:div>
    <w:div w:id="726100856">
      <w:bodyDiv w:val="1"/>
      <w:marLeft w:val="0"/>
      <w:marRight w:val="0"/>
      <w:marTop w:val="0"/>
      <w:marBottom w:val="0"/>
      <w:divBdr>
        <w:top w:val="none" w:sz="0" w:space="0" w:color="auto"/>
        <w:left w:val="none" w:sz="0" w:space="0" w:color="auto"/>
        <w:bottom w:val="none" w:sz="0" w:space="0" w:color="auto"/>
        <w:right w:val="none" w:sz="0" w:space="0" w:color="auto"/>
      </w:divBdr>
    </w:div>
    <w:div w:id="920219524">
      <w:bodyDiv w:val="1"/>
      <w:marLeft w:val="0"/>
      <w:marRight w:val="0"/>
      <w:marTop w:val="0"/>
      <w:marBottom w:val="0"/>
      <w:divBdr>
        <w:top w:val="none" w:sz="0" w:space="0" w:color="auto"/>
        <w:left w:val="none" w:sz="0" w:space="0" w:color="auto"/>
        <w:bottom w:val="none" w:sz="0" w:space="0" w:color="auto"/>
        <w:right w:val="none" w:sz="0" w:space="0" w:color="auto"/>
      </w:divBdr>
    </w:div>
    <w:div w:id="951982300">
      <w:bodyDiv w:val="1"/>
      <w:marLeft w:val="0"/>
      <w:marRight w:val="0"/>
      <w:marTop w:val="0"/>
      <w:marBottom w:val="0"/>
      <w:divBdr>
        <w:top w:val="none" w:sz="0" w:space="0" w:color="auto"/>
        <w:left w:val="none" w:sz="0" w:space="0" w:color="auto"/>
        <w:bottom w:val="none" w:sz="0" w:space="0" w:color="auto"/>
        <w:right w:val="none" w:sz="0" w:space="0" w:color="auto"/>
      </w:divBdr>
    </w:div>
    <w:div w:id="1066418282">
      <w:bodyDiv w:val="1"/>
      <w:marLeft w:val="0"/>
      <w:marRight w:val="0"/>
      <w:marTop w:val="0"/>
      <w:marBottom w:val="0"/>
      <w:divBdr>
        <w:top w:val="none" w:sz="0" w:space="0" w:color="auto"/>
        <w:left w:val="none" w:sz="0" w:space="0" w:color="auto"/>
        <w:bottom w:val="none" w:sz="0" w:space="0" w:color="auto"/>
        <w:right w:val="none" w:sz="0" w:space="0" w:color="auto"/>
      </w:divBdr>
    </w:div>
    <w:div w:id="1102871137">
      <w:bodyDiv w:val="1"/>
      <w:marLeft w:val="0"/>
      <w:marRight w:val="0"/>
      <w:marTop w:val="0"/>
      <w:marBottom w:val="0"/>
      <w:divBdr>
        <w:top w:val="none" w:sz="0" w:space="0" w:color="auto"/>
        <w:left w:val="none" w:sz="0" w:space="0" w:color="auto"/>
        <w:bottom w:val="none" w:sz="0" w:space="0" w:color="auto"/>
        <w:right w:val="none" w:sz="0" w:space="0" w:color="auto"/>
      </w:divBdr>
    </w:div>
    <w:div w:id="1164123661">
      <w:bodyDiv w:val="1"/>
      <w:marLeft w:val="0"/>
      <w:marRight w:val="0"/>
      <w:marTop w:val="0"/>
      <w:marBottom w:val="0"/>
      <w:divBdr>
        <w:top w:val="none" w:sz="0" w:space="0" w:color="auto"/>
        <w:left w:val="none" w:sz="0" w:space="0" w:color="auto"/>
        <w:bottom w:val="none" w:sz="0" w:space="0" w:color="auto"/>
        <w:right w:val="none" w:sz="0" w:space="0" w:color="auto"/>
      </w:divBdr>
    </w:div>
    <w:div w:id="1167356308">
      <w:bodyDiv w:val="1"/>
      <w:marLeft w:val="0"/>
      <w:marRight w:val="0"/>
      <w:marTop w:val="0"/>
      <w:marBottom w:val="0"/>
      <w:divBdr>
        <w:top w:val="none" w:sz="0" w:space="0" w:color="auto"/>
        <w:left w:val="none" w:sz="0" w:space="0" w:color="auto"/>
        <w:bottom w:val="none" w:sz="0" w:space="0" w:color="auto"/>
        <w:right w:val="none" w:sz="0" w:space="0" w:color="auto"/>
      </w:divBdr>
    </w:div>
    <w:div w:id="1246452763">
      <w:bodyDiv w:val="1"/>
      <w:marLeft w:val="0"/>
      <w:marRight w:val="0"/>
      <w:marTop w:val="0"/>
      <w:marBottom w:val="0"/>
      <w:divBdr>
        <w:top w:val="none" w:sz="0" w:space="0" w:color="auto"/>
        <w:left w:val="none" w:sz="0" w:space="0" w:color="auto"/>
        <w:bottom w:val="none" w:sz="0" w:space="0" w:color="auto"/>
        <w:right w:val="none" w:sz="0" w:space="0" w:color="auto"/>
      </w:divBdr>
    </w:div>
    <w:div w:id="1267693777">
      <w:bodyDiv w:val="1"/>
      <w:marLeft w:val="0"/>
      <w:marRight w:val="0"/>
      <w:marTop w:val="0"/>
      <w:marBottom w:val="0"/>
      <w:divBdr>
        <w:top w:val="none" w:sz="0" w:space="0" w:color="auto"/>
        <w:left w:val="none" w:sz="0" w:space="0" w:color="auto"/>
        <w:bottom w:val="none" w:sz="0" w:space="0" w:color="auto"/>
        <w:right w:val="none" w:sz="0" w:space="0" w:color="auto"/>
      </w:divBdr>
    </w:div>
    <w:div w:id="1366325472">
      <w:bodyDiv w:val="1"/>
      <w:marLeft w:val="0"/>
      <w:marRight w:val="0"/>
      <w:marTop w:val="0"/>
      <w:marBottom w:val="0"/>
      <w:divBdr>
        <w:top w:val="none" w:sz="0" w:space="0" w:color="auto"/>
        <w:left w:val="none" w:sz="0" w:space="0" w:color="auto"/>
        <w:bottom w:val="none" w:sz="0" w:space="0" w:color="auto"/>
        <w:right w:val="none" w:sz="0" w:space="0" w:color="auto"/>
      </w:divBdr>
    </w:div>
    <w:div w:id="1488521980">
      <w:bodyDiv w:val="1"/>
      <w:marLeft w:val="0"/>
      <w:marRight w:val="0"/>
      <w:marTop w:val="0"/>
      <w:marBottom w:val="0"/>
      <w:divBdr>
        <w:top w:val="none" w:sz="0" w:space="0" w:color="auto"/>
        <w:left w:val="none" w:sz="0" w:space="0" w:color="auto"/>
        <w:bottom w:val="none" w:sz="0" w:space="0" w:color="auto"/>
        <w:right w:val="none" w:sz="0" w:space="0" w:color="auto"/>
      </w:divBdr>
    </w:div>
    <w:div w:id="1491603885">
      <w:bodyDiv w:val="1"/>
      <w:marLeft w:val="0"/>
      <w:marRight w:val="0"/>
      <w:marTop w:val="0"/>
      <w:marBottom w:val="0"/>
      <w:divBdr>
        <w:top w:val="none" w:sz="0" w:space="0" w:color="auto"/>
        <w:left w:val="none" w:sz="0" w:space="0" w:color="auto"/>
        <w:bottom w:val="none" w:sz="0" w:space="0" w:color="auto"/>
        <w:right w:val="none" w:sz="0" w:space="0" w:color="auto"/>
      </w:divBdr>
    </w:div>
    <w:div w:id="1507941028">
      <w:bodyDiv w:val="1"/>
      <w:marLeft w:val="0"/>
      <w:marRight w:val="0"/>
      <w:marTop w:val="0"/>
      <w:marBottom w:val="0"/>
      <w:divBdr>
        <w:top w:val="none" w:sz="0" w:space="0" w:color="auto"/>
        <w:left w:val="none" w:sz="0" w:space="0" w:color="auto"/>
        <w:bottom w:val="none" w:sz="0" w:space="0" w:color="auto"/>
        <w:right w:val="none" w:sz="0" w:space="0" w:color="auto"/>
      </w:divBdr>
    </w:div>
    <w:div w:id="1520853000">
      <w:bodyDiv w:val="1"/>
      <w:marLeft w:val="0"/>
      <w:marRight w:val="0"/>
      <w:marTop w:val="0"/>
      <w:marBottom w:val="0"/>
      <w:divBdr>
        <w:top w:val="none" w:sz="0" w:space="0" w:color="auto"/>
        <w:left w:val="none" w:sz="0" w:space="0" w:color="auto"/>
        <w:bottom w:val="none" w:sz="0" w:space="0" w:color="auto"/>
        <w:right w:val="none" w:sz="0" w:space="0" w:color="auto"/>
      </w:divBdr>
    </w:div>
    <w:div w:id="1546331843">
      <w:bodyDiv w:val="1"/>
      <w:marLeft w:val="0"/>
      <w:marRight w:val="0"/>
      <w:marTop w:val="0"/>
      <w:marBottom w:val="0"/>
      <w:divBdr>
        <w:top w:val="none" w:sz="0" w:space="0" w:color="auto"/>
        <w:left w:val="none" w:sz="0" w:space="0" w:color="auto"/>
        <w:bottom w:val="none" w:sz="0" w:space="0" w:color="auto"/>
        <w:right w:val="none" w:sz="0" w:space="0" w:color="auto"/>
      </w:divBdr>
    </w:div>
    <w:div w:id="1664236315">
      <w:bodyDiv w:val="1"/>
      <w:marLeft w:val="0"/>
      <w:marRight w:val="0"/>
      <w:marTop w:val="0"/>
      <w:marBottom w:val="0"/>
      <w:divBdr>
        <w:top w:val="none" w:sz="0" w:space="0" w:color="auto"/>
        <w:left w:val="none" w:sz="0" w:space="0" w:color="auto"/>
        <w:bottom w:val="none" w:sz="0" w:space="0" w:color="auto"/>
        <w:right w:val="none" w:sz="0" w:space="0" w:color="auto"/>
      </w:divBdr>
    </w:div>
    <w:div w:id="1690333220">
      <w:bodyDiv w:val="1"/>
      <w:marLeft w:val="0"/>
      <w:marRight w:val="0"/>
      <w:marTop w:val="0"/>
      <w:marBottom w:val="0"/>
      <w:divBdr>
        <w:top w:val="none" w:sz="0" w:space="0" w:color="auto"/>
        <w:left w:val="none" w:sz="0" w:space="0" w:color="auto"/>
        <w:bottom w:val="none" w:sz="0" w:space="0" w:color="auto"/>
        <w:right w:val="none" w:sz="0" w:space="0" w:color="auto"/>
      </w:divBdr>
    </w:div>
    <w:div w:id="1719084617">
      <w:bodyDiv w:val="1"/>
      <w:marLeft w:val="0"/>
      <w:marRight w:val="0"/>
      <w:marTop w:val="0"/>
      <w:marBottom w:val="0"/>
      <w:divBdr>
        <w:top w:val="none" w:sz="0" w:space="0" w:color="auto"/>
        <w:left w:val="none" w:sz="0" w:space="0" w:color="auto"/>
        <w:bottom w:val="none" w:sz="0" w:space="0" w:color="auto"/>
        <w:right w:val="none" w:sz="0" w:space="0" w:color="auto"/>
      </w:divBdr>
    </w:div>
    <w:div w:id="1834909435">
      <w:bodyDiv w:val="1"/>
      <w:marLeft w:val="0"/>
      <w:marRight w:val="0"/>
      <w:marTop w:val="0"/>
      <w:marBottom w:val="0"/>
      <w:divBdr>
        <w:top w:val="none" w:sz="0" w:space="0" w:color="auto"/>
        <w:left w:val="none" w:sz="0" w:space="0" w:color="auto"/>
        <w:bottom w:val="none" w:sz="0" w:space="0" w:color="auto"/>
        <w:right w:val="none" w:sz="0" w:space="0" w:color="auto"/>
      </w:divBdr>
    </w:div>
    <w:div w:id="1915387658">
      <w:bodyDiv w:val="1"/>
      <w:marLeft w:val="0"/>
      <w:marRight w:val="0"/>
      <w:marTop w:val="0"/>
      <w:marBottom w:val="0"/>
      <w:divBdr>
        <w:top w:val="none" w:sz="0" w:space="0" w:color="auto"/>
        <w:left w:val="none" w:sz="0" w:space="0" w:color="auto"/>
        <w:bottom w:val="none" w:sz="0" w:space="0" w:color="auto"/>
        <w:right w:val="none" w:sz="0" w:space="0" w:color="auto"/>
      </w:divBdr>
    </w:div>
    <w:div w:id="2005008866">
      <w:bodyDiv w:val="1"/>
      <w:marLeft w:val="0"/>
      <w:marRight w:val="0"/>
      <w:marTop w:val="0"/>
      <w:marBottom w:val="0"/>
      <w:divBdr>
        <w:top w:val="none" w:sz="0" w:space="0" w:color="auto"/>
        <w:left w:val="none" w:sz="0" w:space="0" w:color="auto"/>
        <w:bottom w:val="none" w:sz="0" w:space="0" w:color="auto"/>
        <w:right w:val="none" w:sz="0" w:space="0" w:color="auto"/>
      </w:divBdr>
    </w:div>
    <w:div w:id="2016960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20Documents\Reclamation%20Templates%20Bucket\ICF%20M%20Drive%20Templates\USBR%20Number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04C51297C6E64C9BC275B5D74AC1FA" ma:contentTypeVersion="13" ma:contentTypeDescription="Create a new document." ma:contentTypeScope="" ma:versionID="dd5bc2227a9e215ad672786afb23d3a7">
  <xsd:schema xmlns:xsd="http://www.w3.org/2001/XMLSchema" xmlns:xs="http://www.w3.org/2001/XMLSchema" xmlns:p="http://schemas.microsoft.com/office/2006/metadata/properties" xmlns:ns3="b7ef6402-891b-460e-a53b-5a593c6bacd4" xmlns:ns4="fff8b0ac-d340-4f4b-8a44-43c44b842d5d" targetNamespace="http://schemas.microsoft.com/office/2006/metadata/properties" ma:root="true" ma:fieldsID="47d0d8b6494fab2247a4979b2d3b19aa" ns3:_="" ns4:_="">
    <xsd:import namespace="b7ef6402-891b-460e-a53b-5a593c6bacd4"/>
    <xsd:import namespace="fff8b0ac-d340-4f4b-8a44-43c44b842d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f6402-891b-460e-a53b-5a593c6bac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f8b0ac-d340-4f4b-8a44-43c44b842d5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33D37-B156-4A3C-B9C8-5EF44B2128D9}">
  <ds:schemaRefs>
    <ds:schemaRef ds:uri="http://schemas.microsoft.com/sharepoint/v3/contenttype/forms"/>
  </ds:schemaRefs>
</ds:datastoreItem>
</file>

<file path=customXml/itemProps2.xml><?xml version="1.0" encoding="utf-8"?>
<ds:datastoreItem xmlns:ds="http://schemas.openxmlformats.org/officeDocument/2006/customXml" ds:itemID="{01D7453E-5836-476A-905B-3AF5727B8D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94BC0B-57E7-4B05-8249-3EFD62C34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f6402-891b-460e-a53b-5a593c6bacd4"/>
    <ds:schemaRef ds:uri="fff8b0ac-d340-4f4b-8a44-43c44b842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A592DA-AA07-4EC9-9305-1091CC0D2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USBR Numbered Template</Template>
  <TotalTime>1418</TotalTime>
  <Pages>28</Pages>
  <Words>8793</Words>
  <Characters>50124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58800</CharactersWithSpaces>
  <SharedDoc>false</SharedDoc>
  <HLinks>
    <vt:vector size="18" baseType="variant">
      <vt:variant>
        <vt:i4>1179697</vt:i4>
      </vt:variant>
      <vt:variant>
        <vt:i4>113</vt:i4>
      </vt:variant>
      <vt:variant>
        <vt:i4>0</vt:i4>
      </vt:variant>
      <vt:variant>
        <vt:i4>5</vt:i4>
      </vt:variant>
      <vt:variant>
        <vt:lpwstr/>
      </vt:variant>
      <vt:variant>
        <vt:lpwstr>_Toc343008191</vt:lpwstr>
      </vt:variant>
      <vt:variant>
        <vt:i4>1179697</vt:i4>
      </vt:variant>
      <vt:variant>
        <vt:i4>107</vt:i4>
      </vt:variant>
      <vt:variant>
        <vt:i4>0</vt:i4>
      </vt:variant>
      <vt:variant>
        <vt:i4>5</vt:i4>
      </vt:variant>
      <vt:variant>
        <vt:lpwstr/>
      </vt:variant>
      <vt:variant>
        <vt:lpwstr>_Toc343008190</vt:lpwstr>
      </vt:variant>
      <vt:variant>
        <vt:i4>1245233</vt:i4>
      </vt:variant>
      <vt:variant>
        <vt:i4>101</vt:i4>
      </vt:variant>
      <vt:variant>
        <vt:i4>0</vt:i4>
      </vt:variant>
      <vt:variant>
        <vt:i4>5</vt:i4>
      </vt:variant>
      <vt:variant>
        <vt:lpwstr/>
      </vt:variant>
      <vt:variant>
        <vt:lpwstr>_Toc343008189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Daugherty, Lisa</dc:creator>
  <cp:lastModifiedBy>Micko, Steve/SAC</cp:lastModifiedBy>
  <cp:revision>138</cp:revision>
  <cp:lastPrinted>2012-12-12T00:03:00Z</cp:lastPrinted>
  <dcterms:created xsi:type="dcterms:W3CDTF">2021-07-01T22:09:00Z</dcterms:created>
  <dcterms:modified xsi:type="dcterms:W3CDTF">2021-07-23T15:26:00Z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0x010100E204C51297C6E64C9BC275B5D74AC1FA</vt:lpwstr>
  </property>
  <property fmtid="{D5CDD505-2E9C-101B-9397-08002B2CF9AE}" pid="3" name="_dlc_DocIdItemGuid">
    <vt:lpwstr>0044c04e-5b19-46d5-bcbe-3384cc0f7dd7</vt:lpwstr>
  </property>
</Properties>
</file>