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AB130" w14:textId="769CF9A3" w:rsidR="00B06AB0" w:rsidRDefault="00790913" w:rsidP="00790913">
      <w:pPr>
        <w:pStyle w:val="Title"/>
      </w:pPr>
      <w:bookmarkStart w:id="0" w:name="_Toc529266435"/>
      <w:bookmarkStart w:id="1" w:name="_Toc48817182"/>
      <w:bookmarkStart w:id="2" w:name="_Toc48817246"/>
      <w:r>
        <w:rPr>
          <w:noProof/>
        </w:rPr>
        <w:drawing>
          <wp:anchor distT="0" distB="0" distL="114300" distR="114300" simplePos="0" relativeHeight="251662336" behindDoc="0" locked="0" layoutInCell="1" allowOverlap="1" wp14:anchorId="600B54C3" wp14:editId="2DBF95EE">
            <wp:simplePos x="0" y="0"/>
            <wp:positionH relativeFrom="margin">
              <wp:posOffset>-330</wp:posOffset>
            </wp:positionH>
            <wp:positionV relativeFrom="paragraph">
              <wp:posOffset>447675</wp:posOffset>
            </wp:positionV>
            <wp:extent cx="4457065" cy="113665"/>
            <wp:effectExtent l="0" t="0" r="63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Line.png"/>
                    <pic:cNvPicPr/>
                  </pic:nvPicPr>
                  <pic:blipFill>
                    <a:blip r:embed="rId8">
                      <a:extLst>
                        <a:ext uri="{28A0092B-C50C-407E-A947-70E740481C1C}">
                          <a14:useLocalDpi xmlns:a14="http://schemas.microsoft.com/office/drawing/2010/main" val="0"/>
                        </a:ext>
                      </a:extLst>
                    </a:blip>
                    <a:stretch>
                      <a:fillRect/>
                    </a:stretch>
                  </pic:blipFill>
                  <pic:spPr>
                    <a:xfrm>
                      <a:off x="0" y="0"/>
                      <a:ext cx="4457065" cy="113665"/>
                    </a:xfrm>
                    <a:prstGeom prst="rect">
                      <a:avLst/>
                    </a:prstGeom>
                  </pic:spPr>
                </pic:pic>
              </a:graphicData>
            </a:graphic>
          </wp:anchor>
        </w:drawing>
      </w:r>
      <w:bookmarkEnd w:id="0"/>
      <w:bookmarkEnd w:id="1"/>
      <w:bookmarkEnd w:id="2"/>
      <w:r w:rsidR="001F2B89">
        <w:t xml:space="preserve">KROM Documentation </w:t>
      </w:r>
    </w:p>
    <w:p w14:paraId="43A5C42B" w14:textId="753C556D" w:rsidR="00790913" w:rsidRPr="00FD49FF" w:rsidRDefault="001F2B89" w:rsidP="00790913">
      <w:pPr>
        <w:pStyle w:val="Title"/>
      </w:pPr>
      <w:r>
        <w:t>2019 Proposed Action</w:t>
      </w:r>
      <w:r w:rsidR="00512727">
        <w:t xml:space="preserve"> </w:t>
      </w:r>
    </w:p>
    <w:p w14:paraId="49638947" w14:textId="3D0FDE81" w:rsidR="006F170A" w:rsidRDefault="00BD0541" w:rsidP="00790913">
      <w:r>
        <w:t>October</w:t>
      </w:r>
      <w:r w:rsidR="00400885">
        <w:t xml:space="preserve"> 30</w:t>
      </w:r>
      <w:r w:rsidR="008769EF">
        <w:t>, 2020</w:t>
      </w:r>
    </w:p>
    <w:p w14:paraId="56DF3DFD" w14:textId="083952BE" w:rsidR="008769EF" w:rsidRDefault="00970283" w:rsidP="00790913">
      <w:r>
        <w:t>CADSWES:</w:t>
      </w:r>
      <w:r w:rsidR="00E24A17">
        <w:t xml:space="preserve"> </w:t>
      </w:r>
      <w:r>
        <w:t xml:space="preserve">Neumann, </w:t>
      </w:r>
      <w:proofErr w:type="spellStart"/>
      <w:r w:rsidR="00E24A17">
        <w:t>Frischmeyer</w:t>
      </w:r>
      <w:proofErr w:type="spellEnd"/>
      <w:r w:rsidR="00E24A17">
        <w:t xml:space="preserve">, </w:t>
      </w:r>
      <w:r>
        <w:t>Zagona</w:t>
      </w:r>
    </w:p>
    <w:p w14:paraId="6CA6E528" w14:textId="77777777" w:rsidR="008769EF" w:rsidRDefault="008769EF" w:rsidP="004949B0">
      <w:pPr>
        <w:pStyle w:val="Heading1"/>
      </w:pPr>
      <w:bookmarkStart w:id="3" w:name="_heading=h.uafftvn6hyr6" w:colFirst="0" w:colLast="0"/>
      <w:bookmarkStart w:id="4" w:name="_Toc48817183"/>
      <w:bookmarkStart w:id="5" w:name="_Toc48817247"/>
      <w:bookmarkEnd w:id="3"/>
      <w:r w:rsidRPr="00EA565B">
        <w:t>Introduction</w:t>
      </w:r>
      <w:bookmarkEnd w:id="4"/>
      <w:bookmarkEnd w:id="5"/>
    </w:p>
    <w:p w14:paraId="59B211C3" w14:textId="6FC9B0E9" w:rsidR="008769EF" w:rsidRDefault="008769EF" w:rsidP="008769EF">
      <w:r>
        <w:t xml:space="preserve">This report </w:t>
      </w:r>
      <w:r w:rsidR="00512727">
        <w:t xml:space="preserve">documents </w:t>
      </w:r>
      <w:r>
        <w:t xml:space="preserve">the Klamath RiverWare Operations Model (KROM) </w:t>
      </w:r>
      <w:r w:rsidR="001F2B89">
        <w:t xml:space="preserve">that represents the </w:t>
      </w:r>
      <w:r>
        <w:t>2019 Proposed Ac</w:t>
      </w:r>
      <w:r w:rsidR="00512727">
        <w:t>tion (2019 PA). This</w:t>
      </w:r>
      <w:r>
        <w:t xml:space="preserve"> RiverWare model </w:t>
      </w:r>
      <w:r w:rsidR="00512727">
        <w:t xml:space="preserve">can be used to operate the system and </w:t>
      </w:r>
      <w:r>
        <w:t>reproduce</w:t>
      </w:r>
      <w:r w:rsidR="00512727">
        <w:t>s</w:t>
      </w:r>
      <w:r>
        <w:t xml:space="preserve"> the results of the </w:t>
      </w:r>
      <w:r w:rsidR="00512727">
        <w:t xml:space="preserve">Excel-based tool referred to as the </w:t>
      </w:r>
      <w:r w:rsidRPr="00512727">
        <w:rPr>
          <w:b/>
        </w:rPr>
        <w:t>PA Calculator</w:t>
      </w:r>
      <w:r>
        <w:t xml:space="preserve">. Throughout the report, the reader should be able to trace the data and computations from the PA Calculator into the </w:t>
      </w:r>
      <w:r w:rsidR="00512727">
        <w:t>KROM.</w:t>
      </w:r>
    </w:p>
    <w:p w14:paraId="1D684C91" w14:textId="077E6F65" w:rsidR="00512727" w:rsidRDefault="000865CF" w:rsidP="008769EF">
      <w:r>
        <w:t>This document contains the following sections:</w:t>
      </w:r>
    </w:p>
    <w:p w14:paraId="08C8108A" w14:textId="11E16F8F" w:rsidR="00512727" w:rsidRDefault="00512727" w:rsidP="00512727">
      <w:pPr>
        <w:pStyle w:val="ListBullet"/>
      </w:pPr>
      <w:r>
        <w:t>Model: Description of the model layout, objects, physical processes, and data sources</w:t>
      </w:r>
    </w:p>
    <w:p w14:paraId="2EA29F0D" w14:textId="433ADEA7" w:rsidR="00512727" w:rsidRDefault="00512727" w:rsidP="00512727">
      <w:pPr>
        <w:pStyle w:val="ListBullet"/>
      </w:pPr>
      <w:r>
        <w:t>Operating Policy: Conceptual overview of the RiverWare rules that represent the 2019 PA operating policy</w:t>
      </w:r>
    </w:p>
    <w:p w14:paraId="1E126860" w14:textId="428F14CC" w:rsidR="00512727" w:rsidRDefault="00D52031" w:rsidP="00512727">
      <w:pPr>
        <w:pStyle w:val="ListBullet"/>
      </w:pPr>
      <w:r>
        <w:t>Outputs</w:t>
      </w:r>
      <w:r w:rsidR="000865CF">
        <w:t>: Description of the various ways to view results from the KROM</w:t>
      </w:r>
    </w:p>
    <w:p w14:paraId="75753B19" w14:textId="2DD73F66" w:rsidR="00512727" w:rsidRDefault="00512727" w:rsidP="00512727">
      <w:pPr>
        <w:pStyle w:val="ListBullet"/>
      </w:pPr>
      <w:r>
        <w:t>Workflow and User’s Guide: Description of the steps the operator performs using the KROM that matches the workflow per</w:t>
      </w:r>
      <w:r w:rsidR="000865CF">
        <w:t>formed using the PA Calculator</w:t>
      </w:r>
    </w:p>
    <w:p w14:paraId="09A09197" w14:textId="6FFE0D18" w:rsidR="00EA565B" w:rsidRDefault="00EA565B" w:rsidP="004949B0">
      <w:pPr>
        <w:pStyle w:val="Heading1"/>
      </w:pPr>
      <w:bookmarkStart w:id="6" w:name="_Toc48817184"/>
      <w:bookmarkStart w:id="7" w:name="_Toc48817248"/>
      <w:r>
        <w:t>The Model</w:t>
      </w:r>
      <w:bookmarkEnd w:id="6"/>
      <w:bookmarkEnd w:id="7"/>
    </w:p>
    <w:p w14:paraId="60B19ED1" w14:textId="50ABEE12" w:rsidR="00874153" w:rsidRDefault="00874153" w:rsidP="00874153">
      <w:r>
        <w:t xml:space="preserve">This section </w:t>
      </w:r>
      <w:r w:rsidR="0030367C">
        <w:t xml:space="preserve">describes the </w:t>
      </w:r>
      <w:r w:rsidR="00C34A48">
        <w:t xml:space="preserve">run </w:t>
      </w:r>
      <w:r w:rsidR="002A0A1F">
        <w:t xml:space="preserve">time </w:t>
      </w:r>
      <w:r w:rsidR="00C34A48">
        <w:t xml:space="preserve">range, </w:t>
      </w:r>
      <w:r w:rsidR="0030367C">
        <w:t xml:space="preserve">model layout, the objects and methods used, and the data specified on the objects. </w:t>
      </w:r>
    </w:p>
    <w:p w14:paraId="2D620C8C" w14:textId="5075C24D" w:rsidR="00C34A48" w:rsidRDefault="002A0A1F" w:rsidP="00C34A48">
      <w:pPr>
        <w:pStyle w:val="Heading2"/>
      </w:pPr>
      <w:bookmarkStart w:id="8" w:name="_Ref50916605"/>
      <w:r>
        <w:t xml:space="preserve">Run Time </w:t>
      </w:r>
      <w:r w:rsidR="00C34A48">
        <w:t>Range</w:t>
      </w:r>
      <w:bookmarkEnd w:id="8"/>
    </w:p>
    <w:p w14:paraId="38714A64" w14:textId="72D72DBC" w:rsidR="009E76E9" w:rsidRDefault="0017587D" w:rsidP="009E76E9">
      <w:r>
        <w:t xml:space="preserve">Like the PA Calculator, </w:t>
      </w:r>
      <w:r w:rsidR="000865CF">
        <w:t xml:space="preserve">the </w:t>
      </w:r>
      <w:r>
        <w:t>KROM</w:t>
      </w:r>
      <w:r w:rsidR="009E76E9">
        <w:t xml:space="preserve"> has a daily timestep </w:t>
      </w:r>
      <w:r w:rsidR="000865CF">
        <w:t>that</w:t>
      </w:r>
      <w:r w:rsidR="009E76E9">
        <w:t xml:space="preserve"> corresponds with the frequency of </w:t>
      </w:r>
      <w:r w:rsidR="000865CF">
        <w:t xml:space="preserve">KBAO’s </w:t>
      </w:r>
      <w:r w:rsidR="009E76E9">
        <w:t xml:space="preserve">operating decisions for the Klamath River and Klamath Project. </w:t>
      </w:r>
    </w:p>
    <w:p w14:paraId="40F2819A" w14:textId="3074C97D" w:rsidR="009E76E9" w:rsidRDefault="009E76E9" w:rsidP="00650D00">
      <w:r>
        <w:t xml:space="preserve">The model always starts on </w:t>
      </w:r>
      <w:r w:rsidR="00650D00">
        <w:t xml:space="preserve">October 1, of the previous year and finishes on February 28/29 of the subsequent year. Thus if we are operating the system in the summer of 2020, </w:t>
      </w:r>
      <w:r w:rsidR="000865CF">
        <w:t>the model runs from October 1</w:t>
      </w:r>
      <w:r w:rsidR="00650D00">
        <w:t xml:space="preserve">, 2019 to February 28, 2021. </w:t>
      </w:r>
    </w:p>
    <w:p w14:paraId="258821B7" w14:textId="25F3153A" w:rsidR="00C34A48" w:rsidRPr="00874153" w:rsidRDefault="0017587D" w:rsidP="009E76E9">
      <w:r>
        <w:t xml:space="preserve">KROM has sufficient time period of observed data and forecasted values so that decisions can be made appropriately and the overall trends can be seen in the results. </w:t>
      </w:r>
      <w:r w:rsidR="009E76E9">
        <w:t xml:space="preserve">The model contains a scalar slot </w:t>
      </w:r>
      <w:r w:rsidR="000865CF">
        <w:t xml:space="preserve">called the </w:t>
      </w:r>
      <w:r w:rsidR="000865CF" w:rsidRPr="00650D00">
        <w:rPr>
          <w:b/>
        </w:rPr>
        <w:t>Operation Start Timestep</w:t>
      </w:r>
      <w:r w:rsidR="000865CF">
        <w:t xml:space="preserve"> </w:t>
      </w:r>
      <w:r w:rsidR="009E76E9">
        <w:t>that tracks the date at which data is moved forward</w:t>
      </w:r>
      <w:r w:rsidR="00650D00">
        <w:t xml:space="preserve"> from observed to </w:t>
      </w:r>
      <w:proofErr w:type="gramStart"/>
      <w:r w:rsidR="00650D00">
        <w:t>forecasted</w:t>
      </w:r>
      <w:proofErr w:type="gramEnd"/>
      <w:r w:rsidR="009E76E9">
        <w:t>. It can be thought of as the day at which the system is being operated, often the current day. It could also be a previous day if the system has to be re-operated due to mis</w:t>
      </w:r>
      <w:r w:rsidR="00650D00">
        <w:t>sing data, holidays, etc.</w:t>
      </w:r>
      <w:r w:rsidR="005679BB">
        <w:t xml:space="preserve"> Before t</w:t>
      </w:r>
      <w:r w:rsidR="00650D00">
        <w:t>he o</w:t>
      </w:r>
      <w:r w:rsidR="009E76E9">
        <w:t xml:space="preserve">peration </w:t>
      </w:r>
      <w:r w:rsidR="00650D00">
        <w:t>s</w:t>
      </w:r>
      <w:r w:rsidR="009E76E9">
        <w:t xml:space="preserve">tart </w:t>
      </w:r>
      <w:r>
        <w:t>timestep</w:t>
      </w:r>
      <w:r w:rsidR="005679BB">
        <w:t xml:space="preserve">, the </w:t>
      </w:r>
      <w:r w:rsidR="009E76E9">
        <w:t xml:space="preserve">data </w:t>
      </w:r>
      <w:r w:rsidR="005679BB">
        <w:t xml:space="preserve">and computations are </w:t>
      </w:r>
      <w:r w:rsidR="009E76E9">
        <w:t>in</w:t>
      </w:r>
      <w:r w:rsidR="000865CF">
        <w:t xml:space="preserve"> the</w:t>
      </w:r>
      <w:r w:rsidR="009E76E9">
        <w:t xml:space="preserve"> </w:t>
      </w:r>
      <w:r w:rsidR="005679BB">
        <w:t>“</w:t>
      </w:r>
      <w:r w:rsidR="005679BB" w:rsidRPr="005679BB">
        <w:rPr>
          <w:b/>
        </w:rPr>
        <w:t>observed period</w:t>
      </w:r>
      <w:r w:rsidR="005679BB">
        <w:t xml:space="preserve">” (after-the-fact </w:t>
      </w:r>
      <w:r w:rsidR="005679BB">
        <w:lastRenderedPageBreak/>
        <w:t xml:space="preserve">computations). After the operations start timestep, the computations are </w:t>
      </w:r>
      <w:r w:rsidR="000865CF">
        <w:t>in the</w:t>
      </w:r>
      <w:r w:rsidR="009E76E9">
        <w:t xml:space="preserve"> forecast</w:t>
      </w:r>
      <w:r w:rsidR="005679BB">
        <w:t xml:space="preserve"> or “</w:t>
      </w:r>
      <w:r w:rsidR="005679BB" w:rsidRPr="005679BB">
        <w:rPr>
          <w:b/>
        </w:rPr>
        <w:t>predictive period</w:t>
      </w:r>
      <w:r w:rsidR="00650D00">
        <w:t>.</w:t>
      </w:r>
      <w:r w:rsidR="005679BB">
        <w:t>”</w:t>
      </w:r>
      <w:r w:rsidR="00650D00">
        <w:t xml:space="preserve"> </w:t>
      </w:r>
      <w:r w:rsidR="005679BB">
        <w:t>For</w:t>
      </w:r>
      <w:r w:rsidR="00650D00">
        <w:t xml:space="preserve"> a given operations start timestep date, for example, 7/4/2020, previous timesteps, 10/1/2019 to 7/3/2020, are driven by observed data.  </w:t>
      </w:r>
      <w:r w:rsidR="009E76E9">
        <w:t xml:space="preserve"> Future timesteps</w:t>
      </w:r>
      <w:r>
        <w:t>, 7/4/2020 to 2/28/2021,</w:t>
      </w:r>
      <w:r w:rsidR="009E76E9">
        <w:t xml:space="preserve"> are </w:t>
      </w:r>
      <w:r w:rsidR="005679BB">
        <w:t xml:space="preserve">predictive and </w:t>
      </w:r>
      <w:r w:rsidR="00650D00">
        <w:t>driven</w:t>
      </w:r>
      <w:r w:rsidR="009E76E9">
        <w:t xml:space="preserve"> with forecast </w:t>
      </w:r>
      <w:r>
        <w:t>data.  As the operations start timestep</w:t>
      </w:r>
      <w:r w:rsidR="009E76E9">
        <w:t xml:space="preserve"> progress throu</w:t>
      </w:r>
      <w:r w:rsidR="00650D00">
        <w:t>gh time, observed da</w:t>
      </w:r>
      <w:r w:rsidR="009E76E9">
        <w:t xml:space="preserve">ta replace forecast data. </w:t>
      </w:r>
      <w:r>
        <w:t>With this</w:t>
      </w:r>
      <w:r w:rsidR="009E76E9">
        <w:t xml:space="preserve"> concept, the model alw</w:t>
      </w:r>
      <w:r w:rsidR="00650D00">
        <w:t xml:space="preserve">ays starts on the same timestep, </w:t>
      </w:r>
      <w:r w:rsidR="009E76E9">
        <w:t>but by mo</w:t>
      </w:r>
      <w:r w:rsidR="00650D00">
        <w:t>difying the operation start timestep</w:t>
      </w:r>
      <w:r w:rsidR="009E76E9">
        <w:t xml:space="preserve">, the operator can define the </w:t>
      </w:r>
      <w:r>
        <w:t>forecast</w:t>
      </w:r>
      <w:r w:rsidR="009E76E9">
        <w:t xml:space="preserve"> calculation period.</w:t>
      </w:r>
    </w:p>
    <w:p w14:paraId="1F6044C7" w14:textId="77777777" w:rsidR="008769EF" w:rsidRDefault="008769EF" w:rsidP="00EA565B">
      <w:pPr>
        <w:pStyle w:val="Heading2"/>
      </w:pPr>
      <w:bookmarkStart w:id="9" w:name="_Toc48817185"/>
      <w:bookmarkStart w:id="10" w:name="_Toc48817249"/>
      <w:r>
        <w:t>Model Layout</w:t>
      </w:r>
      <w:bookmarkEnd w:id="9"/>
      <w:bookmarkEnd w:id="10"/>
    </w:p>
    <w:p w14:paraId="5F69ABC2" w14:textId="08221C28" w:rsidR="00CE2959" w:rsidRDefault="008769EF" w:rsidP="00CE2959">
      <w:r>
        <w:t xml:space="preserve">The </w:t>
      </w:r>
      <w:r w:rsidR="0030367C">
        <w:t xml:space="preserve">workspace </w:t>
      </w:r>
      <w:r>
        <w:t>layout is a spatial representation of the Klamath River Ba</w:t>
      </w:r>
      <w:r w:rsidR="0030367C">
        <w:t>sin’s physical features</w:t>
      </w:r>
      <w:r>
        <w:t>. Important river reaches, reservo</w:t>
      </w:r>
      <w:r w:rsidR="000865CF">
        <w:t>irs, and irrigation canals</w:t>
      </w:r>
      <w:r>
        <w:t xml:space="preserve"> are represent</w:t>
      </w:r>
      <w:r w:rsidR="0030367C">
        <w:t xml:space="preserve">ed as objects on the workspace. </w:t>
      </w:r>
      <w:r w:rsidR="002A0A1F">
        <w:t xml:space="preserve">Each object houses data in structures called “slots” while physical process are represented through solution and user selectable methods, such as flow routing, reservoir storage, and canal diversions. </w:t>
      </w:r>
      <w:r w:rsidR="00CE2959">
        <w:fldChar w:fldCharType="begin"/>
      </w:r>
      <w:r w:rsidR="00CE2959">
        <w:instrText xml:space="preserve"> REF _Ref48910006 \r \h </w:instrText>
      </w:r>
      <w:r w:rsidR="00CE2959">
        <w:fldChar w:fldCharType="separate"/>
      </w:r>
      <w:r w:rsidR="00170C2A">
        <w:t xml:space="preserve">Figure 1. </w:t>
      </w:r>
      <w:r w:rsidR="00CE2959">
        <w:fldChar w:fldCharType="end"/>
      </w:r>
      <w:proofErr w:type="gramStart"/>
      <w:r w:rsidR="00A61932">
        <w:t>s</w:t>
      </w:r>
      <w:r w:rsidR="00CE2959">
        <w:t>hows</w:t>
      </w:r>
      <w:proofErr w:type="gramEnd"/>
      <w:r w:rsidR="00CE2959">
        <w:t xml:space="preserve"> the workspace and the objects. </w:t>
      </w:r>
    </w:p>
    <w:p w14:paraId="794F4DBA" w14:textId="2C086C4A" w:rsidR="00CE2959" w:rsidRDefault="00CE2959" w:rsidP="00A55944">
      <w:pPr>
        <w:pStyle w:val="FigCaption"/>
      </w:pPr>
      <w:bookmarkStart w:id="11" w:name="_Ref48910006"/>
      <w:r>
        <w:t>Workspace of the KROM</w:t>
      </w:r>
      <w:bookmarkEnd w:id="11"/>
      <w:r w:rsidR="00A61932">
        <w:t xml:space="preserve">, above </w:t>
      </w:r>
      <w:r w:rsidR="000865CF">
        <w:t xml:space="preserve">the </w:t>
      </w:r>
      <w:r w:rsidR="00A61932">
        <w:t xml:space="preserve">Lake </w:t>
      </w:r>
      <w:proofErr w:type="spellStart"/>
      <w:r w:rsidR="00A61932">
        <w:t>Ewauna</w:t>
      </w:r>
      <w:proofErr w:type="spellEnd"/>
      <w:r w:rsidR="00A61932">
        <w:t xml:space="preserve"> Gain</w:t>
      </w:r>
      <w:r w:rsidR="000865CF">
        <w:t xml:space="preserve"> object</w:t>
      </w:r>
    </w:p>
    <w:p w14:paraId="7265DBB1" w14:textId="77777777" w:rsidR="00CE2959" w:rsidRPr="00CE2959" w:rsidRDefault="00CE2959" w:rsidP="00CE2959">
      <w:pPr>
        <w:pStyle w:val="FigAnchor"/>
      </w:pPr>
    </w:p>
    <w:p w14:paraId="48AA10B5" w14:textId="0AB6DE0D" w:rsidR="00CE2959" w:rsidRDefault="00A61932" w:rsidP="00CE2959">
      <w:r>
        <w:rPr>
          <w:noProof/>
        </w:rPr>
        <w:drawing>
          <wp:inline distT="0" distB="0" distL="0" distR="0" wp14:anchorId="247142FC" wp14:editId="265C1544">
            <wp:extent cx="5312664" cy="5129784"/>
            <wp:effectExtent l="19050" t="19050" r="2159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2664" cy="5129784"/>
                    </a:xfrm>
                    <a:prstGeom prst="rect">
                      <a:avLst/>
                    </a:prstGeom>
                    <a:ln w="6350">
                      <a:solidFill>
                        <a:schemeClr val="bg1">
                          <a:lumMod val="50000"/>
                        </a:schemeClr>
                      </a:solidFill>
                    </a:ln>
                  </pic:spPr>
                </pic:pic>
              </a:graphicData>
            </a:graphic>
          </wp:inline>
        </w:drawing>
      </w:r>
    </w:p>
    <w:p w14:paraId="2764E919" w14:textId="5C300545" w:rsidR="00A61932" w:rsidRDefault="00A61932" w:rsidP="00A61932">
      <w:pPr>
        <w:pStyle w:val="FigCaption"/>
      </w:pPr>
      <w:bookmarkStart w:id="12" w:name="_Ref50790536"/>
      <w:r>
        <w:lastRenderedPageBreak/>
        <w:t xml:space="preserve">Workspace of the KROM, below </w:t>
      </w:r>
      <w:r w:rsidR="000865CF">
        <w:t xml:space="preserve">the </w:t>
      </w:r>
      <w:r>
        <w:t xml:space="preserve">Lake </w:t>
      </w:r>
      <w:proofErr w:type="spellStart"/>
      <w:r>
        <w:t>Ewauna</w:t>
      </w:r>
      <w:proofErr w:type="spellEnd"/>
      <w:r>
        <w:t xml:space="preserve"> Gain</w:t>
      </w:r>
      <w:bookmarkEnd w:id="12"/>
      <w:r w:rsidR="000865CF">
        <w:t xml:space="preserve"> object</w:t>
      </w:r>
    </w:p>
    <w:p w14:paraId="654F19A7" w14:textId="77777777" w:rsidR="00A61932" w:rsidRPr="00CE2959" w:rsidRDefault="00A61932" w:rsidP="00A61932">
      <w:pPr>
        <w:pStyle w:val="FigAnchor"/>
      </w:pPr>
    </w:p>
    <w:p w14:paraId="42BFAE99" w14:textId="1A33AD7F" w:rsidR="00A61932" w:rsidRDefault="00A61932" w:rsidP="00CE2959">
      <w:r>
        <w:rPr>
          <w:noProof/>
        </w:rPr>
        <w:drawing>
          <wp:inline distT="0" distB="0" distL="0" distR="0" wp14:anchorId="4B939F67" wp14:editId="033DCBD7">
            <wp:extent cx="4480560" cy="5330952"/>
            <wp:effectExtent l="19050" t="19050" r="1524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560" cy="5330952"/>
                    </a:xfrm>
                    <a:prstGeom prst="rect">
                      <a:avLst/>
                    </a:prstGeom>
                    <a:ln w="6350">
                      <a:solidFill>
                        <a:schemeClr val="bg1">
                          <a:lumMod val="50000"/>
                        </a:schemeClr>
                      </a:solidFill>
                    </a:ln>
                  </pic:spPr>
                </pic:pic>
              </a:graphicData>
            </a:graphic>
          </wp:inline>
        </w:drawing>
      </w:r>
    </w:p>
    <w:p w14:paraId="6D99D95A" w14:textId="7AD55216" w:rsidR="00CE2959" w:rsidRDefault="008769EF" w:rsidP="00EA565B">
      <w:r>
        <w:t xml:space="preserve">The headwaters of the model start at the Williamson River since it is the most upstream location with data in the PA Calculator. From the Williamson River, the layout represents locations on or directly adjacent to the Klamath River until </w:t>
      </w:r>
      <w:r w:rsidR="0030367C">
        <w:t>Iron Gate Dam (</w:t>
      </w:r>
      <w:r>
        <w:t>IGD</w:t>
      </w:r>
      <w:r w:rsidR="0030367C">
        <w:t xml:space="preserve">) where </w:t>
      </w:r>
      <w:r>
        <w:t>the most do</w:t>
      </w:r>
      <w:r w:rsidR="00CC386A">
        <w:t>wnstream releases are assigned. The Klamath River below IGD is not modeled</w:t>
      </w:r>
      <w:r w:rsidR="000865CF">
        <w:t xml:space="preserve"> as d</w:t>
      </w:r>
      <w:r w:rsidR="00CC386A">
        <w:t xml:space="preserve">ecisions in the KROM are based on meeting flows out of IGD. </w:t>
      </w:r>
    </w:p>
    <w:p w14:paraId="7687704F" w14:textId="77777777" w:rsidR="00CC386A" w:rsidRDefault="00CC386A" w:rsidP="00CC386A">
      <w:r>
        <w:rPr>
          <w:highlight w:val="white"/>
        </w:rPr>
        <w:t>In reality, the system is</w:t>
      </w:r>
      <w:r w:rsidRPr="00CE2959">
        <w:rPr>
          <w:highlight w:val="white"/>
        </w:rPr>
        <w:t xml:space="preserve"> much more physically intricate</w:t>
      </w:r>
      <w:r>
        <w:rPr>
          <w:highlight w:val="white"/>
        </w:rPr>
        <w:t xml:space="preserve"> than the layout shown. The modeled layout is simple </w:t>
      </w:r>
      <w:r w:rsidRPr="00CE2959">
        <w:rPr>
          <w:highlight w:val="white"/>
        </w:rPr>
        <w:t xml:space="preserve">to run operations rather than comprehensively model every process. </w:t>
      </w:r>
      <w:r>
        <w:t xml:space="preserve">The simplified representations of these sections are discussed next. </w:t>
      </w:r>
    </w:p>
    <w:p w14:paraId="3AF0230F" w14:textId="24D7CC76" w:rsidR="008769EF" w:rsidRDefault="008769EF" w:rsidP="0030367C">
      <w:pPr>
        <w:pStyle w:val="Heading3"/>
      </w:pPr>
      <w:bookmarkStart w:id="13" w:name="_heading=h.smz8z5vmxmqe" w:colFirst="0" w:colLast="0"/>
      <w:bookmarkStart w:id="14" w:name="_Toc48817186"/>
      <w:bookmarkEnd w:id="13"/>
      <w:r>
        <w:t xml:space="preserve">Lost River Diversion </w:t>
      </w:r>
      <w:bookmarkEnd w:id="14"/>
      <w:r w:rsidR="00F235C6">
        <w:t>Channel</w:t>
      </w:r>
    </w:p>
    <w:p w14:paraId="297DB7CA" w14:textId="05CB9D4B" w:rsidR="008769EF" w:rsidRDefault="008769EF" w:rsidP="00EA565B">
      <w:r>
        <w:t>The Lost River Diversion C</w:t>
      </w:r>
      <w:r w:rsidR="00F235C6">
        <w:t>hannel</w:t>
      </w:r>
      <w:r>
        <w:t xml:space="preserve"> (LRDC) system encompasses the section of the workspace that starts as the flows </w:t>
      </w:r>
      <w:r w:rsidR="00CE2959">
        <w:t>diverted from the Lost River at</w:t>
      </w:r>
      <w:r>
        <w:t xml:space="preserve"> Wilson </w:t>
      </w:r>
      <w:r w:rsidR="000865CF">
        <w:t xml:space="preserve">Dam and ends at the canal’s </w:t>
      </w:r>
      <w:r>
        <w:t xml:space="preserve">flow into the Klamath River. Additionally, it includes the transfer from the Klamath River to the LRDC. </w:t>
      </w:r>
      <w:r w:rsidR="00CE2959">
        <w:t>T</w:t>
      </w:r>
      <w:r>
        <w:t xml:space="preserve">he flows from the Lost </w:t>
      </w:r>
      <w:r>
        <w:lastRenderedPageBreak/>
        <w:t>River to the LRDC</w:t>
      </w:r>
      <w:r w:rsidR="00CE2959">
        <w:t xml:space="preserve"> are either input or forecasted</w:t>
      </w:r>
      <w:r>
        <w:t>. Sections upstream or downst</w:t>
      </w:r>
      <w:r w:rsidR="00CE2959">
        <w:t>ream from Wilson Dam are not modeled.</w:t>
      </w:r>
    </w:p>
    <w:p w14:paraId="570082D8" w14:textId="77777777" w:rsidR="008769EF" w:rsidRDefault="008769EF" w:rsidP="0030367C">
      <w:pPr>
        <w:pStyle w:val="Heading3"/>
      </w:pPr>
      <w:bookmarkStart w:id="15" w:name="_heading=h.lz7f9l6m9pi8" w:colFirst="0" w:colLast="0"/>
      <w:bookmarkStart w:id="16" w:name="_Toc48817187"/>
      <w:bookmarkEnd w:id="15"/>
      <w:r>
        <w:t>Klamath Project</w:t>
      </w:r>
      <w:bookmarkEnd w:id="16"/>
    </w:p>
    <w:p w14:paraId="49A876BA" w14:textId="6F5DF23A" w:rsidR="00EA565B" w:rsidRDefault="008769EF" w:rsidP="008769EF">
      <w:r>
        <w:t>The Klamath Project covers the network of canals, pumps, and water users on the workspace that make up the basin’s agricultural and refuge lands. These lands are classified into two regions, Area 1 and Area 2. Area 1 represents the Klamath</w:t>
      </w:r>
      <w:r w:rsidR="00CE2959">
        <w:t xml:space="preserve"> Irrigation District (KID)</w:t>
      </w:r>
      <w:r w:rsidR="00F235C6">
        <w:t xml:space="preserve"> and </w:t>
      </w:r>
      <w:proofErr w:type="spellStart"/>
      <w:r w:rsidR="00F235C6">
        <w:t>Tulelake</w:t>
      </w:r>
      <w:proofErr w:type="spellEnd"/>
      <w:r w:rsidR="00F235C6">
        <w:t xml:space="preserve"> Irrigation District (TID)</w:t>
      </w:r>
      <w:r w:rsidR="00CE2959">
        <w:t xml:space="preserve"> including </w:t>
      </w:r>
      <w:r>
        <w:t xml:space="preserve">A Canal, Station 48, and Miller Hill Pump supply with diversions. Area 2 represents the Refuge and Klamath </w:t>
      </w:r>
      <w:r w:rsidR="00F235C6">
        <w:t xml:space="preserve">Drainage </w:t>
      </w:r>
      <w:r>
        <w:t xml:space="preserve">District </w:t>
      </w:r>
      <w:r w:rsidR="00F235C6">
        <w:t xml:space="preserve">(KDD) </w:t>
      </w:r>
      <w:r>
        <w:t xml:space="preserve">that North and </w:t>
      </w:r>
      <w:proofErr w:type="spellStart"/>
      <w:r>
        <w:t>Ady</w:t>
      </w:r>
      <w:proofErr w:type="spellEnd"/>
      <w:r>
        <w:t xml:space="preserve"> Canal supply with diversions. F/FF Pump returns runoff flow back to the Klamath River. Secondary reaches and diversion objects are represented in Area 2 to split flows between the two water users. </w:t>
      </w:r>
    </w:p>
    <w:p w14:paraId="45A60773" w14:textId="404586C9" w:rsidR="008769EF" w:rsidRDefault="008769EF" w:rsidP="0030367C">
      <w:pPr>
        <w:pStyle w:val="Heading3"/>
      </w:pPr>
      <w:bookmarkStart w:id="17" w:name="_heading=h.fymszhn6wjgz" w:colFirst="0" w:colLast="0"/>
      <w:bookmarkStart w:id="18" w:name="_Toc48817188"/>
      <w:bookmarkEnd w:id="17"/>
      <w:r>
        <w:t xml:space="preserve">PacifiCorp </w:t>
      </w:r>
      <w:bookmarkEnd w:id="18"/>
      <w:r w:rsidR="00CC386A">
        <w:t>projects</w:t>
      </w:r>
    </w:p>
    <w:p w14:paraId="0D78AB1C" w14:textId="4650B120" w:rsidR="008769EF" w:rsidRDefault="008769EF" w:rsidP="008769EF">
      <w:r>
        <w:t xml:space="preserve">The facilities </w:t>
      </w:r>
      <w:r w:rsidR="00CE2959">
        <w:t xml:space="preserve">managed by </w:t>
      </w:r>
      <w:r>
        <w:t>PacifiCorp include the stretch of objects on the Klamath River that start at Keno Dam, conti</w:t>
      </w:r>
      <w:r w:rsidR="00CE2959">
        <w:t>nue through both a lag and gain</w:t>
      </w:r>
      <w:r>
        <w:t xml:space="preserve"> reach, and end at IGD. The gains and lag represent the </w:t>
      </w:r>
      <w:r w:rsidR="00CE2959">
        <w:t>lumped local inflows and losses</w:t>
      </w:r>
      <w:r>
        <w:t xml:space="preserve"> between the reservoirs and total travel time between the workspace’s headwaters and </w:t>
      </w:r>
      <w:proofErr w:type="spellStart"/>
      <w:r>
        <w:t>tailwaters</w:t>
      </w:r>
      <w:proofErr w:type="spellEnd"/>
      <w:r>
        <w:t xml:space="preserve"> respectively. In addition to Keno Dam and IGD, PacifiCorp also manages two reservoirs between called JC Boyle and Copco 1</w:t>
      </w:r>
      <w:r w:rsidR="00CC386A">
        <w:t xml:space="preserve"> and another hydropower facility at Copco 2</w:t>
      </w:r>
      <w:r>
        <w:t xml:space="preserve">. </w:t>
      </w:r>
      <w:r w:rsidR="00B06AB0">
        <w:t>These are</w:t>
      </w:r>
      <w:r>
        <w:t xml:space="preserve"> exclude</w:t>
      </w:r>
      <w:r w:rsidR="00B06AB0">
        <w:t>d</w:t>
      </w:r>
      <w:r>
        <w:t xml:space="preserve"> those from the model since PacifiCorp does not provide the logic nor data to solve for them.</w:t>
      </w:r>
    </w:p>
    <w:p w14:paraId="69490CF6" w14:textId="77777777" w:rsidR="008769EF" w:rsidRDefault="008769EF" w:rsidP="00EA565B">
      <w:pPr>
        <w:pStyle w:val="Heading2"/>
      </w:pPr>
      <w:bookmarkStart w:id="19" w:name="_Toc48817189"/>
      <w:bookmarkStart w:id="20" w:name="_Toc48817250"/>
      <w:r>
        <w:t>Objects and Methods</w:t>
      </w:r>
      <w:bookmarkEnd w:id="19"/>
      <w:bookmarkEnd w:id="20"/>
    </w:p>
    <w:p w14:paraId="6EF9AB12" w14:textId="31BADDBF" w:rsidR="008769EF" w:rsidRPr="002A0A1F" w:rsidRDefault="008769EF" w:rsidP="002A0A1F">
      <w:pPr>
        <w:pBdr>
          <w:top w:val="nil"/>
          <w:left w:val="nil"/>
          <w:bottom w:val="nil"/>
          <w:right w:val="nil"/>
          <w:between w:val="nil"/>
        </w:pBdr>
      </w:pPr>
      <w:r>
        <w:t xml:space="preserve">The physical </w:t>
      </w:r>
      <w:r w:rsidRPr="002A0A1F">
        <w:t xml:space="preserve">features in the Klamath River Basin are represented </w:t>
      </w:r>
      <w:r w:rsidR="00CE2959" w:rsidRPr="002A0A1F">
        <w:t>by the following</w:t>
      </w:r>
      <w:r w:rsidRPr="002A0A1F">
        <w:t xml:space="preserve"> types of objects on the workspace: Storage Reservoir, Reach, Diversion Object, Water User, C</w:t>
      </w:r>
      <w:r w:rsidR="00CE2959" w:rsidRPr="002A0A1F">
        <w:t xml:space="preserve">onfluence, Data Object, </w:t>
      </w:r>
      <w:r w:rsidRPr="002A0A1F">
        <w:t>Inline Pump</w:t>
      </w:r>
      <w:r w:rsidR="00CE2959" w:rsidRPr="002A0A1F">
        <w:t xml:space="preserve"> and Stream Gage</w:t>
      </w:r>
      <w:r w:rsidRPr="002A0A1F">
        <w:t>. Each object represents physical</w:t>
      </w:r>
      <w:r>
        <w:t xml:space="preserve"> processes and contains physical data that the model uses to route flows, as part of operating policies, and</w:t>
      </w:r>
      <w:r w:rsidRPr="002A0A1F">
        <w:t xml:space="preserve"> forecast hydrology. </w:t>
      </w:r>
    </w:p>
    <w:p w14:paraId="4D4D4641" w14:textId="77777777" w:rsidR="008769EF" w:rsidRDefault="008769EF" w:rsidP="0030367C">
      <w:pPr>
        <w:pStyle w:val="Heading3"/>
      </w:pPr>
      <w:bookmarkStart w:id="21" w:name="_Toc48817190"/>
      <w:r>
        <w:t>Storage Reservoirs</w:t>
      </w:r>
      <w:bookmarkEnd w:id="21"/>
    </w:p>
    <w:p w14:paraId="288D0D3F" w14:textId="03031382" w:rsidR="008769EF" w:rsidRDefault="008769EF" w:rsidP="00CE2959">
      <w:r>
        <w:t>The Storage Reservoirs represent reservoirs with a release and spillways. Since Reclamation does not manage the basin’s hydropower operations, which is done by PacifiCorp, all the reservoirs</w:t>
      </w:r>
      <w:r w:rsidR="00CE2959">
        <w:t xml:space="preserve"> are modeled</w:t>
      </w:r>
      <w:r>
        <w:t xml:space="preserve"> as</w:t>
      </w:r>
      <w:r w:rsidRPr="00CE2959">
        <w:t xml:space="preserve"> </w:t>
      </w:r>
      <w:r>
        <w:t>Storage Reservoirs. IGD’s energy production</w:t>
      </w:r>
      <w:r w:rsidR="00CE2959">
        <w:t xml:space="preserve"> is also excluded</w:t>
      </w:r>
      <w:r>
        <w:t xml:space="preserve">. The reservoir’s storage is a function of the pool elevation, which the model determines with the Elevation Volume Table. In the PA Calculator, that table is available for UKL. For Keno and IGD, tables </w:t>
      </w:r>
      <w:r w:rsidR="00B06AB0">
        <w:t xml:space="preserve">were </w:t>
      </w:r>
      <w:r>
        <w:t>provided by Reclamation from previous modeling studies</w:t>
      </w:r>
      <w:r>
        <w:rPr>
          <w:vertAlign w:val="superscript"/>
        </w:rPr>
        <w:footnoteReference w:id="1"/>
      </w:r>
      <w:r>
        <w:t>. On the Storage Reservoir, the total Outflow is composed of Spill and Release. In many models, Release represents a low flow control structure, while Spill represents either controlled gates or uncontrolled spillway crests. In this model, the Release represent</w:t>
      </w:r>
      <w:r w:rsidR="00B06AB0">
        <w:t>s</w:t>
      </w:r>
      <w:r>
        <w:t xml:space="preserve"> the entire outflow; spill remain</w:t>
      </w:r>
      <w:r w:rsidR="00CE2959">
        <w:t xml:space="preserve">s zero. Thus, </w:t>
      </w:r>
      <w:r>
        <w:t>the “Spill” method</w:t>
      </w:r>
      <w:r w:rsidR="00CE2959">
        <w:t xml:space="preserve"> is set to “None”. Additionally, UKL</w:t>
      </w:r>
      <w:r>
        <w:t xml:space="preserve"> directly supplies a diversion canal. Its “Diversion from Reservoir” method is set to “Available Flow Based Diversion”.</w:t>
      </w:r>
    </w:p>
    <w:p w14:paraId="4641F75D" w14:textId="77777777" w:rsidR="008769EF" w:rsidRDefault="008769EF" w:rsidP="0030367C">
      <w:pPr>
        <w:pStyle w:val="Heading3"/>
      </w:pPr>
      <w:bookmarkStart w:id="22" w:name="_Toc48817191"/>
      <w:r>
        <w:t>Reaches</w:t>
      </w:r>
      <w:bookmarkEnd w:id="22"/>
    </w:p>
    <w:p w14:paraId="6BBB7D94" w14:textId="147A33BC" w:rsidR="008769EF" w:rsidRDefault="008769EF" w:rsidP="00CE2959">
      <w:r>
        <w:t>A Reach represents a section of the river that routes water downstream. In a</w:t>
      </w:r>
      <w:r w:rsidR="00F45552">
        <w:t>ddition to downstream passage, r</w:t>
      </w:r>
      <w:r>
        <w:t xml:space="preserve">eaches may </w:t>
      </w:r>
      <w:r w:rsidR="00CE2959">
        <w:t xml:space="preserve">have </w:t>
      </w:r>
      <w:r>
        <w:t>accretions</w:t>
      </w:r>
      <w:r w:rsidR="00CE2959">
        <w:t xml:space="preserve"> (called Local Inflows in RiverWare)</w:t>
      </w:r>
      <w:r w:rsidR="00F45552">
        <w:t xml:space="preserve">, </w:t>
      </w:r>
      <w:r>
        <w:t xml:space="preserve">diversions, and sometimes lag the flow. </w:t>
      </w:r>
      <w:r w:rsidR="00F45552">
        <w:t>Each process is described further:</w:t>
      </w:r>
    </w:p>
    <w:p w14:paraId="12CD8BF5" w14:textId="5F54520B" w:rsidR="008769EF" w:rsidRDefault="008769EF" w:rsidP="00F45552">
      <w:pPr>
        <w:pStyle w:val="ListBullet"/>
      </w:pPr>
      <w:r>
        <w:rPr>
          <w:b/>
        </w:rPr>
        <w:lastRenderedPageBreak/>
        <w:t>Diversions:</w:t>
      </w:r>
      <w:r w:rsidR="00CE2959">
        <w:t xml:space="preserve"> T</w:t>
      </w:r>
      <w:r>
        <w:t xml:space="preserve">he “Diversion from Reach” method </w:t>
      </w:r>
      <w:r w:rsidR="00CE2959">
        <w:t xml:space="preserve">is set </w:t>
      </w:r>
      <w:r>
        <w:t xml:space="preserve">to “Available Flow Based Diversion”, which creates a diversion slot that links to the adjacent Diversion Object. The LRDC Draw from Klamath, Diversion to Miller, Diversion to Station 48, Diversion to </w:t>
      </w:r>
      <w:proofErr w:type="spellStart"/>
      <w:r>
        <w:t>Ady</w:t>
      </w:r>
      <w:proofErr w:type="spellEnd"/>
      <w:r>
        <w:t>, and Diversion to North are Reaches with this configuration.</w:t>
      </w:r>
    </w:p>
    <w:p w14:paraId="727EECC6" w14:textId="74A233F4" w:rsidR="008769EF" w:rsidRDefault="008769EF" w:rsidP="00F45552">
      <w:pPr>
        <w:pStyle w:val="ListBullet"/>
      </w:pPr>
      <w:r>
        <w:rPr>
          <w:b/>
        </w:rPr>
        <w:t>Accretions:</w:t>
      </w:r>
      <w:r>
        <w:t xml:space="preserve"> If the accretion comes as an influx from the surrounding </w:t>
      </w:r>
      <w:r w:rsidR="00CE2959">
        <w:t>area</w:t>
      </w:r>
      <w:r>
        <w:t xml:space="preserve">, the “Local Inflow and Solution Direction” </w:t>
      </w:r>
      <w:r w:rsidR="00CE2959">
        <w:t xml:space="preserve">is set </w:t>
      </w:r>
      <w:r>
        <w:t xml:space="preserve">to “Specify Local Inflow, Solve Outflow” or “Solve Local Inflow”. This creates a slot </w:t>
      </w:r>
      <w:r w:rsidR="00CE2959">
        <w:t>to</w:t>
      </w:r>
      <w:r>
        <w:t xml:space="preserve"> set or solve the hydrologic gain. The Reaches w</w:t>
      </w:r>
      <w:r w:rsidR="00CE2959">
        <w:t>ith “Gain” in their name use this method</w:t>
      </w:r>
      <w:r>
        <w:t xml:space="preserve">. If the accretion comes as a return flow from a pump, the Reach’s return flow slot </w:t>
      </w:r>
      <w:r w:rsidR="00CE2959">
        <w:t xml:space="preserve">is linked </w:t>
      </w:r>
      <w:r>
        <w:t xml:space="preserve">to the outflow slot of the pump, and set no method. The Returns and </w:t>
      </w:r>
      <w:proofErr w:type="gramStart"/>
      <w:r>
        <w:t>Pumping</w:t>
      </w:r>
      <w:proofErr w:type="gramEnd"/>
      <w:r>
        <w:t xml:space="preserve"> </w:t>
      </w:r>
      <w:r w:rsidR="00CE2959">
        <w:t>r</w:t>
      </w:r>
      <w:r>
        <w:t xml:space="preserve">each </w:t>
      </w:r>
      <w:r w:rsidR="00CE2959">
        <w:t>has</w:t>
      </w:r>
      <w:r>
        <w:t xml:space="preserve"> this configuration.</w:t>
      </w:r>
    </w:p>
    <w:p w14:paraId="0A4E5FAB" w14:textId="32492E70" w:rsidR="008769EF" w:rsidRDefault="008769EF" w:rsidP="00F45552">
      <w:pPr>
        <w:pStyle w:val="ListBullet"/>
      </w:pPr>
      <w:r>
        <w:rPr>
          <w:b/>
        </w:rPr>
        <w:t>Lag:</w:t>
      </w:r>
      <w:r>
        <w:t xml:space="preserve"> While incremental in reality, the model represents </w:t>
      </w:r>
      <w:r w:rsidR="00CE2959">
        <w:t xml:space="preserve">lag </w:t>
      </w:r>
      <w:r>
        <w:t xml:space="preserve">as </w:t>
      </w:r>
      <w:r w:rsidR="00CE2959">
        <w:t>a single</w:t>
      </w:r>
      <w:r>
        <w:t xml:space="preserve"> lag on the Keno to IGD Lag object. For this Reach, the “Routing” method </w:t>
      </w:r>
      <w:r w:rsidR="00CE2959">
        <w:t xml:space="preserve">is set </w:t>
      </w:r>
      <w:r>
        <w:t xml:space="preserve">to “Time Lag”. The time lag duration is 3 days, which is taken from the PA Calculator, and is set on the lag </w:t>
      </w:r>
      <w:r w:rsidR="00F45552">
        <w:t xml:space="preserve">time </w:t>
      </w:r>
      <w:r>
        <w:t>slot.</w:t>
      </w:r>
    </w:p>
    <w:p w14:paraId="7BB8E0C9" w14:textId="77777777" w:rsidR="008769EF" w:rsidRDefault="008769EF" w:rsidP="0030367C">
      <w:pPr>
        <w:pStyle w:val="Heading3"/>
      </w:pPr>
      <w:bookmarkStart w:id="23" w:name="_heading=h.vbkth9tb8plh" w:colFirst="0" w:colLast="0"/>
      <w:bookmarkStart w:id="24" w:name="_Toc48817192"/>
      <w:bookmarkEnd w:id="23"/>
      <w:r>
        <w:t>Diversion Objects</w:t>
      </w:r>
      <w:bookmarkEnd w:id="24"/>
    </w:p>
    <w:p w14:paraId="7E946BA9" w14:textId="2E5FF135" w:rsidR="008769EF" w:rsidRDefault="008769EF" w:rsidP="008769EF">
      <w:pPr>
        <w:pBdr>
          <w:top w:val="nil"/>
          <w:left w:val="nil"/>
          <w:bottom w:val="nil"/>
          <w:right w:val="nil"/>
          <w:between w:val="nil"/>
        </w:pBdr>
      </w:pPr>
      <w:r>
        <w:t xml:space="preserve">A Diversion Object represents the physical structure that diverts water from a reach or reservoir. In the Klamath Basin, this is either a canal or pump, which transports water to the irrigation districts and/or refuge lands. The Diversion Object’s diversion slot links to the adjacent reach’s or reservoir’s diversion slot. As for the irrigation district and/or refuge lands, its diversion slot links to the Diversion Object’s outflow slot. </w:t>
      </w:r>
      <w:r w:rsidR="00B06AB0">
        <w:t>T</w:t>
      </w:r>
      <w:r>
        <w:t xml:space="preserve">he Diversion Object’s methods </w:t>
      </w:r>
      <w:r w:rsidR="00B06AB0">
        <w:t xml:space="preserve">are </w:t>
      </w:r>
      <w:r>
        <w:t>as follows:</w:t>
      </w:r>
    </w:p>
    <w:p w14:paraId="1EF34149" w14:textId="332D1E7A" w:rsidR="008769EF" w:rsidRDefault="008769EF" w:rsidP="008769EF">
      <w:pPr>
        <w:numPr>
          <w:ilvl w:val="0"/>
          <w:numId w:val="24"/>
        </w:numPr>
        <w:pBdr>
          <w:top w:val="nil"/>
          <w:left w:val="nil"/>
          <w:bottom w:val="nil"/>
          <w:right w:val="nil"/>
          <w:between w:val="nil"/>
        </w:pBdr>
        <w:spacing w:before="0" w:line="259" w:lineRule="auto"/>
      </w:pPr>
      <w:r>
        <w:t xml:space="preserve">“Diversion Object Solution Direction” </w:t>
      </w:r>
      <w:r w:rsidR="00BD1E52">
        <w:t>category:</w:t>
      </w:r>
      <w:r>
        <w:t xml:space="preserve"> “Solve for Outflow”</w:t>
      </w:r>
      <w:r w:rsidR="00BD1E52">
        <w:t xml:space="preserve"> method</w:t>
      </w:r>
    </w:p>
    <w:p w14:paraId="751C4FFA" w14:textId="4E67F767" w:rsidR="008769EF" w:rsidRDefault="008769EF" w:rsidP="008769EF">
      <w:pPr>
        <w:numPr>
          <w:ilvl w:val="0"/>
          <w:numId w:val="24"/>
        </w:numPr>
        <w:pBdr>
          <w:top w:val="nil"/>
          <w:left w:val="nil"/>
          <w:bottom w:val="nil"/>
          <w:right w:val="nil"/>
          <w:between w:val="nil"/>
        </w:pBdr>
        <w:spacing w:before="0" w:line="259" w:lineRule="auto"/>
      </w:pPr>
      <w:r>
        <w:t>“Diversion Request”</w:t>
      </w:r>
      <w:r w:rsidR="00BD1E52">
        <w:t xml:space="preserve"> category: </w:t>
      </w:r>
      <w:r>
        <w:t xml:space="preserve"> “Input Diversion Request”</w:t>
      </w:r>
      <w:r w:rsidR="00BD1E52">
        <w:t xml:space="preserve"> method</w:t>
      </w:r>
    </w:p>
    <w:p w14:paraId="5A352E71" w14:textId="410CAB33" w:rsidR="008769EF" w:rsidRDefault="00BD1E52" w:rsidP="008769EF">
      <w:pPr>
        <w:numPr>
          <w:ilvl w:val="0"/>
          <w:numId w:val="24"/>
        </w:numPr>
        <w:pBdr>
          <w:top w:val="nil"/>
          <w:left w:val="nil"/>
          <w:bottom w:val="nil"/>
          <w:right w:val="nil"/>
          <w:between w:val="nil"/>
        </w:pBdr>
        <w:spacing w:before="0" w:after="160" w:line="259" w:lineRule="auto"/>
      </w:pPr>
      <w:r>
        <w:t>“Available Flow” category:</w:t>
      </w:r>
      <w:r w:rsidR="008769EF">
        <w:t xml:space="preserve"> “Available Flow Diversion”</w:t>
      </w:r>
      <w:r>
        <w:t xml:space="preserve"> method</w:t>
      </w:r>
    </w:p>
    <w:p w14:paraId="4543925F" w14:textId="77777777" w:rsidR="008769EF" w:rsidRDefault="008769EF" w:rsidP="0030367C">
      <w:pPr>
        <w:pStyle w:val="Heading3"/>
      </w:pPr>
      <w:bookmarkStart w:id="25" w:name="_heading=h.p0grjvgn0ni" w:colFirst="0" w:colLast="0"/>
      <w:bookmarkStart w:id="26" w:name="_Toc48817193"/>
      <w:bookmarkEnd w:id="25"/>
      <w:r>
        <w:t>Water Users</w:t>
      </w:r>
      <w:bookmarkEnd w:id="26"/>
    </w:p>
    <w:p w14:paraId="4C5320E0" w14:textId="20F60D1D" w:rsidR="008769EF" w:rsidRDefault="008769EF" w:rsidP="008769EF">
      <w:pPr>
        <w:pBdr>
          <w:top w:val="nil"/>
          <w:left w:val="nil"/>
          <w:bottom w:val="nil"/>
          <w:right w:val="nil"/>
          <w:between w:val="nil"/>
        </w:pBdr>
      </w:pPr>
      <w:r>
        <w:t xml:space="preserve">A Water User represents irrigation districts or refuge lands along the Klamath River. On the Water User, the </w:t>
      </w:r>
      <w:r w:rsidR="00BD1E52">
        <w:t xml:space="preserve">solution equations represent the </w:t>
      </w:r>
      <w:r>
        <w:t>diversion</w:t>
      </w:r>
      <w:r w:rsidR="00BD1E52">
        <w:t xml:space="preserve"> of water, depletion (consumption)</w:t>
      </w:r>
      <w:r>
        <w:t xml:space="preserve"> and return flow</w:t>
      </w:r>
      <w:r w:rsidR="00BD1E52">
        <w:t xml:space="preserve"> of unused water</w:t>
      </w:r>
      <w:r>
        <w:t xml:space="preserve">. The return flow is </w:t>
      </w:r>
      <w:r w:rsidR="00BD1E52">
        <w:t>not modeled</w:t>
      </w:r>
      <w:r>
        <w:t xml:space="preserve"> since there is no explicit logic that computes it in the PA Calculator. Rather, the PA Calculator assumes that the return flow contributes some unknown portion to the accretion. The model includes the return flow for Area 2’s Water Users</w:t>
      </w:r>
      <w:r w:rsidR="00F45552">
        <w:t>, KDD</w:t>
      </w:r>
      <w:r w:rsidR="00F051C7">
        <w:t>, si</w:t>
      </w:r>
      <w:bookmarkStart w:id="27" w:name="_GoBack"/>
      <w:bookmarkEnd w:id="27"/>
      <w:r w:rsidR="00F051C7">
        <w:t>nce</w:t>
      </w:r>
      <w:r>
        <w:t xml:space="preserve"> it can estimate the return flow proportions with algebra between the objects’ known physical processes. The algebra works because two canals divert water from the river and one pump returns it back. As for Area 1, </w:t>
      </w:r>
      <w:r w:rsidR="00BD1E52">
        <w:t>the canals</w:t>
      </w:r>
      <w:r>
        <w:t xml:space="preserve"> divert water, but lack the location where water returns back to the river. Thus, the</w:t>
      </w:r>
      <w:r w:rsidR="00F45552">
        <w:t>re are no</w:t>
      </w:r>
      <w:r>
        <w:t xml:space="preserve"> Water User</w:t>
      </w:r>
      <w:r w:rsidR="00F45552">
        <w:t>s</w:t>
      </w:r>
      <w:r>
        <w:t xml:space="preserve"> in Area 1. </w:t>
      </w:r>
      <w:r w:rsidR="00B06AB0">
        <w:t>T</w:t>
      </w:r>
      <w:r>
        <w:t xml:space="preserve">he methods on the Water Users </w:t>
      </w:r>
      <w:r w:rsidR="00B06AB0">
        <w:t xml:space="preserve">are </w:t>
      </w:r>
      <w:r>
        <w:t>as follows:</w:t>
      </w:r>
    </w:p>
    <w:p w14:paraId="2C210D77" w14:textId="29E4E9AC" w:rsidR="008769EF" w:rsidRDefault="008769EF" w:rsidP="008769EF">
      <w:pPr>
        <w:numPr>
          <w:ilvl w:val="0"/>
          <w:numId w:val="23"/>
        </w:numPr>
        <w:pBdr>
          <w:top w:val="nil"/>
          <w:left w:val="nil"/>
          <w:bottom w:val="nil"/>
          <w:right w:val="nil"/>
          <w:between w:val="nil"/>
        </w:pBdr>
        <w:spacing w:before="0" w:line="259" w:lineRule="auto"/>
      </w:pPr>
      <w:r>
        <w:t xml:space="preserve">“Diversion and Depletion Request” </w:t>
      </w:r>
      <w:r w:rsidR="00BD1E52">
        <w:t>category:</w:t>
      </w:r>
      <w:r>
        <w:t xml:space="preserve"> “Input Request”</w:t>
      </w:r>
      <w:r w:rsidR="00BD1E52">
        <w:t xml:space="preserve"> method</w:t>
      </w:r>
    </w:p>
    <w:p w14:paraId="0B0E4AC7" w14:textId="3E02BA6D" w:rsidR="008769EF" w:rsidRDefault="008769EF" w:rsidP="008769EF">
      <w:pPr>
        <w:numPr>
          <w:ilvl w:val="0"/>
          <w:numId w:val="23"/>
        </w:numPr>
        <w:pBdr>
          <w:top w:val="nil"/>
          <w:left w:val="nil"/>
          <w:bottom w:val="nil"/>
          <w:right w:val="nil"/>
          <w:between w:val="nil"/>
        </w:pBdr>
        <w:spacing w:before="0" w:line="259" w:lineRule="auto"/>
      </w:pPr>
      <w:r>
        <w:t xml:space="preserve">“Return Flow” </w:t>
      </w:r>
      <w:r w:rsidR="00BD1E52">
        <w:t xml:space="preserve">category: </w:t>
      </w:r>
      <w:r>
        <w:t>“Fraction Return Flow”</w:t>
      </w:r>
      <w:r w:rsidR="00BD1E52">
        <w:t xml:space="preserve"> method</w:t>
      </w:r>
    </w:p>
    <w:p w14:paraId="3E575EC7" w14:textId="796AB057" w:rsidR="008769EF" w:rsidRDefault="008769EF" w:rsidP="008769EF">
      <w:pPr>
        <w:numPr>
          <w:ilvl w:val="0"/>
          <w:numId w:val="23"/>
        </w:numPr>
        <w:pBdr>
          <w:top w:val="nil"/>
          <w:left w:val="nil"/>
          <w:bottom w:val="nil"/>
          <w:right w:val="nil"/>
          <w:between w:val="nil"/>
        </w:pBdr>
        <w:spacing w:before="0" w:after="160" w:line="259" w:lineRule="auto"/>
      </w:pPr>
      <w:r>
        <w:t>“Fraction Return Flow Input”</w:t>
      </w:r>
      <w:r w:rsidR="00BD1E52">
        <w:t xml:space="preserve"> category: </w:t>
      </w:r>
      <w:r>
        <w:t>“Input Fraction”</w:t>
      </w:r>
      <w:r w:rsidR="00BD1E52">
        <w:t xml:space="preserve"> method</w:t>
      </w:r>
    </w:p>
    <w:p w14:paraId="38DBD1C2" w14:textId="77777777" w:rsidR="008769EF" w:rsidRDefault="008769EF" w:rsidP="0030367C">
      <w:pPr>
        <w:pStyle w:val="Heading3"/>
      </w:pPr>
      <w:bookmarkStart w:id="28" w:name="_heading=h.u5jlitiq9jlh" w:colFirst="0" w:colLast="0"/>
      <w:bookmarkStart w:id="29" w:name="_Toc48817194"/>
      <w:bookmarkEnd w:id="28"/>
      <w:r>
        <w:t>Inline Pumps</w:t>
      </w:r>
      <w:bookmarkEnd w:id="29"/>
    </w:p>
    <w:p w14:paraId="640AD4AB" w14:textId="518C94B0" w:rsidR="008769EF" w:rsidRDefault="008769EF" w:rsidP="008769EF">
      <w:r>
        <w:t>An Inline Pump is RiverWare’s representa</w:t>
      </w:r>
      <w:r w:rsidR="00B14033">
        <w:t>tion of a pumping station. T</w:t>
      </w:r>
      <w:r>
        <w:t xml:space="preserve">he “Inline Pump Solution Direction” </w:t>
      </w:r>
      <w:r w:rsidR="00B14033">
        <w:t xml:space="preserve">category uses the </w:t>
      </w:r>
      <w:r>
        <w:t>“Solve Downstream”</w:t>
      </w:r>
      <w:r w:rsidR="00B14033">
        <w:t xml:space="preserve"> method</w:t>
      </w:r>
      <w:r>
        <w:t xml:space="preserve">, which prevents looping errors. No energy consumption or head is modeled in this model. </w:t>
      </w:r>
    </w:p>
    <w:p w14:paraId="0E8D921F" w14:textId="77777777" w:rsidR="008769EF" w:rsidRDefault="008769EF" w:rsidP="0030367C">
      <w:pPr>
        <w:pStyle w:val="Heading3"/>
      </w:pPr>
      <w:bookmarkStart w:id="30" w:name="_heading=h.3ihro2uxabut" w:colFirst="0" w:colLast="0"/>
      <w:bookmarkStart w:id="31" w:name="_Toc48817195"/>
      <w:bookmarkEnd w:id="30"/>
      <w:r>
        <w:t>Confluences</w:t>
      </w:r>
      <w:bookmarkEnd w:id="31"/>
    </w:p>
    <w:p w14:paraId="682B5540" w14:textId="1291D7F8" w:rsidR="008769EF" w:rsidRDefault="008769EF" w:rsidP="008769EF">
      <w:pPr>
        <w:pBdr>
          <w:top w:val="nil"/>
          <w:left w:val="nil"/>
          <w:bottom w:val="nil"/>
          <w:right w:val="nil"/>
          <w:between w:val="nil"/>
        </w:pBdr>
      </w:pPr>
      <w:r>
        <w:t xml:space="preserve">A Confluence represents a flow junction with two inflows and one outflow. </w:t>
      </w:r>
      <w:r w:rsidR="00B14033">
        <w:t xml:space="preserve">The </w:t>
      </w:r>
      <w:r>
        <w:t>“Confluence Solution Direction</w:t>
      </w:r>
      <w:r w:rsidR="00B14033">
        <w:t xml:space="preserve">” category is uses the </w:t>
      </w:r>
      <w:r>
        <w:t xml:space="preserve">“Solve Downstream Only” </w:t>
      </w:r>
      <w:r w:rsidR="00B14033">
        <w:t xml:space="preserve">method </w:t>
      </w:r>
      <w:r>
        <w:t>to prevent looping errors.</w:t>
      </w:r>
    </w:p>
    <w:p w14:paraId="2327DDA7" w14:textId="7F033B26" w:rsidR="0030367C" w:rsidRDefault="0030367C" w:rsidP="0030367C">
      <w:pPr>
        <w:pStyle w:val="Heading3"/>
      </w:pPr>
      <w:r>
        <w:lastRenderedPageBreak/>
        <w:t>Stream Gages</w:t>
      </w:r>
    </w:p>
    <w:p w14:paraId="4B6F119B" w14:textId="222BF92C" w:rsidR="0030367C" w:rsidRDefault="0030367C" w:rsidP="008769EF">
      <w:pPr>
        <w:pBdr>
          <w:top w:val="nil"/>
          <w:left w:val="nil"/>
          <w:bottom w:val="nil"/>
          <w:right w:val="nil"/>
          <w:between w:val="nil"/>
        </w:pBdr>
        <w:rPr>
          <w:highlight w:val="yellow"/>
        </w:rPr>
      </w:pPr>
      <w:r>
        <w:t>A stream gage represents a point in the system where a gage collects data.</w:t>
      </w:r>
      <w:r w:rsidR="002A0A1F">
        <w:t xml:space="preserve"> Gage names include the USGS gage number.</w:t>
      </w:r>
      <w:r>
        <w:t xml:space="preserve"> </w:t>
      </w:r>
    </w:p>
    <w:p w14:paraId="6172559C" w14:textId="77777777" w:rsidR="008769EF" w:rsidRDefault="008769EF" w:rsidP="0030367C">
      <w:pPr>
        <w:pStyle w:val="Heading3"/>
      </w:pPr>
      <w:bookmarkStart w:id="32" w:name="_heading=h.cl0qfgbp6dz7" w:colFirst="0" w:colLast="0"/>
      <w:bookmarkStart w:id="33" w:name="_Toc48817196"/>
      <w:bookmarkEnd w:id="32"/>
      <w:r>
        <w:t>Data Objects</w:t>
      </w:r>
      <w:bookmarkEnd w:id="33"/>
      <w:r>
        <w:t xml:space="preserve"> </w:t>
      </w:r>
    </w:p>
    <w:p w14:paraId="7A4B27F2" w14:textId="707AD352" w:rsidR="008769EF" w:rsidRDefault="008769EF" w:rsidP="008769EF">
      <w:r>
        <w:t xml:space="preserve">A Data Object is an object that holds user-defined data </w:t>
      </w:r>
      <w:r w:rsidR="00B06AB0">
        <w:t xml:space="preserve">in the model. In this model, </w:t>
      </w:r>
      <w:r>
        <w:t>data</w:t>
      </w:r>
      <w:r w:rsidR="00B06AB0">
        <w:t xml:space="preserve"> is stored</w:t>
      </w:r>
      <w:r>
        <w:t xml:space="preserve"> on a Data Object if it applies to multiple objects or is not location specific (i.e. climate scenarios and dates respectively). These objects have no methods and do not solve</w:t>
      </w:r>
      <w:proofErr w:type="gramStart"/>
      <w:r>
        <w:t>..</w:t>
      </w:r>
      <w:proofErr w:type="gramEnd"/>
      <w:r>
        <w:t xml:space="preserve"> The Dashboard data object</w:t>
      </w:r>
      <w:r w:rsidR="00F45552">
        <w:t>s</w:t>
      </w:r>
      <w:r>
        <w:t xml:space="preserve"> holds slots that </w:t>
      </w:r>
      <w:r w:rsidR="00F45552">
        <w:t>hold per run settings and a</w:t>
      </w:r>
      <w:r>
        <w:t xml:space="preserve">ccount </w:t>
      </w:r>
      <w:r w:rsidR="00F45552">
        <w:t>s</w:t>
      </w:r>
      <w:r>
        <w:t>uppl</w:t>
      </w:r>
      <w:r w:rsidR="00F45552">
        <w:t>y values</w:t>
      </w:r>
      <w:r>
        <w:t xml:space="preserve">. The Compliance Metrics data objects hold post processed slots, which are discussed near the end of the report. </w:t>
      </w:r>
    </w:p>
    <w:p w14:paraId="30486CCB" w14:textId="77777777" w:rsidR="008769EF" w:rsidRDefault="008769EF" w:rsidP="00EA565B">
      <w:pPr>
        <w:pStyle w:val="Heading2"/>
      </w:pPr>
      <w:bookmarkStart w:id="34" w:name="_heading=h.hobz68ibak07" w:colFirst="0" w:colLast="0"/>
      <w:bookmarkStart w:id="35" w:name="_Toc48817197"/>
      <w:bookmarkStart w:id="36" w:name="_Toc48817251"/>
      <w:bookmarkEnd w:id="34"/>
      <w:r>
        <w:t>Data</w:t>
      </w:r>
      <w:bookmarkEnd w:id="35"/>
      <w:bookmarkEnd w:id="36"/>
    </w:p>
    <w:p w14:paraId="65828794" w14:textId="01648A7D" w:rsidR="008769EF" w:rsidRDefault="008769EF" w:rsidP="00A55944">
      <w:r>
        <w:t xml:space="preserve">Specified data and operating policy drives the model. The model imports </w:t>
      </w:r>
      <w:r w:rsidR="002416D2">
        <w:t>d</w:t>
      </w:r>
      <w:r>
        <w:t xml:space="preserve">ata through a variety of methods. Operators have the option to manually enter </w:t>
      </w:r>
      <w:r w:rsidR="002416D2">
        <w:t>d</w:t>
      </w:r>
      <w:r>
        <w:t>ata through scripts, SCT’s, or the slot viewer. Otherwise, the model automates the import process with the Data Management Interface</w:t>
      </w:r>
      <w:r w:rsidR="002416D2">
        <w:t xml:space="preserve"> (DMI)</w:t>
      </w:r>
      <w:r>
        <w:t xml:space="preserve">, which links directly to the </w:t>
      </w:r>
      <w:r w:rsidR="002416D2">
        <w:t>Excel workbook serving as a database</w:t>
      </w:r>
      <w:r>
        <w:t xml:space="preserve">. </w:t>
      </w:r>
      <w:r w:rsidR="002416D2">
        <w:t>Also, d</w:t>
      </w:r>
      <w:r>
        <w:t xml:space="preserve">ata </w:t>
      </w:r>
      <w:r w:rsidR="002416D2">
        <w:t xml:space="preserve">can be modified </w:t>
      </w:r>
      <w:r w:rsidR="00026608">
        <w:t xml:space="preserve">between runs to </w:t>
      </w:r>
      <w:r>
        <w:t>alter</w:t>
      </w:r>
      <w:r w:rsidR="00026608">
        <w:t xml:space="preserve"> the input data. The run</w:t>
      </w:r>
      <w:r>
        <w:t>, as defined by the operator, varies by timestep, management decisions, and/or climate</w:t>
      </w:r>
      <w:r w:rsidR="002416D2">
        <w:t xml:space="preserve"> conditions</w:t>
      </w:r>
      <w:r>
        <w:t xml:space="preserve">. The frequency that </w:t>
      </w:r>
      <w:r w:rsidR="002416D2">
        <w:t>d</w:t>
      </w:r>
      <w:r>
        <w:t xml:space="preserve">ata changes depends on the type. We define the types of </w:t>
      </w:r>
      <w:r w:rsidR="002416D2">
        <w:t>d</w:t>
      </w:r>
      <w:r>
        <w:t>ata as follows: Per Run Settings, Observed Hydrology, and Hydrology Tables.</w:t>
      </w:r>
    </w:p>
    <w:p w14:paraId="5B981ED1" w14:textId="1F387468" w:rsidR="008769EF" w:rsidRDefault="008769EF" w:rsidP="008769EF">
      <w:r>
        <w:t xml:space="preserve">Note, in this text, we use the RiverWare notation </w:t>
      </w:r>
      <w:proofErr w:type="spellStart"/>
      <w:r>
        <w:t>Object.Slot</w:t>
      </w:r>
      <w:proofErr w:type="spellEnd"/>
      <w:r>
        <w:t xml:space="preserve">. This indicates that </w:t>
      </w:r>
      <w:r w:rsidR="00F45552">
        <w:t>the s</w:t>
      </w:r>
      <w:r>
        <w:t>lot, a data variable, is on that particular object.</w:t>
      </w:r>
    </w:p>
    <w:p w14:paraId="75E320E6" w14:textId="77777777" w:rsidR="008769EF" w:rsidRDefault="008769EF" w:rsidP="0030367C">
      <w:pPr>
        <w:pStyle w:val="Heading3"/>
      </w:pPr>
      <w:bookmarkStart w:id="37" w:name="_heading=h.z601h7d0x6u2" w:colFirst="0" w:colLast="0"/>
      <w:bookmarkStart w:id="38" w:name="_Toc48817198"/>
      <w:bookmarkEnd w:id="37"/>
      <w:r>
        <w:t>Per Run Settings</w:t>
      </w:r>
      <w:bookmarkEnd w:id="38"/>
    </w:p>
    <w:p w14:paraId="257203C1" w14:textId="0343A83E" w:rsidR="008769EF" w:rsidRDefault="008769EF" w:rsidP="008769EF">
      <w:r>
        <w:t xml:space="preserve">Per Run Settings are </w:t>
      </w:r>
      <w:r w:rsidR="00A55944">
        <w:t xml:space="preserve">those </w:t>
      </w:r>
      <w:r>
        <w:t xml:space="preserve">settings that the operator </w:t>
      </w:r>
      <w:r w:rsidR="00026608">
        <w:t>may change</w:t>
      </w:r>
      <w:r>
        <w:t xml:space="preserve"> before each model run. They consist of adjustment factors and seasonal supplies for forecasts, switches for climate scenarios, exceedance percentages for table lookups, contribution percentages for accretions to Iron Gate Dam, and operation dates. Many of the settings vary by their period of application. Some apply for a week, others for a month, and some for an entire season. The operator has access to change that period along with their value. </w:t>
      </w:r>
      <w:r w:rsidR="00026608">
        <w:fldChar w:fldCharType="begin"/>
      </w:r>
      <w:r w:rsidR="00026608">
        <w:instrText xml:space="preserve"> REF _Ref50784452 \r \h </w:instrText>
      </w:r>
      <w:r w:rsidR="00026608">
        <w:fldChar w:fldCharType="separate"/>
      </w:r>
      <w:r w:rsidR="00170C2A">
        <w:t xml:space="preserve">Table 1. </w:t>
      </w:r>
      <w:r w:rsidR="00026608">
        <w:fldChar w:fldCharType="end"/>
      </w:r>
      <w:proofErr w:type="gramStart"/>
      <w:r>
        <w:t>shows</w:t>
      </w:r>
      <w:proofErr w:type="gramEnd"/>
      <w:r>
        <w:t xml:space="preserve"> the inventory of the slots.</w:t>
      </w:r>
    </w:p>
    <w:p w14:paraId="0192747B" w14:textId="03462C6F" w:rsidR="00A55944" w:rsidRDefault="00A55944" w:rsidP="00A55944">
      <w:pPr>
        <w:pStyle w:val="TableTitle"/>
      </w:pPr>
      <w:bookmarkStart w:id="39" w:name="_Ref50784452"/>
      <w:r>
        <w:lastRenderedPageBreak/>
        <w:t>Objects and their slots that represent the Per Run Settings.</w:t>
      </w:r>
      <w:bookmarkEnd w:id="39"/>
    </w:p>
    <w:p w14:paraId="0D1AE66D" w14:textId="77777777" w:rsidR="00A55944" w:rsidRPr="00A55944" w:rsidRDefault="00A55944" w:rsidP="00A55944">
      <w:pPr>
        <w:pStyle w:val="TableAnchor"/>
      </w:pPr>
    </w:p>
    <w:p w14:paraId="2206C1AE" w14:textId="77777777" w:rsidR="008769EF" w:rsidRDefault="008769EF" w:rsidP="008769EF">
      <w:pPr>
        <w:jc w:val="center"/>
      </w:pPr>
      <w:r>
        <w:rPr>
          <w:noProof/>
        </w:rPr>
        <w:drawing>
          <wp:inline distT="114300" distB="114300" distL="114300" distR="114300" wp14:anchorId="1B24EF57" wp14:editId="72FE8CDB">
            <wp:extent cx="5943600" cy="5740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5740400"/>
                    </a:xfrm>
                    <a:prstGeom prst="rect">
                      <a:avLst/>
                    </a:prstGeom>
                    <a:ln/>
                  </pic:spPr>
                </pic:pic>
              </a:graphicData>
            </a:graphic>
          </wp:inline>
        </w:drawing>
      </w:r>
    </w:p>
    <w:p w14:paraId="2EBBEF8D" w14:textId="76E10CB5" w:rsidR="00B06AB0" w:rsidRDefault="008769EF" w:rsidP="008769EF">
      <w:r>
        <w:t>In the model, the</w:t>
      </w:r>
      <w:r w:rsidR="00026608">
        <w:t>se settings are stored typically a</w:t>
      </w:r>
      <w:r>
        <w:t xml:space="preserve">s scalars or tables. If the slot is location specific, such as the seasonal volume adjustment factor for </w:t>
      </w:r>
      <w:proofErr w:type="spellStart"/>
      <w:r>
        <w:t>Ad</w:t>
      </w:r>
      <w:r w:rsidR="00026608">
        <w:t>y</w:t>
      </w:r>
      <w:proofErr w:type="spellEnd"/>
      <w:r w:rsidR="00026608">
        <w:t xml:space="preserve"> Canal, that data is </w:t>
      </w:r>
      <w:r>
        <w:t>store</w:t>
      </w:r>
      <w:r w:rsidR="00026608">
        <w:t>d on the object itself</w:t>
      </w:r>
      <w:r>
        <w:t xml:space="preserve"> (i.e. </w:t>
      </w:r>
      <w:proofErr w:type="spellStart"/>
      <w:r>
        <w:t>Ady</w:t>
      </w:r>
      <w:proofErr w:type="spellEnd"/>
      <w:r>
        <w:t xml:space="preserve"> </w:t>
      </w:r>
      <w:proofErr w:type="spellStart"/>
      <w:r>
        <w:t>Canal.Season</w:t>
      </w:r>
      <w:proofErr w:type="spellEnd"/>
      <w:r>
        <w:t xml:space="preserve"> </w:t>
      </w:r>
      <w:proofErr w:type="spellStart"/>
      <w:r>
        <w:t>Adj</w:t>
      </w:r>
      <w:proofErr w:type="spellEnd"/>
      <w:r>
        <w:t xml:space="preserve">). </w:t>
      </w:r>
      <w:r w:rsidR="00026608">
        <w:t>Otherwise, data that applies to</w:t>
      </w:r>
      <w:r>
        <w:t xml:space="preserve"> multiple locations </w:t>
      </w:r>
      <w:r w:rsidR="00B06AB0">
        <w:t xml:space="preserve">are </w:t>
      </w:r>
      <w:r w:rsidR="00026608">
        <w:t xml:space="preserve">stored </w:t>
      </w:r>
      <w:r>
        <w:t xml:space="preserve">on data objects, such as the climate scenario switch (i.e. </w:t>
      </w:r>
      <w:proofErr w:type="spellStart"/>
      <w:r>
        <w:t>Dashboard.Climate</w:t>
      </w:r>
      <w:proofErr w:type="spellEnd"/>
      <w:r>
        <w:t xml:space="preserve">). </w:t>
      </w:r>
    </w:p>
    <w:p w14:paraId="70459C3F" w14:textId="2A0B4BC6" w:rsidR="008769EF" w:rsidRDefault="00B06AB0" w:rsidP="008769EF">
      <w:r>
        <w:t>S</w:t>
      </w:r>
      <w:r w:rsidR="008769EF">
        <w:t xml:space="preserve">cripts and system control table (SCT) sheets </w:t>
      </w:r>
      <w:r>
        <w:t xml:space="preserve">provide access </w:t>
      </w:r>
      <w:r w:rsidR="008769EF">
        <w:t xml:space="preserve">for the operator to view and edit the Per Run Settings. </w:t>
      </w:r>
    </w:p>
    <w:p w14:paraId="398822A2" w14:textId="77777777" w:rsidR="008769EF" w:rsidRDefault="008769EF" w:rsidP="0030367C">
      <w:pPr>
        <w:pStyle w:val="Heading3"/>
      </w:pPr>
      <w:bookmarkStart w:id="40" w:name="_heading=h.gb8brel8gc7u" w:colFirst="0" w:colLast="0"/>
      <w:bookmarkStart w:id="41" w:name="_Toc48817199"/>
      <w:bookmarkEnd w:id="40"/>
      <w:r>
        <w:t>Observed Hydrology</w:t>
      </w:r>
      <w:bookmarkEnd w:id="41"/>
    </w:p>
    <w:p w14:paraId="36A58388" w14:textId="17FF0532" w:rsidR="008769EF" w:rsidRDefault="008769EF" w:rsidP="008769EF">
      <w:r>
        <w:t xml:space="preserve">The </w:t>
      </w:r>
      <w:r w:rsidR="00026608">
        <w:t>observed h</w:t>
      </w:r>
      <w:r>
        <w:t>ydrology</w:t>
      </w:r>
      <w:r w:rsidR="00026608">
        <w:t xml:space="preserve"> are the flow and other values </w:t>
      </w:r>
      <w:r>
        <w:t>that ha</w:t>
      </w:r>
      <w:r w:rsidR="00026608">
        <w:t>ve</w:t>
      </w:r>
      <w:r>
        <w:t xml:space="preserve"> been measured throughout the basin from the run start date until the </w:t>
      </w:r>
      <w:r w:rsidR="005679BB">
        <w:t>operation start timestep</w:t>
      </w:r>
      <w:r>
        <w:t xml:space="preserve">. The </w:t>
      </w:r>
      <w:r w:rsidR="005679BB">
        <w:t>operation start timestep</w:t>
      </w:r>
      <w:r>
        <w:t xml:space="preserve"> can be thought of as the day at which the system is being operated, often the current day. It could also be a previous day if the system has to be re-operated due to missing data, holidays, etc. The </w:t>
      </w:r>
      <w:r w:rsidR="005679BB">
        <w:t>operation start timestep</w:t>
      </w:r>
      <w:r>
        <w:t xml:space="preserve"> is used to </w:t>
      </w:r>
      <w:r>
        <w:lastRenderedPageBreak/>
        <w:t>determine whether the d</w:t>
      </w:r>
      <w:r w:rsidR="00026608">
        <w:t>ata is in after-the-fact mode (observed h</w:t>
      </w:r>
      <w:r>
        <w:t xml:space="preserve">ydrology) or is in a forecast mode. Thus, if either the run start or </w:t>
      </w:r>
      <w:r w:rsidR="005679BB">
        <w:t>operation start timestep</w:t>
      </w:r>
      <w:r w:rsidR="00026608">
        <w:t xml:space="preserve"> changes, so must</w:t>
      </w:r>
      <w:r>
        <w:t xml:space="preserve"> the hydrolo</w:t>
      </w:r>
      <w:r w:rsidR="00026608">
        <w:t>gy data in the model. Observed h</w:t>
      </w:r>
      <w:r>
        <w:t>ydrolo</w:t>
      </w:r>
      <w:r w:rsidR="00A55944">
        <w:t xml:space="preserve">gy takes the </w:t>
      </w:r>
      <w:r>
        <w:t>form</w:t>
      </w:r>
      <w:r w:rsidR="00A55944">
        <w:t xml:space="preserve"> of</w:t>
      </w:r>
      <w:r>
        <w:t xml:space="preserve"> accretions to or diversion from the Klamath River, inflows at Upper Klamath Lake (UKL), releases at Iron Gate Dam, external volumetric forecasts for the season, or etc. Reclamation stores this data in an external file or database. Figure 4 shows the inventory of the Observed Hydrology slots.</w:t>
      </w:r>
    </w:p>
    <w:p w14:paraId="36234596" w14:textId="0024B150" w:rsidR="00A55944" w:rsidRDefault="00A55944" w:rsidP="00A55944">
      <w:pPr>
        <w:pStyle w:val="TableTitle"/>
        <w:rPr>
          <w:szCs w:val="20"/>
        </w:rPr>
      </w:pPr>
      <w:r>
        <w:rPr>
          <w:szCs w:val="20"/>
        </w:rPr>
        <w:t>Slots that r</w:t>
      </w:r>
      <w:r w:rsidR="00CE3866">
        <w:rPr>
          <w:szCs w:val="20"/>
        </w:rPr>
        <w:t>epresent the Observed Hydrology.</w:t>
      </w:r>
    </w:p>
    <w:tbl>
      <w:tblPr>
        <w:tblStyle w:val="GridTable1Light-Accent2"/>
        <w:tblW w:w="0" w:type="auto"/>
        <w:tblLook w:val="04A0" w:firstRow="1" w:lastRow="0" w:firstColumn="1" w:lastColumn="0" w:noHBand="0" w:noVBand="1"/>
      </w:tblPr>
      <w:tblGrid>
        <w:gridCol w:w="1975"/>
        <w:gridCol w:w="3510"/>
        <w:gridCol w:w="3865"/>
      </w:tblGrid>
      <w:tr w:rsidR="00264740" w14:paraId="18C92925" w14:textId="5311DA0D" w:rsidTr="00005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33E3753" w14:textId="1535D789" w:rsidR="00264740" w:rsidRDefault="00264740" w:rsidP="00E74DA4">
            <w:r>
              <w:t>Type of Data</w:t>
            </w:r>
          </w:p>
        </w:tc>
        <w:tc>
          <w:tcPr>
            <w:tcW w:w="3510" w:type="dxa"/>
          </w:tcPr>
          <w:p w14:paraId="64DD4C68" w14:textId="4D9A5220" w:rsidR="00264740" w:rsidRDefault="00264740" w:rsidP="00E74DA4">
            <w:pPr>
              <w:cnfStyle w:val="100000000000" w:firstRow="1" w:lastRow="0" w:firstColumn="0" w:lastColumn="0" w:oddVBand="0" w:evenVBand="0" w:oddHBand="0" w:evenHBand="0" w:firstRowFirstColumn="0" w:firstRowLastColumn="0" w:lastRowFirstColumn="0" w:lastRowLastColumn="0"/>
            </w:pPr>
            <w:r>
              <w:t>Slot Name</w:t>
            </w:r>
          </w:p>
        </w:tc>
        <w:tc>
          <w:tcPr>
            <w:tcW w:w="3865" w:type="dxa"/>
          </w:tcPr>
          <w:p w14:paraId="6EE7078D" w14:textId="19AB889A" w:rsidR="00264740" w:rsidRDefault="00264740" w:rsidP="00E74DA4">
            <w:pPr>
              <w:cnfStyle w:val="100000000000" w:firstRow="1" w:lastRow="0" w:firstColumn="0" w:lastColumn="0" w:oddVBand="0" w:evenVBand="0" w:oddHBand="0" w:evenHBand="0" w:firstRowFirstColumn="0" w:firstRowLastColumn="0" w:lastRowFirstColumn="0" w:lastRowLastColumn="0"/>
            </w:pPr>
            <w:r>
              <w:t>Notes</w:t>
            </w:r>
          </w:p>
        </w:tc>
      </w:tr>
      <w:tr w:rsidR="00264740" w14:paraId="7EAF1DAB" w14:textId="30199C77" w:rsidTr="0000500D">
        <w:tc>
          <w:tcPr>
            <w:cnfStyle w:val="001000000000" w:firstRow="0" w:lastRow="0" w:firstColumn="1" w:lastColumn="0" w:oddVBand="0" w:evenVBand="0" w:oddHBand="0" w:evenHBand="0" w:firstRowFirstColumn="0" w:firstRowLastColumn="0" w:lastRowFirstColumn="0" w:lastRowLastColumn="0"/>
            <w:tcW w:w="1975" w:type="dxa"/>
          </w:tcPr>
          <w:p w14:paraId="783C317A" w14:textId="188F075B" w:rsidR="00264740" w:rsidRDefault="00264740" w:rsidP="00E74DA4">
            <w:pPr>
              <w:pStyle w:val="TCellBody"/>
            </w:pPr>
            <w:r>
              <w:t>Inflows</w:t>
            </w:r>
          </w:p>
        </w:tc>
        <w:tc>
          <w:tcPr>
            <w:tcW w:w="3510" w:type="dxa"/>
          </w:tcPr>
          <w:p w14:paraId="384308A3" w14:textId="50627582" w:rsidR="00264740" w:rsidRDefault="00264740" w:rsidP="00E74DA4">
            <w:pPr>
              <w:pStyle w:val="TCellBody"/>
              <w:cnfStyle w:val="000000000000" w:firstRow="0" w:lastRow="0" w:firstColumn="0" w:lastColumn="0" w:oddVBand="0" w:evenVBand="0" w:oddHBand="0" w:evenHBand="0" w:firstRowFirstColumn="0" w:firstRowLastColumn="0" w:lastRowFirstColumn="0" w:lastRowLastColumn="0"/>
            </w:pPr>
            <w:r w:rsidRPr="00E74DA4">
              <w:t xml:space="preserve">11502500 Williamson River </w:t>
            </w:r>
            <w:proofErr w:type="spellStart"/>
            <w:r w:rsidRPr="00E74DA4">
              <w:t>nr</w:t>
            </w:r>
            <w:proofErr w:type="spellEnd"/>
            <w:r w:rsidRPr="00E74DA4">
              <w:t xml:space="preserve"> </w:t>
            </w:r>
            <w:proofErr w:type="spellStart"/>
            <w:r w:rsidRPr="00E74DA4">
              <w:t>Chiloquin.Gage</w:t>
            </w:r>
            <w:proofErr w:type="spellEnd"/>
            <w:r w:rsidRPr="00E74DA4">
              <w:t xml:space="preserve"> Inflow</w:t>
            </w:r>
          </w:p>
        </w:tc>
        <w:tc>
          <w:tcPr>
            <w:tcW w:w="3865" w:type="dxa"/>
          </w:tcPr>
          <w:p w14:paraId="61945EF7" w14:textId="77777777"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p>
        </w:tc>
      </w:tr>
      <w:tr w:rsidR="00264740" w14:paraId="1FC32793" w14:textId="140C0C7D" w:rsidTr="0000500D">
        <w:tc>
          <w:tcPr>
            <w:cnfStyle w:val="001000000000" w:firstRow="0" w:lastRow="0" w:firstColumn="1" w:lastColumn="0" w:oddVBand="0" w:evenVBand="0" w:oddHBand="0" w:evenHBand="0" w:firstRowFirstColumn="0" w:firstRowLastColumn="0" w:lastRowFirstColumn="0" w:lastRowLastColumn="0"/>
            <w:tcW w:w="1975" w:type="dxa"/>
          </w:tcPr>
          <w:p w14:paraId="1F121BC4" w14:textId="3596E1A5" w:rsidR="00264740" w:rsidRDefault="008219F3" w:rsidP="00E74DA4">
            <w:pPr>
              <w:pStyle w:val="TCellBody"/>
            </w:pPr>
            <w:r>
              <w:t>Reservoir</w:t>
            </w:r>
            <w:r w:rsidR="00264740">
              <w:t xml:space="preserve"> Elevation</w:t>
            </w:r>
          </w:p>
        </w:tc>
        <w:tc>
          <w:tcPr>
            <w:tcW w:w="3510" w:type="dxa"/>
          </w:tcPr>
          <w:p w14:paraId="14BFDE63" w14:textId="6FFC8B8E" w:rsidR="00264740" w:rsidRDefault="00264740" w:rsidP="00E74DA4">
            <w:pPr>
              <w:pStyle w:val="TCellBody"/>
              <w:cnfStyle w:val="000000000000" w:firstRow="0" w:lastRow="0" w:firstColumn="0" w:lastColumn="0" w:oddVBand="0" w:evenVBand="0" w:oddHBand="0" w:evenHBand="0" w:firstRowFirstColumn="0" w:firstRowLastColumn="0" w:lastRowFirstColumn="0" w:lastRowLastColumn="0"/>
            </w:pPr>
            <w:proofErr w:type="spellStart"/>
            <w:r w:rsidRPr="00E74DA4">
              <w:t>UKL.Pool</w:t>
            </w:r>
            <w:proofErr w:type="spellEnd"/>
            <w:r w:rsidRPr="00E74DA4">
              <w:t xml:space="preserve"> Elevation</w:t>
            </w:r>
          </w:p>
        </w:tc>
        <w:tc>
          <w:tcPr>
            <w:tcW w:w="3865" w:type="dxa"/>
          </w:tcPr>
          <w:p w14:paraId="2D47DA53" w14:textId="77777777"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p>
        </w:tc>
      </w:tr>
      <w:tr w:rsidR="00264740" w14:paraId="7DE38B83" w14:textId="388F5D7F" w:rsidTr="0000500D">
        <w:tc>
          <w:tcPr>
            <w:cnfStyle w:val="001000000000" w:firstRow="0" w:lastRow="0" w:firstColumn="1" w:lastColumn="0" w:oddVBand="0" w:evenVBand="0" w:oddHBand="0" w:evenHBand="0" w:firstRowFirstColumn="0" w:firstRowLastColumn="0" w:lastRowFirstColumn="0" w:lastRowLastColumn="0"/>
            <w:tcW w:w="1975" w:type="dxa"/>
            <w:vMerge w:val="restart"/>
          </w:tcPr>
          <w:p w14:paraId="1CD2014E" w14:textId="6FC23BA1" w:rsidR="00264740" w:rsidRDefault="00264740" w:rsidP="00E74DA4">
            <w:pPr>
              <w:pStyle w:val="TCellBody"/>
            </w:pPr>
            <w:r>
              <w:t>Accretions</w:t>
            </w:r>
          </w:p>
        </w:tc>
        <w:tc>
          <w:tcPr>
            <w:tcW w:w="3510" w:type="dxa"/>
          </w:tcPr>
          <w:p w14:paraId="3F88CB14" w14:textId="7D2ABDCF" w:rsidR="00264740" w:rsidRDefault="00264740" w:rsidP="008219F3">
            <w:pPr>
              <w:pStyle w:val="TCellBody"/>
              <w:cnfStyle w:val="000000000000" w:firstRow="0" w:lastRow="0" w:firstColumn="0" w:lastColumn="0" w:oddVBand="0" w:evenVBand="0" w:oddHBand="0" w:evenHBand="0" w:firstRowFirstColumn="0" w:firstRowLastColumn="0" w:lastRowFirstColumn="0" w:lastRowLastColumn="0"/>
            </w:pPr>
            <w:r>
              <w:t xml:space="preserve">Lost River Diversion </w:t>
            </w:r>
            <w:r w:rsidR="0000500D">
              <w:t>Channel. Inflow</w:t>
            </w:r>
          </w:p>
        </w:tc>
        <w:tc>
          <w:tcPr>
            <w:tcW w:w="3865" w:type="dxa"/>
          </w:tcPr>
          <w:p w14:paraId="6F02A594" w14:textId="77777777"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p>
        </w:tc>
      </w:tr>
      <w:tr w:rsidR="00264740" w14:paraId="12A669CF" w14:textId="539713CE" w:rsidTr="0000500D">
        <w:tc>
          <w:tcPr>
            <w:cnfStyle w:val="001000000000" w:firstRow="0" w:lastRow="0" w:firstColumn="1" w:lastColumn="0" w:oddVBand="0" w:evenVBand="0" w:oddHBand="0" w:evenHBand="0" w:firstRowFirstColumn="0" w:firstRowLastColumn="0" w:lastRowFirstColumn="0" w:lastRowLastColumn="0"/>
            <w:tcW w:w="1975" w:type="dxa"/>
            <w:vMerge/>
          </w:tcPr>
          <w:p w14:paraId="1D6C2B36" w14:textId="77777777" w:rsidR="00264740" w:rsidRDefault="00264740" w:rsidP="00E74DA4">
            <w:pPr>
              <w:pStyle w:val="TCellBody"/>
            </w:pPr>
          </w:p>
        </w:tc>
        <w:tc>
          <w:tcPr>
            <w:tcW w:w="3510" w:type="dxa"/>
          </w:tcPr>
          <w:p w14:paraId="59C26B97" w14:textId="17FFDD19" w:rsidR="00264740" w:rsidRDefault="00264740" w:rsidP="00E74DA4">
            <w:pPr>
              <w:pStyle w:val="TCellBody"/>
              <w:cnfStyle w:val="000000000000" w:firstRow="0" w:lastRow="0" w:firstColumn="0" w:lastColumn="0" w:oddVBand="0" w:evenVBand="0" w:oddHBand="0" w:evenHBand="0" w:firstRowFirstColumn="0" w:firstRowLastColumn="0" w:lastRowFirstColumn="0" w:lastRowLastColumn="0"/>
            </w:pPr>
            <w:r>
              <w:rPr>
                <w:color w:val="000000" w:themeColor="dark1"/>
              </w:rPr>
              <w:t xml:space="preserve">F and FF </w:t>
            </w:r>
            <w:proofErr w:type="spellStart"/>
            <w:r>
              <w:rPr>
                <w:color w:val="000000" w:themeColor="dark1"/>
              </w:rPr>
              <w:t>Pump.Inflow</w:t>
            </w:r>
            <w:proofErr w:type="spellEnd"/>
          </w:p>
        </w:tc>
        <w:tc>
          <w:tcPr>
            <w:tcW w:w="3865" w:type="dxa"/>
          </w:tcPr>
          <w:p w14:paraId="65DF952F" w14:textId="77777777"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p>
        </w:tc>
      </w:tr>
      <w:tr w:rsidR="00264740" w14:paraId="09D20F95" w14:textId="4D6B13A0" w:rsidTr="0000500D">
        <w:tc>
          <w:tcPr>
            <w:cnfStyle w:val="001000000000" w:firstRow="0" w:lastRow="0" w:firstColumn="1" w:lastColumn="0" w:oddVBand="0" w:evenVBand="0" w:oddHBand="0" w:evenHBand="0" w:firstRowFirstColumn="0" w:firstRowLastColumn="0" w:lastRowFirstColumn="0" w:lastRowLastColumn="0"/>
            <w:tcW w:w="1975" w:type="dxa"/>
            <w:vMerge/>
          </w:tcPr>
          <w:p w14:paraId="4418350E" w14:textId="77777777" w:rsidR="00264740" w:rsidRDefault="00264740" w:rsidP="00E74DA4">
            <w:pPr>
              <w:pStyle w:val="TCellBody"/>
            </w:pPr>
          </w:p>
        </w:tc>
        <w:tc>
          <w:tcPr>
            <w:tcW w:w="3510" w:type="dxa"/>
          </w:tcPr>
          <w:p w14:paraId="6FB83B91" w14:textId="4DD1C18D" w:rsidR="00264740" w:rsidRDefault="00264740" w:rsidP="00E74DA4">
            <w:pPr>
              <w:pStyle w:val="TCellBody"/>
              <w:cnfStyle w:val="000000000000" w:firstRow="0" w:lastRow="0" w:firstColumn="0" w:lastColumn="0" w:oddVBand="0" w:evenVBand="0" w:oddHBand="0" w:evenHBand="0" w:firstRowFirstColumn="0" w:firstRowLastColumn="0" w:lastRowFirstColumn="0" w:lastRowLastColumn="0"/>
            </w:pPr>
            <w:r>
              <w:rPr>
                <w:color w:val="000000" w:themeColor="dark1"/>
              </w:rPr>
              <w:t xml:space="preserve">Keno to </w:t>
            </w:r>
            <w:proofErr w:type="spellStart"/>
            <w:r>
              <w:rPr>
                <w:color w:val="000000" w:themeColor="dark1"/>
              </w:rPr>
              <w:t>IGD.Local</w:t>
            </w:r>
            <w:proofErr w:type="spellEnd"/>
            <w:r>
              <w:rPr>
                <w:color w:val="000000" w:themeColor="dark1"/>
              </w:rPr>
              <w:t xml:space="preserve"> Inflow</w:t>
            </w:r>
          </w:p>
        </w:tc>
        <w:tc>
          <w:tcPr>
            <w:tcW w:w="3865" w:type="dxa"/>
          </w:tcPr>
          <w:p w14:paraId="1FDCBC04" w14:textId="03266A2A"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r w:rsidRPr="0057218A">
              <w:t>This represents the PacifiCorp accretions.</w:t>
            </w:r>
          </w:p>
        </w:tc>
      </w:tr>
      <w:tr w:rsidR="00264740" w14:paraId="1F663A26" w14:textId="7225A597" w:rsidTr="0000500D">
        <w:tc>
          <w:tcPr>
            <w:cnfStyle w:val="001000000000" w:firstRow="0" w:lastRow="0" w:firstColumn="1" w:lastColumn="0" w:oddVBand="0" w:evenVBand="0" w:oddHBand="0" w:evenHBand="0" w:firstRowFirstColumn="0" w:firstRowLastColumn="0" w:lastRowFirstColumn="0" w:lastRowLastColumn="0"/>
            <w:tcW w:w="1975" w:type="dxa"/>
            <w:vMerge w:val="restart"/>
          </w:tcPr>
          <w:p w14:paraId="42D0DDD3" w14:textId="4EB323B8" w:rsidR="00264740" w:rsidRDefault="00264740" w:rsidP="00E74DA4">
            <w:pPr>
              <w:pStyle w:val="TCellBody"/>
            </w:pPr>
            <w:r>
              <w:t>Diversions</w:t>
            </w:r>
          </w:p>
        </w:tc>
        <w:tc>
          <w:tcPr>
            <w:tcW w:w="3510" w:type="dxa"/>
          </w:tcPr>
          <w:p w14:paraId="61DABBDF" w14:textId="6BA7CB47" w:rsidR="00264740" w:rsidRDefault="00264740" w:rsidP="00E74DA4">
            <w:pPr>
              <w:pStyle w:val="TCellBody"/>
              <w:cnfStyle w:val="000000000000" w:firstRow="0" w:lastRow="0" w:firstColumn="0" w:lastColumn="0" w:oddVBand="0" w:evenVBand="0" w:oddHBand="0" w:evenHBand="0" w:firstRowFirstColumn="0" w:firstRowLastColumn="0" w:lastRowFirstColumn="0" w:lastRowLastColumn="0"/>
            </w:pPr>
            <w:r>
              <w:t xml:space="preserve">A </w:t>
            </w:r>
            <w:proofErr w:type="spellStart"/>
            <w:r>
              <w:t>Canal.Diversion</w:t>
            </w:r>
            <w:proofErr w:type="spellEnd"/>
            <w:r>
              <w:t xml:space="preserve"> Request</w:t>
            </w:r>
          </w:p>
        </w:tc>
        <w:tc>
          <w:tcPr>
            <w:tcW w:w="3865" w:type="dxa"/>
          </w:tcPr>
          <w:p w14:paraId="294E7E47" w14:textId="77777777"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p>
        </w:tc>
      </w:tr>
      <w:tr w:rsidR="00264740" w14:paraId="52004582" w14:textId="434F3D57" w:rsidTr="0000500D">
        <w:tc>
          <w:tcPr>
            <w:cnfStyle w:val="001000000000" w:firstRow="0" w:lastRow="0" w:firstColumn="1" w:lastColumn="0" w:oddVBand="0" w:evenVBand="0" w:oddHBand="0" w:evenHBand="0" w:firstRowFirstColumn="0" w:firstRowLastColumn="0" w:lastRowFirstColumn="0" w:lastRowLastColumn="0"/>
            <w:tcW w:w="1975" w:type="dxa"/>
            <w:vMerge/>
          </w:tcPr>
          <w:p w14:paraId="66A804AB" w14:textId="77777777" w:rsidR="00264740" w:rsidRDefault="00264740" w:rsidP="00E74DA4">
            <w:pPr>
              <w:pStyle w:val="TCellBody"/>
            </w:pPr>
          </w:p>
        </w:tc>
        <w:tc>
          <w:tcPr>
            <w:tcW w:w="3510" w:type="dxa"/>
          </w:tcPr>
          <w:p w14:paraId="56C801F7" w14:textId="4CB91A83" w:rsidR="00264740" w:rsidRDefault="00264740" w:rsidP="00264740">
            <w:pPr>
              <w:pStyle w:val="TCellBody"/>
              <w:cnfStyle w:val="000000000000" w:firstRow="0" w:lastRow="0" w:firstColumn="0" w:lastColumn="0" w:oddVBand="0" w:evenVBand="0" w:oddHBand="0" w:evenHBand="0" w:firstRowFirstColumn="0" w:firstRowLastColumn="0" w:lastRowFirstColumn="0" w:lastRowLastColumn="0"/>
            </w:pPr>
            <w:r>
              <w:rPr>
                <w:color w:val="000000" w:themeColor="dark1"/>
              </w:rPr>
              <w:t>Station 48.Diversion</w:t>
            </w:r>
            <w:r>
              <w:t xml:space="preserve"> Request</w:t>
            </w:r>
          </w:p>
        </w:tc>
        <w:tc>
          <w:tcPr>
            <w:tcW w:w="3865" w:type="dxa"/>
          </w:tcPr>
          <w:p w14:paraId="51F0FA63" w14:textId="77777777"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p>
        </w:tc>
      </w:tr>
      <w:tr w:rsidR="00264740" w14:paraId="0C69F867" w14:textId="24C28241" w:rsidTr="0000500D">
        <w:tc>
          <w:tcPr>
            <w:cnfStyle w:val="001000000000" w:firstRow="0" w:lastRow="0" w:firstColumn="1" w:lastColumn="0" w:oddVBand="0" w:evenVBand="0" w:oddHBand="0" w:evenHBand="0" w:firstRowFirstColumn="0" w:firstRowLastColumn="0" w:lastRowFirstColumn="0" w:lastRowLastColumn="0"/>
            <w:tcW w:w="1975" w:type="dxa"/>
            <w:vMerge/>
          </w:tcPr>
          <w:p w14:paraId="1DCC2E22" w14:textId="77777777" w:rsidR="00264740" w:rsidRDefault="00264740" w:rsidP="00E74DA4">
            <w:pPr>
              <w:pStyle w:val="TCellBody"/>
            </w:pPr>
          </w:p>
        </w:tc>
        <w:tc>
          <w:tcPr>
            <w:tcW w:w="3510" w:type="dxa"/>
          </w:tcPr>
          <w:p w14:paraId="3D1291A3" w14:textId="127FD479" w:rsidR="00264740" w:rsidRDefault="00264740" w:rsidP="00264740">
            <w:pPr>
              <w:pStyle w:val="TCellBody"/>
              <w:cnfStyle w:val="000000000000" w:firstRow="0" w:lastRow="0" w:firstColumn="0" w:lastColumn="0" w:oddVBand="0" w:evenVBand="0" w:oddHBand="0" w:evenHBand="0" w:firstRowFirstColumn="0" w:firstRowLastColumn="0" w:lastRowFirstColumn="0" w:lastRowLastColumn="0"/>
            </w:pPr>
            <w:r>
              <w:rPr>
                <w:color w:val="000000" w:themeColor="dark1"/>
              </w:rPr>
              <w:t xml:space="preserve">Miller Hill </w:t>
            </w:r>
            <w:proofErr w:type="spellStart"/>
            <w:r>
              <w:rPr>
                <w:color w:val="000000" w:themeColor="dark1"/>
              </w:rPr>
              <w:t>Pump.Diversion</w:t>
            </w:r>
            <w:proofErr w:type="spellEnd"/>
            <w:r>
              <w:t xml:space="preserve"> Request</w:t>
            </w:r>
          </w:p>
        </w:tc>
        <w:tc>
          <w:tcPr>
            <w:tcW w:w="3865" w:type="dxa"/>
          </w:tcPr>
          <w:p w14:paraId="550BCCBB" w14:textId="77777777"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p>
        </w:tc>
      </w:tr>
      <w:tr w:rsidR="00264740" w14:paraId="015C568B" w14:textId="40BA08F6" w:rsidTr="0000500D">
        <w:tc>
          <w:tcPr>
            <w:cnfStyle w:val="001000000000" w:firstRow="0" w:lastRow="0" w:firstColumn="1" w:lastColumn="0" w:oddVBand="0" w:evenVBand="0" w:oddHBand="0" w:evenHBand="0" w:firstRowFirstColumn="0" w:firstRowLastColumn="0" w:lastRowFirstColumn="0" w:lastRowLastColumn="0"/>
            <w:tcW w:w="1975" w:type="dxa"/>
            <w:vMerge/>
          </w:tcPr>
          <w:p w14:paraId="69BE1BA2" w14:textId="77777777" w:rsidR="00264740" w:rsidRDefault="00264740" w:rsidP="00E74DA4">
            <w:pPr>
              <w:pStyle w:val="TCellBody"/>
            </w:pPr>
          </w:p>
        </w:tc>
        <w:tc>
          <w:tcPr>
            <w:tcW w:w="3510" w:type="dxa"/>
          </w:tcPr>
          <w:p w14:paraId="3D36FB88" w14:textId="17C3CCEA" w:rsidR="00264740" w:rsidRDefault="00264740" w:rsidP="00E74DA4">
            <w:pPr>
              <w:pStyle w:val="TCellBody"/>
              <w:cnfStyle w:val="000000000000" w:firstRow="0" w:lastRow="0" w:firstColumn="0" w:lastColumn="0" w:oddVBand="0" w:evenVBand="0" w:oddHBand="0" w:evenHBand="0" w:firstRowFirstColumn="0" w:firstRowLastColumn="0" w:lastRowFirstColumn="0" w:lastRowLastColumn="0"/>
            </w:pPr>
            <w:proofErr w:type="spellStart"/>
            <w:r>
              <w:rPr>
                <w:color w:val="000000" w:themeColor="dark1"/>
              </w:rPr>
              <w:t>Ady</w:t>
            </w:r>
            <w:proofErr w:type="spellEnd"/>
            <w:r>
              <w:rPr>
                <w:color w:val="000000" w:themeColor="dark1"/>
              </w:rPr>
              <w:t xml:space="preserve"> </w:t>
            </w:r>
            <w:proofErr w:type="spellStart"/>
            <w:r>
              <w:rPr>
                <w:color w:val="000000" w:themeColor="dark1"/>
              </w:rPr>
              <w:t>Canal.Diversion</w:t>
            </w:r>
            <w:proofErr w:type="spellEnd"/>
            <w:r>
              <w:t xml:space="preserve"> Request</w:t>
            </w:r>
          </w:p>
        </w:tc>
        <w:tc>
          <w:tcPr>
            <w:tcW w:w="3865" w:type="dxa"/>
          </w:tcPr>
          <w:p w14:paraId="3BF695D7" w14:textId="77777777"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p>
        </w:tc>
      </w:tr>
      <w:tr w:rsidR="00264740" w14:paraId="3AC92235" w14:textId="7DDF3617" w:rsidTr="0000500D">
        <w:tc>
          <w:tcPr>
            <w:cnfStyle w:val="001000000000" w:firstRow="0" w:lastRow="0" w:firstColumn="1" w:lastColumn="0" w:oddVBand="0" w:evenVBand="0" w:oddHBand="0" w:evenHBand="0" w:firstRowFirstColumn="0" w:firstRowLastColumn="0" w:lastRowFirstColumn="0" w:lastRowLastColumn="0"/>
            <w:tcW w:w="1975" w:type="dxa"/>
            <w:vMerge/>
          </w:tcPr>
          <w:p w14:paraId="32832CF8" w14:textId="77777777" w:rsidR="00264740" w:rsidRDefault="00264740" w:rsidP="00E74DA4">
            <w:pPr>
              <w:pStyle w:val="TCellBody"/>
            </w:pPr>
          </w:p>
        </w:tc>
        <w:tc>
          <w:tcPr>
            <w:tcW w:w="3510" w:type="dxa"/>
          </w:tcPr>
          <w:p w14:paraId="6D60EF4C" w14:textId="7D981ED4" w:rsidR="00264740" w:rsidRDefault="00264740" w:rsidP="00264740">
            <w:pPr>
              <w:pStyle w:val="TCellBody"/>
              <w:cnfStyle w:val="000000000000" w:firstRow="0" w:lastRow="0" w:firstColumn="0" w:lastColumn="0" w:oddVBand="0" w:evenVBand="0" w:oddHBand="0" w:evenHBand="0" w:firstRowFirstColumn="0" w:firstRowLastColumn="0" w:lastRowFirstColumn="0" w:lastRowLastColumn="0"/>
            </w:pPr>
            <w:r>
              <w:rPr>
                <w:color w:val="000000" w:themeColor="dark1"/>
              </w:rPr>
              <w:t xml:space="preserve">North </w:t>
            </w:r>
            <w:proofErr w:type="spellStart"/>
            <w:r>
              <w:rPr>
                <w:color w:val="000000" w:themeColor="dark1"/>
              </w:rPr>
              <w:t>Canal.Diversion</w:t>
            </w:r>
            <w:proofErr w:type="spellEnd"/>
            <w:r>
              <w:t xml:space="preserve"> Request</w:t>
            </w:r>
          </w:p>
        </w:tc>
        <w:tc>
          <w:tcPr>
            <w:tcW w:w="3865" w:type="dxa"/>
          </w:tcPr>
          <w:p w14:paraId="772AFA27" w14:textId="77777777"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p>
        </w:tc>
      </w:tr>
      <w:tr w:rsidR="00264740" w14:paraId="596A944B" w14:textId="46CB964A" w:rsidTr="0000500D">
        <w:tc>
          <w:tcPr>
            <w:cnfStyle w:val="001000000000" w:firstRow="0" w:lastRow="0" w:firstColumn="1" w:lastColumn="0" w:oddVBand="0" w:evenVBand="0" w:oddHBand="0" w:evenHBand="0" w:firstRowFirstColumn="0" w:firstRowLastColumn="0" w:lastRowFirstColumn="0" w:lastRowLastColumn="0"/>
            <w:tcW w:w="1975" w:type="dxa"/>
            <w:vMerge/>
          </w:tcPr>
          <w:p w14:paraId="1163A5E8" w14:textId="77777777" w:rsidR="00264740" w:rsidRDefault="00264740" w:rsidP="00E74DA4">
            <w:pPr>
              <w:pStyle w:val="TCellBody"/>
            </w:pPr>
          </w:p>
        </w:tc>
        <w:tc>
          <w:tcPr>
            <w:tcW w:w="3510" w:type="dxa"/>
          </w:tcPr>
          <w:p w14:paraId="36E0640A" w14:textId="37FACC73" w:rsidR="00264740" w:rsidRDefault="0000500D" w:rsidP="00E74DA4">
            <w:pPr>
              <w:pStyle w:val="TCellBody"/>
              <w:cnfStyle w:val="000000000000" w:firstRow="0" w:lastRow="0" w:firstColumn="0" w:lastColumn="0" w:oddVBand="0" w:evenVBand="0" w:oddHBand="0" w:evenHBand="0" w:firstRowFirstColumn="0" w:firstRowLastColumn="0" w:lastRowFirstColumn="0" w:lastRowLastColumn="0"/>
            </w:pPr>
            <w:proofErr w:type="spellStart"/>
            <w:r>
              <w:rPr>
                <w:color w:val="000000" w:themeColor="dark1"/>
              </w:rPr>
              <w:t>Ady</w:t>
            </w:r>
            <w:proofErr w:type="spellEnd"/>
            <w:r>
              <w:rPr>
                <w:color w:val="000000" w:themeColor="dark1"/>
              </w:rPr>
              <w:t xml:space="preserve"> to </w:t>
            </w:r>
            <w:proofErr w:type="spellStart"/>
            <w:r w:rsidR="00264740">
              <w:rPr>
                <w:color w:val="000000" w:themeColor="dark1"/>
              </w:rPr>
              <w:t>Refuge.Diversion</w:t>
            </w:r>
            <w:proofErr w:type="spellEnd"/>
            <w:r w:rsidR="00264740">
              <w:t xml:space="preserve"> Request</w:t>
            </w:r>
          </w:p>
        </w:tc>
        <w:tc>
          <w:tcPr>
            <w:tcW w:w="3865" w:type="dxa"/>
          </w:tcPr>
          <w:p w14:paraId="0B5172EC" w14:textId="05B47984" w:rsidR="00264740" w:rsidRPr="0057218A" w:rsidRDefault="0000500D" w:rsidP="0057218A">
            <w:pPr>
              <w:pStyle w:val="TCellBody"/>
              <w:cnfStyle w:val="000000000000" w:firstRow="0" w:lastRow="0" w:firstColumn="0" w:lastColumn="0" w:oddVBand="0" w:evenVBand="0" w:oddHBand="0" w:evenHBand="0" w:firstRowFirstColumn="0" w:firstRowLastColumn="0" w:lastRowFirstColumn="0" w:lastRowLastColumn="0"/>
            </w:pPr>
            <w:r>
              <w:t xml:space="preserve">The portion of the </w:t>
            </w:r>
            <w:proofErr w:type="spellStart"/>
            <w:r>
              <w:t>Ady</w:t>
            </w:r>
            <w:proofErr w:type="spellEnd"/>
            <w:r>
              <w:t xml:space="preserve"> Canal that goes to the refuge.</w:t>
            </w:r>
          </w:p>
        </w:tc>
      </w:tr>
      <w:tr w:rsidR="00264740" w14:paraId="2608E069" w14:textId="4EB279A3" w:rsidTr="0000500D">
        <w:tc>
          <w:tcPr>
            <w:cnfStyle w:val="001000000000" w:firstRow="0" w:lastRow="0" w:firstColumn="1" w:lastColumn="0" w:oddVBand="0" w:evenVBand="0" w:oddHBand="0" w:evenHBand="0" w:firstRowFirstColumn="0" w:firstRowLastColumn="0" w:lastRowFirstColumn="0" w:lastRowLastColumn="0"/>
            <w:tcW w:w="1975" w:type="dxa"/>
            <w:vMerge w:val="restart"/>
          </w:tcPr>
          <w:p w14:paraId="24F8B933" w14:textId="3D95DF81" w:rsidR="00264740" w:rsidRDefault="00264740" w:rsidP="00264740">
            <w:pPr>
              <w:pStyle w:val="TCellBody"/>
            </w:pPr>
            <w:r>
              <w:t>Releases</w:t>
            </w:r>
          </w:p>
        </w:tc>
        <w:tc>
          <w:tcPr>
            <w:tcW w:w="3510" w:type="dxa"/>
          </w:tcPr>
          <w:p w14:paraId="74E5916C" w14:textId="479446D3" w:rsidR="00264740" w:rsidRDefault="00264740" w:rsidP="00264740">
            <w:pPr>
              <w:pStyle w:val="TCellBody"/>
              <w:cnfStyle w:val="000000000000" w:firstRow="0" w:lastRow="0" w:firstColumn="0" w:lastColumn="0" w:oddVBand="0" w:evenVBand="0" w:oddHBand="0" w:evenHBand="0" w:firstRowFirstColumn="0" w:firstRowLastColumn="0" w:lastRowFirstColumn="0" w:lastRowLastColumn="0"/>
              <w:rPr>
                <w:color w:val="000000" w:themeColor="dark1"/>
              </w:rPr>
            </w:pPr>
            <w:proofErr w:type="spellStart"/>
            <w:r>
              <w:rPr>
                <w:color w:val="000000" w:themeColor="dark1"/>
              </w:rPr>
              <w:t>UKL.Link</w:t>
            </w:r>
            <w:proofErr w:type="spellEnd"/>
            <w:r>
              <w:rPr>
                <w:color w:val="000000" w:themeColor="dark1"/>
              </w:rPr>
              <w:t xml:space="preserve"> River</w:t>
            </w:r>
          </w:p>
        </w:tc>
        <w:tc>
          <w:tcPr>
            <w:tcW w:w="3865" w:type="dxa"/>
          </w:tcPr>
          <w:p w14:paraId="2FF13B02" w14:textId="1E6DD676"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r w:rsidRPr="0057218A">
              <w:t>Releases from UKL to Link River</w:t>
            </w:r>
          </w:p>
        </w:tc>
      </w:tr>
      <w:tr w:rsidR="00264740" w14:paraId="5747575E" w14:textId="54717891" w:rsidTr="0000500D">
        <w:tc>
          <w:tcPr>
            <w:cnfStyle w:val="001000000000" w:firstRow="0" w:lastRow="0" w:firstColumn="1" w:lastColumn="0" w:oddVBand="0" w:evenVBand="0" w:oddHBand="0" w:evenHBand="0" w:firstRowFirstColumn="0" w:firstRowLastColumn="0" w:lastRowFirstColumn="0" w:lastRowLastColumn="0"/>
            <w:tcW w:w="1975" w:type="dxa"/>
            <w:vMerge/>
          </w:tcPr>
          <w:p w14:paraId="638DECB1" w14:textId="77777777" w:rsidR="00264740" w:rsidRDefault="00264740" w:rsidP="00264740">
            <w:pPr>
              <w:pStyle w:val="TCellBody"/>
            </w:pPr>
          </w:p>
        </w:tc>
        <w:tc>
          <w:tcPr>
            <w:tcW w:w="3510" w:type="dxa"/>
          </w:tcPr>
          <w:p w14:paraId="56BE22BC" w14:textId="779B4190" w:rsidR="00264740" w:rsidRDefault="00264740" w:rsidP="00264740">
            <w:pPr>
              <w:pStyle w:val="TCellBody"/>
              <w:cnfStyle w:val="000000000000" w:firstRow="0" w:lastRow="0" w:firstColumn="0" w:lastColumn="0" w:oddVBand="0" w:evenVBand="0" w:oddHBand="0" w:evenHBand="0" w:firstRowFirstColumn="0" w:firstRowLastColumn="0" w:lastRowFirstColumn="0" w:lastRowLastColumn="0"/>
              <w:rPr>
                <w:color w:val="000000" w:themeColor="dark1"/>
              </w:rPr>
            </w:pPr>
            <w:proofErr w:type="spellStart"/>
            <w:r>
              <w:rPr>
                <w:color w:val="000000" w:themeColor="dark1"/>
              </w:rPr>
              <w:t>UKL.Keno</w:t>
            </w:r>
            <w:proofErr w:type="spellEnd"/>
            <w:r>
              <w:rPr>
                <w:color w:val="000000" w:themeColor="dark1"/>
              </w:rPr>
              <w:t xml:space="preserve"> Power </w:t>
            </w:r>
            <w:proofErr w:type="spellStart"/>
            <w:r>
              <w:rPr>
                <w:color w:val="000000" w:themeColor="dark1"/>
              </w:rPr>
              <w:t>Canal.Outflow</w:t>
            </w:r>
            <w:proofErr w:type="spellEnd"/>
          </w:p>
        </w:tc>
        <w:tc>
          <w:tcPr>
            <w:tcW w:w="3865" w:type="dxa"/>
          </w:tcPr>
          <w:p w14:paraId="202B3F66" w14:textId="1C6F0734"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r w:rsidRPr="0057218A">
              <w:t xml:space="preserve">Power releases. The </w:t>
            </w:r>
            <w:proofErr w:type="spellStart"/>
            <w:r w:rsidRPr="0057218A">
              <w:t>UKL.Outflow</w:t>
            </w:r>
            <w:proofErr w:type="spellEnd"/>
            <w:r w:rsidRPr="0057218A">
              <w:t xml:space="preserve"> is the sum of Link River and Keno Power Canal</w:t>
            </w:r>
          </w:p>
        </w:tc>
      </w:tr>
      <w:tr w:rsidR="00264740" w14:paraId="10A9B62E" w14:textId="77777777" w:rsidTr="0000500D">
        <w:tc>
          <w:tcPr>
            <w:cnfStyle w:val="001000000000" w:firstRow="0" w:lastRow="0" w:firstColumn="1" w:lastColumn="0" w:oddVBand="0" w:evenVBand="0" w:oddHBand="0" w:evenHBand="0" w:firstRowFirstColumn="0" w:firstRowLastColumn="0" w:lastRowFirstColumn="0" w:lastRowLastColumn="0"/>
            <w:tcW w:w="1975" w:type="dxa"/>
            <w:vMerge/>
          </w:tcPr>
          <w:p w14:paraId="353DB41D" w14:textId="77777777" w:rsidR="00264740" w:rsidRDefault="00264740" w:rsidP="00264740">
            <w:pPr>
              <w:pStyle w:val="TCellBody"/>
            </w:pPr>
          </w:p>
        </w:tc>
        <w:tc>
          <w:tcPr>
            <w:tcW w:w="3510" w:type="dxa"/>
          </w:tcPr>
          <w:p w14:paraId="1B33807F" w14:textId="6A7420BE" w:rsidR="00264740" w:rsidRDefault="00264740" w:rsidP="00264740">
            <w:pPr>
              <w:pStyle w:val="TCellBody"/>
              <w:cnfStyle w:val="000000000000" w:firstRow="0" w:lastRow="0" w:firstColumn="0" w:lastColumn="0" w:oddVBand="0" w:evenVBand="0" w:oddHBand="0" w:evenHBand="0" w:firstRowFirstColumn="0" w:firstRowLastColumn="0" w:lastRowFirstColumn="0" w:lastRowLastColumn="0"/>
              <w:rPr>
                <w:color w:val="000000" w:themeColor="dark1"/>
              </w:rPr>
            </w:pPr>
            <w:r>
              <w:t xml:space="preserve">11509500 Klamath at </w:t>
            </w:r>
            <w:proofErr w:type="spellStart"/>
            <w:r>
              <w:t>Keno.Gage</w:t>
            </w:r>
            <w:proofErr w:type="spellEnd"/>
            <w:r>
              <w:t xml:space="preserve"> Inflow</w:t>
            </w:r>
          </w:p>
        </w:tc>
        <w:tc>
          <w:tcPr>
            <w:tcW w:w="3865" w:type="dxa"/>
          </w:tcPr>
          <w:p w14:paraId="21D55850" w14:textId="04190479"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r w:rsidRPr="0057218A">
              <w:t>This represents the total release from Keno</w:t>
            </w:r>
          </w:p>
        </w:tc>
      </w:tr>
      <w:tr w:rsidR="00264740" w14:paraId="2BE21737" w14:textId="77777777" w:rsidTr="0000500D">
        <w:tc>
          <w:tcPr>
            <w:cnfStyle w:val="001000000000" w:firstRow="0" w:lastRow="0" w:firstColumn="1" w:lastColumn="0" w:oddVBand="0" w:evenVBand="0" w:oddHBand="0" w:evenHBand="0" w:firstRowFirstColumn="0" w:firstRowLastColumn="0" w:lastRowFirstColumn="0" w:lastRowLastColumn="0"/>
            <w:tcW w:w="1975" w:type="dxa"/>
            <w:vMerge/>
          </w:tcPr>
          <w:p w14:paraId="5209A677" w14:textId="77777777" w:rsidR="00264740" w:rsidRDefault="00264740" w:rsidP="00264740">
            <w:pPr>
              <w:pStyle w:val="TCellBody"/>
            </w:pPr>
          </w:p>
        </w:tc>
        <w:tc>
          <w:tcPr>
            <w:tcW w:w="3510" w:type="dxa"/>
          </w:tcPr>
          <w:p w14:paraId="57440769" w14:textId="4ECD5B91" w:rsidR="00264740" w:rsidRDefault="00264740" w:rsidP="00264740">
            <w:pPr>
              <w:pStyle w:val="TCellBody"/>
              <w:cnfStyle w:val="000000000000" w:firstRow="0" w:lastRow="0" w:firstColumn="0" w:lastColumn="0" w:oddVBand="0" w:evenVBand="0" w:oddHBand="0" w:evenHBand="0" w:firstRowFirstColumn="0" w:firstRowLastColumn="0" w:lastRowFirstColumn="0" w:lastRowLastColumn="0"/>
              <w:rPr>
                <w:color w:val="000000" w:themeColor="dark1"/>
              </w:rPr>
            </w:pPr>
            <w:r>
              <w:rPr>
                <w:color w:val="000000" w:themeColor="dark1"/>
              </w:rPr>
              <w:t xml:space="preserve">11516530 Klamath </w:t>
            </w:r>
            <w:proofErr w:type="spellStart"/>
            <w:r>
              <w:rPr>
                <w:color w:val="000000" w:themeColor="dark1"/>
              </w:rPr>
              <w:t>bl</w:t>
            </w:r>
            <w:proofErr w:type="spellEnd"/>
            <w:r>
              <w:rPr>
                <w:color w:val="000000" w:themeColor="dark1"/>
              </w:rPr>
              <w:t xml:space="preserve"> Iron </w:t>
            </w:r>
            <w:proofErr w:type="spellStart"/>
            <w:r>
              <w:rPr>
                <w:color w:val="000000" w:themeColor="dark1"/>
              </w:rPr>
              <w:t>Gate.Gage</w:t>
            </w:r>
            <w:proofErr w:type="spellEnd"/>
            <w:r>
              <w:rPr>
                <w:color w:val="000000" w:themeColor="dark1"/>
              </w:rPr>
              <w:t xml:space="preserve"> Inflow</w:t>
            </w:r>
          </w:p>
        </w:tc>
        <w:tc>
          <w:tcPr>
            <w:tcW w:w="3865" w:type="dxa"/>
          </w:tcPr>
          <w:p w14:paraId="67DD325D" w14:textId="373E99B3" w:rsidR="00264740" w:rsidRPr="0057218A" w:rsidRDefault="00264740" w:rsidP="0057218A">
            <w:pPr>
              <w:pStyle w:val="TCellBody"/>
              <w:cnfStyle w:val="000000000000" w:firstRow="0" w:lastRow="0" w:firstColumn="0" w:lastColumn="0" w:oddVBand="0" w:evenVBand="0" w:oddHBand="0" w:evenHBand="0" w:firstRowFirstColumn="0" w:firstRowLastColumn="0" w:lastRowFirstColumn="0" w:lastRowLastColumn="0"/>
            </w:pPr>
            <w:r w:rsidRPr="0057218A">
              <w:t>This represents the total Outflow from IGD</w:t>
            </w:r>
          </w:p>
        </w:tc>
      </w:tr>
      <w:tr w:rsidR="0057218A" w14:paraId="2F226B9B" w14:textId="51B72D46" w:rsidTr="0000500D">
        <w:tc>
          <w:tcPr>
            <w:cnfStyle w:val="001000000000" w:firstRow="0" w:lastRow="0" w:firstColumn="1" w:lastColumn="0" w:oddVBand="0" w:evenVBand="0" w:oddHBand="0" w:evenHBand="0" w:firstRowFirstColumn="0" w:firstRowLastColumn="0" w:lastRowFirstColumn="0" w:lastRowLastColumn="0"/>
            <w:tcW w:w="1975" w:type="dxa"/>
            <w:vMerge w:val="restart"/>
          </w:tcPr>
          <w:p w14:paraId="5D594B07" w14:textId="5686EE20" w:rsidR="0057218A" w:rsidRDefault="0057218A" w:rsidP="00264740">
            <w:pPr>
              <w:pStyle w:val="TCellBody"/>
            </w:pPr>
            <w:r>
              <w:t>Miscellaneous</w:t>
            </w:r>
          </w:p>
        </w:tc>
        <w:tc>
          <w:tcPr>
            <w:tcW w:w="3510" w:type="dxa"/>
          </w:tcPr>
          <w:p w14:paraId="45A03BC9" w14:textId="0DF29574" w:rsidR="0057218A" w:rsidRDefault="0057218A" w:rsidP="00264740">
            <w:pPr>
              <w:pStyle w:val="TCellBody"/>
              <w:cnfStyle w:val="000000000000" w:firstRow="0" w:lastRow="0" w:firstColumn="0" w:lastColumn="0" w:oddVBand="0" w:evenVBand="0" w:oddHBand="0" w:evenHBand="0" w:firstRowFirstColumn="0" w:firstRowLastColumn="0" w:lastRowFirstColumn="0" w:lastRowLastColumn="0"/>
              <w:rPr>
                <w:color w:val="000000" w:themeColor="dark1"/>
              </w:rPr>
            </w:pPr>
            <w:r w:rsidRPr="00E74DA4">
              <w:rPr>
                <w:color w:val="000000" w:themeColor="dark1"/>
              </w:rPr>
              <w:t xml:space="preserve">Miller Hill </w:t>
            </w:r>
            <w:proofErr w:type="spellStart"/>
            <w:r w:rsidRPr="00E74DA4">
              <w:rPr>
                <w:color w:val="000000" w:themeColor="dark1"/>
              </w:rPr>
              <w:t>Pump.Spill</w:t>
            </w:r>
            <w:proofErr w:type="spellEnd"/>
          </w:p>
        </w:tc>
        <w:tc>
          <w:tcPr>
            <w:tcW w:w="3865" w:type="dxa"/>
          </w:tcPr>
          <w:p w14:paraId="7B50C372" w14:textId="77777777" w:rsidR="0057218A" w:rsidRPr="0057218A" w:rsidRDefault="0057218A" w:rsidP="0057218A">
            <w:pPr>
              <w:pStyle w:val="TCellBody"/>
              <w:cnfStyle w:val="000000000000" w:firstRow="0" w:lastRow="0" w:firstColumn="0" w:lastColumn="0" w:oddVBand="0" w:evenVBand="0" w:oddHBand="0" w:evenHBand="0" w:firstRowFirstColumn="0" w:firstRowLastColumn="0" w:lastRowFirstColumn="0" w:lastRowLastColumn="0"/>
            </w:pPr>
          </w:p>
        </w:tc>
      </w:tr>
      <w:tr w:rsidR="0057218A" w14:paraId="2F0C5828" w14:textId="6466F7A1" w:rsidTr="0000500D">
        <w:tc>
          <w:tcPr>
            <w:cnfStyle w:val="001000000000" w:firstRow="0" w:lastRow="0" w:firstColumn="1" w:lastColumn="0" w:oddVBand="0" w:evenVBand="0" w:oddHBand="0" w:evenHBand="0" w:firstRowFirstColumn="0" w:firstRowLastColumn="0" w:lastRowFirstColumn="0" w:lastRowLastColumn="0"/>
            <w:tcW w:w="1975" w:type="dxa"/>
            <w:vMerge/>
          </w:tcPr>
          <w:p w14:paraId="14EA43C8" w14:textId="77777777" w:rsidR="0057218A" w:rsidRDefault="0057218A" w:rsidP="00264740">
            <w:pPr>
              <w:pStyle w:val="TCellBody"/>
            </w:pPr>
          </w:p>
        </w:tc>
        <w:tc>
          <w:tcPr>
            <w:tcW w:w="3510" w:type="dxa"/>
          </w:tcPr>
          <w:p w14:paraId="7A371ACE" w14:textId="42B23C55" w:rsidR="0057218A" w:rsidRPr="00E74DA4" w:rsidRDefault="0057218A" w:rsidP="00264740">
            <w:pPr>
              <w:pStyle w:val="TCellBody"/>
              <w:cnfStyle w:val="000000000000" w:firstRow="0" w:lastRow="0" w:firstColumn="0" w:lastColumn="0" w:oddVBand="0" w:evenVBand="0" w:oddHBand="0" w:evenHBand="0" w:firstRowFirstColumn="0" w:firstRowLastColumn="0" w:lastRowFirstColumn="0" w:lastRowLastColumn="0"/>
              <w:rPr>
                <w:color w:val="000000" w:themeColor="dark1"/>
              </w:rPr>
            </w:pPr>
            <w:proofErr w:type="spellStart"/>
            <w:r>
              <w:rPr>
                <w:color w:val="000000" w:themeColor="dark1"/>
              </w:rPr>
              <w:t>Dashboard.Sukraw</w:t>
            </w:r>
            <w:proofErr w:type="spellEnd"/>
            <w:r>
              <w:rPr>
                <w:color w:val="000000" w:themeColor="dark1"/>
              </w:rPr>
              <w:t xml:space="preserve"> Well</w:t>
            </w:r>
          </w:p>
        </w:tc>
        <w:tc>
          <w:tcPr>
            <w:tcW w:w="3865" w:type="dxa"/>
          </w:tcPr>
          <w:p w14:paraId="5D36C835" w14:textId="364138BC" w:rsidR="0057218A" w:rsidRPr="0057218A" w:rsidRDefault="0057218A" w:rsidP="0057218A">
            <w:pPr>
              <w:pStyle w:val="TCellBody"/>
              <w:cnfStyle w:val="000000000000" w:firstRow="0" w:lastRow="0" w:firstColumn="0" w:lastColumn="0" w:oddVBand="0" w:evenVBand="0" w:oddHBand="0" w:evenHBand="0" w:firstRowFirstColumn="0" w:firstRowLastColumn="0" w:lastRowFirstColumn="0" w:lastRowLastColumn="0"/>
            </w:pPr>
            <w:r>
              <w:t xml:space="preserve">Total pumping from the </w:t>
            </w:r>
            <w:proofErr w:type="spellStart"/>
            <w:r>
              <w:t>Sukraw</w:t>
            </w:r>
            <w:proofErr w:type="spellEnd"/>
            <w:r>
              <w:t xml:space="preserve"> Wells.</w:t>
            </w:r>
          </w:p>
        </w:tc>
      </w:tr>
    </w:tbl>
    <w:p w14:paraId="2052E0FC" w14:textId="3643BA27" w:rsidR="008769EF" w:rsidRDefault="008769EF" w:rsidP="008769EF">
      <w:r>
        <w:t>These slots are time series since the measurements occur over the run period. The model imports the data from an external database</w:t>
      </w:r>
      <w:r w:rsidR="00A55944">
        <w:t xml:space="preserve"> (Excel file)</w:t>
      </w:r>
      <w:r>
        <w:t xml:space="preserve"> with a DMI. </w:t>
      </w:r>
    </w:p>
    <w:p w14:paraId="268DF5BF" w14:textId="77777777" w:rsidR="008769EF" w:rsidRDefault="008769EF" w:rsidP="0030367C">
      <w:pPr>
        <w:pStyle w:val="Heading3"/>
      </w:pPr>
      <w:bookmarkStart w:id="42" w:name="_heading=h.g42ir35lrrau" w:colFirst="0" w:colLast="0"/>
      <w:bookmarkStart w:id="43" w:name="_Toc48817200"/>
      <w:bookmarkEnd w:id="42"/>
      <w:r>
        <w:t>Hydrology Tables</w:t>
      </w:r>
      <w:bookmarkEnd w:id="43"/>
    </w:p>
    <w:p w14:paraId="2F195DD4" w14:textId="01D632CD" w:rsidR="008769EF" w:rsidRDefault="00794484" w:rsidP="008769EF">
      <w:r>
        <w:t>Hydrology t</w:t>
      </w:r>
      <w:r w:rsidR="008769EF">
        <w:t>ables store data for several forecast and r</w:t>
      </w:r>
      <w:r>
        <w:t>elease computations. Hydrology t</w:t>
      </w:r>
      <w:r w:rsidR="008769EF">
        <w:t xml:space="preserve">ables remain </w:t>
      </w:r>
      <w:r w:rsidR="00A55944">
        <w:t xml:space="preserve">constant </w:t>
      </w:r>
      <w:r>
        <w:t xml:space="preserve">through a year </w:t>
      </w:r>
      <w:r w:rsidR="00A55944">
        <w:t xml:space="preserve">and are </w:t>
      </w:r>
      <w:r>
        <w:t xml:space="preserve">only </w:t>
      </w:r>
      <w:r w:rsidR="00A55944">
        <w:t>updated occasionally</w:t>
      </w:r>
      <w:r w:rsidR="008769EF">
        <w:t>. Tables range from datasets for the minimum/maximum releases at the major reservoirs, flood control pool elevations, daily forecasts at multiple locations, and UKL trajectory correction factors. Figure 5 shows the inventory of Hydrology Tables’ slots.</w:t>
      </w:r>
    </w:p>
    <w:p w14:paraId="183A709A" w14:textId="497944E7" w:rsidR="00A55944" w:rsidRDefault="00A55944" w:rsidP="00A55944">
      <w:pPr>
        <w:pStyle w:val="TableTitle"/>
        <w:rPr>
          <w:szCs w:val="20"/>
        </w:rPr>
      </w:pPr>
      <w:r>
        <w:rPr>
          <w:szCs w:val="20"/>
        </w:rPr>
        <w:lastRenderedPageBreak/>
        <w:t>Objects and slots that represent the Hydrology Tables. EP is short for Exceedance Percentages, the values in the parenthesis show the exact ones used.</w:t>
      </w:r>
    </w:p>
    <w:p w14:paraId="2DFAB594" w14:textId="77777777" w:rsidR="00A55944" w:rsidRPr="00A55944" w:rsidRDefault="00A55944" w:rsidP="00A55944">
      <w:pPr>
        <w:pStyle w:val="TableAnchor"/>
      </w:pPr>
    </w:p>
    <w:p w14:paraId="311991DA" w14:textId="17623793" w:rsidR="008769EF" w:rsidRPr="00A55944" w:rsidRDefault="008769EF" w:rsidP="00A55944">
      <w:pPr>
        <w:jc w:val="center"/>
      </w:pPr>
      <w:r>
        <w:rPr>
          <w:noProof/>
        </w:rPr>
        <w:drawing>
          <wp:inline distT="114300" distB="114300" distL="114300" distR="114300" wp14:anchorId="2536DB2A" wp14:editId="4482A004">
            <wp:extent cx="5943600" cy="5092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5092700"/>
                    </a:xfrm>
                    <a:prstGeom prst="rect">
                      <a:avLst/>
                    </a:prstGeom>
                    <a:ln/>
                  </pic:spPr>
                </pic:pic>
              </a:graphicData>
            </a:graphic>
          </wp:inline>
        </w:drawing>
      </w:r>
    </w:p>
    <w:p w14:paraId="3CFD3209" w14:textId="4736EF5C" w:rsidR="008769EF" w:rsidRDefault="00A55944" w:rsidP="008769EF">
      <w:r>
        <w:t>Most</w:t>
      </w:r>
      <w:r w:rsidR="008769EF">
        <w:t xml:space="preserve"> Hydrology Tables </w:t>
      </w:r>
      <w:r>
        <w:t>are</w:t>
      </w:r>
      <w:r w:rsidR="008769EF">
        <w:t xml:space="preserve"> periodic table slots since the rows vary by date or month. The exception is UKL’s maximum release table, which is elevation based. Since these don’t change frequently, the operator can access the object to get to the relevant table (i.e. the Iron Gate Dam Maximum Release Table is on the Iron Gate Dam object.) No data objects are required since the tables are all location dependent.</w:t>
      </w:r>
    </w:p>
    <w:p w14:paraId="00493740" w14:textId="19CF77C5" w:rsidR="00EA565B" w:rsidRDefault="004949B0" w:rsidP="004949B0">
      <w:pPr>
        <w:pStyle w:val="Heading1"/>
      </w:pPr>
      <w:bookmarkStart w:id="44" w:name="_Toc48817201"/>
      <w:bookmarkStart w:id="45" w:name="_Toc48817252"/>
      <w:r>
        <w:t xml:space="preserve">Operating </w:t>
      </w:r>
      <w:r w:rsidR="00EA565B">
        <w:t>Policy</w:t>
      </w:r>
      <w:bookmarkEnd w:id="44"/>
      <w:bookmarkEnd w:id="45"/>
    </w:p>
    <w:p w14:paraId="5BF12360" w14:textId="4B5D4717" w:rsidR="00874153" w:rsidRDefault="00874153" w:rsidP="00874153">
      <w:r>
        <w:t xml:space="preserve">This section </w:t>
      </w:r>
      <w:r w:rsidR="00A55944">
        <w:t>describes the operating policy that is modeled in the KROM 2019 Proposed Action.  The description is conceptual in this section, but detailed documentation and descriptions of individual rules can be found in</w:t>
      </w:r>
      <w:r w:rsidR="00170C2A">
        <w:t xml:space="preserve"> a separate </w:t>
      </w:r>
      <w:r w:rsidR="00111FAE">
        <w:fldChar w:fldCharType="begin"/>
      </w:r>
      <w:r w:rsidR="00111FAE">
        <w:instrText xml:space="preserve"> REF _Ref48913108 \h </w:instrText>
      </w:r>
      <w:r w:rsidR="00111FAE">
        <w:fldChar w:fldCharType="separate"/>
      </w:r>
      <w:r w:rsidR="00170C2A">
        <w:t xml:space="preserve">appendix </w:t>
      </w:r>
      <w:r w:rsidR="00111FAE">
        <w:fldChar w:fldCharType="end"/>
      </w:r>
      <w:r w:rsidR="00170C2A">
        <w:t>“</w:t>
      </w:r>
      <w:r w:rsidR="00170C2A" w:rsidRPr="00170C2A">
        <w:t>KROM_RuleAndFunctionDocumentation.html</w:t>
      </w:r>
      <w:r w:rsidR="00170C2A">
        <w:t>”</w:t>
      </w:r>
      <w:r w:rsidR="00111FAE">
        <w:t>.</w:t>
      </w:r>
    </w:p>
    <w:p w14:paraId="07506F43" w14:textId="2386B25D" w:rsidR="0030367C" w:rsidRPr="00874153" w:rsidRDefault="0030367C" w:rsidP="00874153">
      <w:r>
        <w:t>For the KROM, the</w:t>
      </w:r>
      <w:r w:rsidR="00111FAE">
        <w:t xml:space="preserve"> main</w:t>
      </w:r>
      <w:r>
        <w:t xml:space="preserve"> goal</w:t>
      </w:r>
      <w:r w:rsidR="00111FAE">
        <w:t xml:space="preserve"> of the operating policy is </w:t>
      </w:r>
      <w:r>
        <w:t>to determine the flows from Upper Klamath Lake and Iron Gate Dam necessary to satisfy the Biological Opinion (</w:t>
      </w:r>
      <w:proofErr w:type="spellStart"/>
      <w:r>
        <w:t>BiOp</w:t>
      </w:r>
      <w:proofErr w:type="spellEnd"/>
      <w:r>
        <w:t>) requirements for flows in the river.</w:t>
      </w:r>
      <w:r w:rsidR="00111FAE">
        <w:t xml:space="preserve"> The secondary goal is to provide information to the operator on how the remainder of the season or year may play out due to the forecasted hydrology, demands, and accretions.  The operating policy or rules can </w:t>
      </w:r>
      <w:r w:rsidR="00111FAE">
        <w:lastRenderedPageBreak/>
        <w:t xml:space="preserve">be split into two components, pre-simulation or initialization rules </w:t>
      </w:r>
      <w:r w:rsidR="00794484">
        <w:t xml:space="preserve">that </w:t>
      </w:r>
      <w:r w:rsidR="00111FAE">
        <w:t xml:space="preserve">happen once at the start of the run, </w:t>
      </w:r>
      <w:r w:rsidR="00794484">
        <w:t xml:space="preserve">and </w:t>
      </w:r>
      <w:r w:rsidR="00111FAE">
        <w:t xml:space="preserve">simulation computations or rulebased simulation rules </w:t>
      </w:r>
      <w:r w:rsidR="00794484">
        <w:t xml:space="preserve">that </w:t>
      </w:r>
      <w:r w:rsidR="00111FAE">
        <w:t xml:space="preserve">happen within each timestep. </w:t>
      </w:r>
    </w:p>
    <w:p w14:paraId="587554F1" w14:textId="77777777" w:rsidR="008769EF" w:rsidRDefault="008769EF" w:rsidP="00EA565B">
      <w:pPr>
        <w:pStyle w:val="Heading2"/>
      </w:pPr>
      <w:bookmarkStart w:id="46" w:name="_heading=h.7jr3r0u5g19u" w:colFirst="0" w:colLast="0"/>
      <w:bookmarkStart w:id="47" w:name="_Toc48817202"/>
      <w:bookmarkStart w:id="48" w:name="_Toc48817253"/>
      <w:bookmarkEnd w:id="46"/>
      <w:r>
        <w:t>Pre-Simulation Computations</w:t>
      </w:r>
      <w:bookmarkEnd w:id="47"/>
      <w:bookmarkEnd w:id="48"/>
    </w:p>
    <w:p w14:paraId="28487AF1" w14:textId="1B419152" w:rsidR="008769EF" w:rsidRDefault="00396D15" w:rsidP="008769EF">
      <w:r>
        <w:t>Pre</w:t>
      </w:r>
      <w:r w:rsidR="008769EF">
        <w:t>-</w:t>
      </w:r>
      <w:r>
        <w:t>simulation c</w:t>
      </w:r>
      <w:r w:rsidR="008769EF">
        <w:t xml:space="preserve">omputations process the </w:t>
      </w:r>
      <w:r w:rsidR="00794484">
        <w:t>imported</w:t>
      </w:r>
      <w:r w:rsidR="008769EF">
        <w:t xml:space="preserve"> data to set up the run. These computations forecast hydrology and demands from the </w:t>
      </w:r>
      <w:r w:rsidR="005679BB">
        <w:t>operation start timestep</w:t>
      </w:r>
      <w:r w:rsidR="008769EF">
        <w:t xml:space="preserve"> to the run finish timestep. Additionally, they compute the seasonal account supplies from the NRCS inflow for</w:t>
      </w:r>
      <w:r w:rsidR="00C34A48">
        <w:t>ecasts. The model performs the p</w:t>
      </w:r>
      <w:r w:rsidR="008769EF">
        <w:t>re</w:t>
      </w:r>
      <w:r w:rsidR="00C34A48">
        <w:t>-s</w:t>
      </w:r>
      <w:r w:rsidR="008769EF">
        <w:t xml:space="preserve">imulation </w:t>
      </w:r>
      <w:r w:rsidR="00C34A48">
        <w:t>c</w:t>
      </w:r>
      <w:r w:rsidR="008769EF">
        <w:t xml:space="preserve">omputations with the initialization rules, which execute during the initialization phase that precedes the run. Each initialization rule computes values over a period that varies per </w:t>
      </w:r>
      <w:r w:rsidR="00C34A48">
        <w:t>pre-simulation c</w:t>
      </w:r>
      <w:r w:rsidR="008769EF">
        <w:t xml:space="preserve">omputation (i.e. </w:t>
      </w:r>
      <w:r w:rsidR="005679BB">
        <w:t>operation start timestep</w:t>
      </w:r>
      <w:r w:rsidR="008769EF">
        <w:t xml:space="preserve"> through run finish timestep).</w:t>
      </w:r>
    </w:p>
    <w:p w14:paraId="7FA13DC6" w14:textId="77777777" w:rsidR="008769EF" w:rsidRDefault="008769EF" w:rsidP="0030367C">
      <w:pPr>
        <w:pStyle w:val="Heading3"/>
      </w:pPr>
      <w:bookmarkStart w:id="49" w:name="_heading=h.u7aflyiay4l" w:colFirst="0" w:colLast="0"/>
      <w:bookmarkStart w:id="50" w:name="_Toc48817203"/>
      <w:bookmarkEnd w:id="49"/>
      <w:r w:rsidRPr="0030367C">
        <w:t>Hydrological</w:t>
      </w:r>
      <w:r>
        <w:t xml:space="preserve"> Forecasts</w:t>
      </w:r>
      <w:bookmarkEnd w:id="50"/>
    </w:p>
    <w:p w14:paraId="1479138C" w14:textId="2AB8D0E8" w:rsidR="00396D15" w:rsidRDefault="00794484" w:rsidP="00396D15">
      <w:r>
        <w:t>Hy</w:t>
      </w:r>
      <w:r w:rsidR="008769EF">
        <w:t xml:space="preserve">drological </w:t>
      </w:r>
      <w:r>
        <w:t>f</w:t>
      </w:r>
      <w:r w:rsidR="008769EF">
        <w:t xml:space="preserve">orecasts generate accretions and flows for the basin from the </w:t>
      </w:r>
      <w:r w:rsidR="005679BB">
        <w:t>operation start timestep</w:t>
      </w:r>
      <w:r w:rsidR="008769EF">
        <w:t xml:space="preserve"> to the end of the run. The locations</w:t>
      </w:r>
      <w:r>
        <w:t xml:space="preserve"> with</w:t>
      </w:r>
      <w:r w:rsidR="008769EF">
        <w:t xml:space="preserve"> forecast policies are as follows: </w:t>
      </w:r>
    </w:p>
    <w:p w14:paraId="1982F2F1" w14:textId="77777777" w:rsidR="00396D15" w:rsidRDefault="008769EF" w:rsidP="00396D15">
      <w:pPr>
        <w:pStyle w:val="ListBullet"/>
      </w:pPr>
      <w:proofErr w:type="spellStart"/>
      <w:r>
        <w:t>UKL.Inflow</w:t>
      </w:r>
      <w:proofErr w:type="spellEnd"/>
      <w:r>
        <w:t xml:space="preserve">, </w:t>
      </w:r>
    </w:p>
    <w:p w14:paraId="00438AF3" w14:textId="77777777" w:rsidR="00396D15" w:rsidRDefault="008769EF" w:rsidP="00396D15">
      <w:pPr>
        <w:pStyle w:val="ListBullet"/>
      </w:pPr>
      <w:proofErr w:type="spellStart"/>
      <w:r>
        <w:t>LRDC.Inflow</w:t>
      </w:r>
      <w:proofErr w:type="spellEnd"/>
      <w:r>
        <w:t xml:space="preserve">, </w:t>
      </w:r>
    </w:p>
    <w:p w14:paraId="4B786079" w14:textId="77777777" w:rsidR="00396D15" w:rsidRDefault="008769EF" w:rsidP="00396D15">
      <w:pPr>
        <w:pStyle w:val="ListBullet"/>
      </w:pPr>
      <w:r>
        <w:t xml:space="preserve">Lake </w:t>
      </w:r>
      <w:proofErr w:type="spellStart"/>
      <w:r>
        <w:t>Ewauna.Local</w:t>
      </w:r>
      <w:proofErr w:type="spellEnd"/>
      <w:r>
        <w:t xml:space="preserve"> Inflow, </w:t>
      </w:r>
    </w:p>
    <w:p w14:paraId="4D3D67DC" w14:textId="77777777" w:rsidR="00396D15" w:rsidRDefault="008769EF" w:rsidP="00396D15">
      <w:pPr>
        <w:pStyle w:val="ListBullet"/>
      </w:pPr>
      <w:r>
        <w:t xml:space="preserve">F/FF </w:t>
      </w:r>
      <w:proofErr w:type="spellStart"/>
      <w:r>
        <w:t>Pump.Inflow</w:t>
      </w:r>
      <w:proofErr w:type="spellEnd"/>
      <w:r>
        <w:t xml:space="preserve">, and </w:t>
      </w:r>
    </w:p>
    <w:p w14:paraId="1DF2D589" w14:textId="77777777" w:rsidR="00396D15" w:rsidRDefault="008769EF" w:rsidP="00396D15">
      <w:pPr>
        <w:pStyle w:val="ListBullet"/>
      </w:pPr>
      <w:r>
        <w:t xml:space="preserve">Keno to Boyle </w:t>
      </w:r>
      <w:proofErr w:type="spellStart"/>
      <w:r>
        <w:t>Gain.Local</w:t>
      </w:r>
      <w:proofErr w:type="spellEnd"/>
      <w:r>
        <w:t xml:space="preserve"> Inflow. </w:t>
      </w:r>
    </w:p>
    <w:p w14:paraId="67CBC70B" w14:textId="35165FA1" w:rsidR="008769EF" w:rsidRDefault="008769EF" w:rsidP="00396D15">
      <w:r>
        <w:t xml:space="preserve">The </w:t>
      </w:r>
      <w:r w:rsidR="00396D15">
        <w:t>last</w:t>
      </w:r>
      <w:r>
        <w:t xml:space="preserve"> four slots are the accretions. Reclamation bases all the forecasts on historical hydrology and uses adjustment factors to tailor it for the </w:t>
      </w:r>
      <w:r w:rsidR="00B06AB0">
        <w:t>operating year’s conditions. A</w:t>
      </w:r>
      <w:r>
        <w:t xml:space="preserve"> value </w:t>
      </w:r>
      <w:r w:rsidR="00B06AB0">
        <w:t xml:space="preserve">is forecasted </w:t>
      </w:r>
      <w:r>
        <w:t xml:space="preserve">for each timestep from the </w:t>
      </w:r>
      <w:r w:rsidR="005679BB">
        <w:t>operation start timestep</w:t>
      </w:r>
      <w:r>
        <w:t xml:space="preserve"> to the run finish timestep. The operator can view the forecasts from the slot viewer</w:t>
      </w:r>
      <w:r w:rsidR="00396D15">
        <w:t xml:space="preserve"> or </w:t>
      </w:r>
      <w:r>
        <w:t>SCT sheet</w:t>
      </w:r>
      <w:r w:rsidR="00396D15">
        <w:t>s</w:t>
      </w:r>
      <w:r>
        <w:t xml:space="preserve">. </w:t>
      </w:r>
    </w:p>
    <w:p w14:paraId="0F9FE36A" w14:textId="77777777" w:rsidR="008769EF" w:rsidRDefault="008769EF" w:rsidP="0030367C">
      <w:pPr>
        <w:pStyle w:val="Heading4"/>
      </w:pPr>
      <w:bookmarkStart w:id="51" w:name="_heading=h.punuslgyfczt" w:colFirst="0" w:colLast="0"/>
      <w:bookmarkEnd w:id="51"/>
      <w:r>
        <w:t xml:space="preserve">UKL </w:t>
      </w:r>
      <w:r w:rsidRPr="0030367C">
        <w:t>Inflow</w:t>
      </w:r>
    </w:p>
    <w:p w14:paraId="03E41B00" w14:textId="19CD27E3" w:rsidR="008769EF" w:rsidRDefault="008769EF" w:rsidP="008769EF">
      <w:r>
        <w:t xml:space="preserve">The inflow forecast at UKL is a </w:t>
      </w:r>
      <w:r w:rsidR="0030367C">
        <w:t>two-step</w:t>
      </w:r>
      <w:r>
        <w:t xml:space="preserve"> process. </w:t>
      </w:r>
    </w:p>
    <w:p w14:paraId="60EC7908" w14:textId="77777777" w:rsidR="008769EF" w:rsidRDefault="008769EF" w:rsidP="008769EF">
      <w:r>
        <w:t>1) The policy looks up an inflow from the “</w:t>
      </w:r>
      <w:proofErr w:type="spellStart"/>
      <w:r>
        <w:t>UKL.Inflow</w:t>
      </w:r>
      <w:proofErr w:type="spellEnd"/>
      <w:r>
        <w:t xml:space="preserve"> Forecast Table” with the exceedance percent and date as the parameters. </w:t>
      </w:r>
    </w:p>
    <w:p w14:paraId="6AEC2449" w14:textId="08E78ABA" w:rsidR="008769EF" w:rsidRDefault="008769EF" w:rsidP="008769EF">
      <w:r>
        <w:t xml:space="preserve">2) The policy adjusts the lookup value with an adjustment factor based on how far the timestep is past </w:t>
      </w:r>
      <w:r w:rsidR="005679BB">
        <w:t>operation start timestep</w:t>
      </w:r>
      <w:r>
        <w:t xml:space="preserve">. </w:t>
      </w:r>
    </w:p>
    <w:p w14:paraId="0038F272" w14:textId="52E6DD2A" w:rsidR="008769EF" w:rsidRDefault="008769EF" w:rsidP="008769EF">
      <w:r>
        <w:t>The policies manipulate the inflow at UKL to find the 60-day normalized, maximum, and minimum average inflow. Those values are utilized for the UKL Central Tendency Controlled Release policy</w:t>
      </w:r>
      <w:r w:rsidR="00794484">
        <w:t xml:space="preserve"> described on page </w:t>
      </w:r>
      <w:r w:rsidR="00794484">
        <w:fldChar w:fldCharType="begin"/>
      </w:r>
      <w:r w:rsidR="00794484">
        <w:instrText xml:space="preserve"> PAGEREF _Ref50785671 \h </w:instrText>
      </w:r>
      <w:r w:rsidR="00794484">
        <w:fldChar w:fldCharType="separate"/>
      </w:r>
      <w:r w:rsidR="00170C2A">
        <w:rPr>
          <w:noProof/>
        </w:rPr>
        <w:t>13</w:t>
      </w:r>
      <w:r w:rsidR="00794484">
        <w:fldChar w:fldCharType="end"/>
      </w:r>
      <w:r>
        <w:t>.</w:t>
      </w:r>
    </w:p>
    <w:p w14:paraId="23B99E83" w14:textId="77777777" w:rsidR="008769EF" w:rsidRDefault="008769EF" w:rsidP="0030367C">
      <w:pPr>
        <w:pStyle w:val="Heading4"/>
      </w:pPr>
      <w:bookmarkStart w:id="52" w:name="_heading=h.ia77o89mhmlk" w:colFirst="0" w:colLast="0"/>
      <w:bookmarkEnd w:id="52"/>
      <w:r>
        <w:t>Accretions</w:t>
      </w:r>
    </w:p>
    <w:p w14:paraId="2302C9AE" w14:textId="39AE38A0" w:rsidR="008769EF" w:rsidRDefault="008769EF" w:rsidP="008769EF">
      <w:r>
        <w:t xml:space="preserve">The accretion forecasts, for each location, are a </w:t>
      </w:r>
      <w:r w:rsidR="00396D15">
        <w:t>two-step</w:t>
      </w:r>
      <w:r>
        <w:t xml:space="preserve"> process. </w:t>
      </w:r>
    </w:p>
    <w:p w14:paraId="3CFFE204" w14:textId="6117F861" w:rsidR="008769EF" w:rsidRDefault="008769EF" w:rsidP="008769EF">
      <w:r>
        <w:t xml:space="preserve">1) If the timestep is less than a week past the </w:t>
      </w:r>
      <w:r w:rsidR="005679BB">
        <w:t>operation start timestep</w:t>
      </w:r>
      <w:r>
        <w:t>, the policy computes the accretion as the average of the past</w:t>
      </w:r>
      <w:r w:rsidR="00D32D32">
        <w:t xml:space="preserve"> week’s accretion. Otherwise</w:t>
      </w:r>
      <w:r>
        <w:t xml:space="preserve">, the policy looks up an accretion from the “River Accretion*.Forecast Table” with the timestep appropriate percent and date as the parameters. </w:t>
      </w:r>
    </w:p>
    <w:p w14:paraId="3F8E8A12" w14:textId="7ADDBD17" w:rsidR="008769EF" w:rsidRDefault="008769EF" w:rsidP="008769EF">
      <w:r>
        <w:t xml:space="preserve">2) The policy adjusts the lookup value (not the average) with an adjustment factor based on how far the timestep is past </w:t>
      </w:r>
      <w:r w:rsidR="005679BB">
        <w:t>operation start timestep</w:t>
      </w:r>
      <w:r>
        <w:t xml:space="preserve">. </w:t>
      </w:r>
    </w:p>
    <w:p w14:paraId="5A53AD7A" w14:textId="60ADD9F7" w:rsidR="008769EF" w:rsidRDefault="008769EF" w:rsidP="008769EF">
      <w:r>
        <w:lastRenderedPageBreak/>
        <w:t xml:space="preserve">The simulation </w:t>
      </w:r>
      <w:r w:rsidR="00D32D32">
        <w:t>computations then further</w:t>
      </w:r>
      <w:r>
        <w:t xml:space="preserve"> manipulate the accretions to determine the agricultural and environmental demands they satisfy. This affects allocations since accretions</w:t>
      </w:r>
      <w:r w:rsidR="00D32D32">
        <w:t xml:space="preserve"> can </w:t>
      </w:r>
      <w:r>
        <w:t>supply demands without a withdrawal from the seasonal account volume. Thus, more supply is leftover for other or later demands.</w:t>
      </w:r>
    </w:p>
    <w:p w14:paraId="57331276" w14:textId="77777777" w:rsidR="008769EF" w:rsidRDefault="008769EF" w:rsidP="0030367C">
      <w:pPr>
        <w:pStyle w:val="Heading3"/>
      </w:pPr>
      <w:bookmarkStart w:id="53" w:name="_heading=h.9yyoc6dx6x28" w:colFirst="0" w:colLast="0"/>
      <w:bookmarkStart w:id="54" w:name="_Toc48817204"/>
      <w:bookmarkEnd w:id="53"/>
      <w:r>
        <w:t>Demand Forecasts</w:t>
      </w:r>
      <w:bookmarkEnd w:id="54"/>
    </w:p>
    <w:p w14:paraId="186AA910" w14:textId="0E822788" w:rsidR="008769EF" w:rsidRDefault="008769EF" w:rsidP="008769EF">
      <w:r>
        <w:t xml:space="preserve">Demands </w:t>
      </w:r>
      <w:r w:rsidR="00396D15">
        <w:t>f</w:t>
      </w:r>
      <w:r>
        <w:t>orecasts</w:t>
      </w:r>
      <w:r w:rsidR="00396D15">
        <w:t xml:space="preserve"> are requests; t</w:t>
      </w:r>
      <w:r>
        <w:t xml:space="preserve">hey are only met if the policies allow for it (i.e. reservoirs release enough water). The objects that receive </w:t>
      </w:r>
      <w:r w:rsidR="00396D15">
        <w:t>d</w:t>
      </w:r>
      <w:r>
        <w:t xml:space="preserve">emand </w:t>
      </w:r>
      <w:r w:rsidR="00396D15">
        <w:t>f</w:t>
      </w:r>
      <w:r>
        <w:t>orecasts are the diversion objects, which represent the major canals/pumps. They transport water for the agricultural or refuge lands.</w:t>
      </w:r>
      <w:r>
        <w:rPr>
          <w:color w:val="F1C232"/>
        </w:rPr>
        <w:t xml:space="preserve"> </w:t>
      </w:r>
      <w:r>
        <w:t xml:space="preserve">The policy sets the demands on diversion request slots to ensure that the available flow limits it (See Diversion Object in Object and Methods). In tandem with the demands, the policy also forecasts offsets at the Lost River Diversion Channel and F/FF Pump. On a given timestep, offsets represent the expected flow that demands can utilize other than the release from UKL. They are theoretical and not physically modeled. Thus, the policy sets them on custom series slots. Offsets only serve to estimate the demands that the project supply does not have to allocate for. </w:t>
      </w:r>
      <w:r w:rsidR="00396D15">
        <w:t>D</w:t>
      </w:r>
      <w:r>
        <w:t>emands and offsets</w:t>
      </w:r>
      <w:r w:rsidR="00396D15">
        <w:t xml:space="preserve"> are forecasted</w:t>
      </w:r>
      <w:r>
        <w:t xml:space="preserve"> for each timestep from the </w:t>
      </w:r>
      <w:r w:rsidR="005679BB">
        <w:t>operation start timestep</w:t>
      </w:r>
      <w:r>
        <w:t xml:space="preserve"> to the run finish timestep. In the computation, the recent demands or offsets have no direct effect on the future values. However, if the operator expects the demands to exceed the account supply based on past use or offsets to decrease based on the precipitation forecasts, they can alter the adjustment factors. This limit</w:t>
      </w:r>
      <w:r w:rsidR="005D4D00">
        <w:t>s</w:t>
      </w:r>
      <w:r>
        <w:t xml:space="preserve"> future forecasts. From the objects, the operator can view the forecasts with the slot viewer</w:t>
      </w:r>
      <w:r w:rsidR="00396D15">
        <w:t xml:space="preserve"> or</w:t>
      </w:r>
      <w:r>
        <w:t xml:space="preserve"> SCT sheet</w:t>
      </w:r>
      <w:r w:rsidR="00396D15">
        <w:t>s</w:t>
      </w:r>
      <w:r>
        <w:t xml:space="preserve">. </w:t>
      </w:r>
    </w:p>
    <w:p w14:paraId="4EE49A76" w14:textId="77777777" w:rsidR="008769EF" w:rsidRDefault="008769EF" w:rsidP="0030367C">
      <w:pPr>
        <w:pStyle w:val="Heading4"/>
      </w:pPr>
      <w:bookmarkStart w:id="55" w:name="_heading=h.nfjio0k9q6e0" w:colFirst="0" w:colLast="0"/>
      <w:bookmarkEnd w:id="55"/>
      <w:r>
        <w:t>Agricultural</w:t>
      </w:r>
    </w:p>
    <w:p w14:paraId="33067DEE" w14:textId="6AF41B3D" w:rsidR="008769EF" w:rsidRDefault="008769EF" w:rsidP="008769EF">
      <w:r>
        <w:t xml:space="preserve">The agricultural demand and offset forecasts, for each location, are a </w:t>
      </w:r>
      <w:r w:rsidR="00396D15">
        <w:t>two-step</w:t>
      </w:r>
      <w:r>
        <w:t xml:space="preserve"> process. </w:t>
      </w:r>
    </w:p>
    <w:p w14:paraId="1B19DDDE" w14:textId="77777777" w:rsidR="008769EF" w:rsidRDefault="008769EF" w:rsidP="008769EF">
      <w:r>
        <w:t xml:space="preserve">1) The policy looks up the supply and adjustment factor from the “Agricultural Object*.Seasonal Supply and </w:t>
      </w:r>
      <w:proofErr w:type="spellStart"/>
      <w:r>
        <w:t>Adj</w:t>
      </w:r>
      <w:proofErr w:type="spellEnd"/>
      <w:r>
        <w:t>” with the date as the parameter.</w:t>
      </w:r>
    </w:p>
    <w:p w14:paraId="4A614F49" w14:textId="77777777" w:rsidR="008769EF" w:rsidRDefault="008769EF" w:rsidP="008769EF">
      <w:r>
        <w:t xml:space="preserve">2) The policy multiplies the following factors: distribution percent, supply, and adjustment factor. </w:t>
      </w:r>
    </w:p>
    <w:p w14:paraId="122B81DB" w14:textId="77777777" w:rsidR="008769EF" w:rsidRDefault="008769EF" w:rsidP="008769EF">
      <w:r>
        <w:t xml:space="preserve">The simulation policies manipulate the agricultural demands and offsets to determine how much UKL releases for agricultural demands on a daily basis. If there's water stress, the operator can alter adjustment factors to limit the supply from UKL. </w:t>
      </w:r>
    </w:p>
    <w:p w14:paraId="2A217C56" w14:textId="77777777" w:rsidR="008769EF" w:rsidRDefault="008769EF" w:rsidP="0030367C">
      <w:pPr>
        <w:pStyle w:val="Heading4"/>
      </w:pPr>
      <w:bookmarkStart w:id="56" w:name="_heading=h.7gqr85pqoroh" w:colFirst="0" w:colLast="0"/>
      <w:bookmarkEnd w:id="56"/>
      <w:r>
        <w:t>Refuge Lands</w:t>
      </w:r>
    </w:p>
    <w:p w14:paraId="61ABB78C" w14:textId="78D7C809" w:rsidR="008769EF" w:rsidRDefault="008769EF" w:rsidP="008769EF">
      <w:r>
        <w:t xml:space="preserve">The refuge diversion forecasts are a constant distribution from the beginning of December thru the end of February. Over this period, the policy allocates 11,000 acre-ft for the refuge. Thus, on each timestep, the refuge’s diversion request is equivalent to 62 cfs. During the rest of the year, upper management assigns diversion requests based on water availability. These enter the model as inputs and have little foresight (i.e. assigned a few weeks before or reported after the fact). As an alternative diversion source, management can pump water from Tule Irrigation District to the refuge. </w:t>
      </w:r>
      <w:r w:rsidR="005469B2">
        <w:t>This is</w:t>
      </w:r>
      <w:r>
        <w:t xml:space="preserve"> represent</w:t>
      </w:r>
      <w:r w:rsidR="005469B2">
        <w:t>ed</w:t>
      </w:r>
      <w:r>
        <w:t xml:space="preserve"> as an input local inflow on the Refuge Supply object. The simulation policies manipulate the refuge diversions to approximate the return flows it sends to the Klamath River.  </w:t>
      </w:r>
    </w:p>
    <w:p w14:paraId="13AD5A91" w14:textId="77777777" w:rsidR="008769EF" w:rsidRDefault="008769EF" w:rsidP="0030367C">
      <w:pPr>
        <w:pStyle w:val="Heading3"/>
      </w:pPr>
      <w:bookmarkStart w:id="57" w:name="_heading=h.q43tlxeyym9x" w:colFirst="0" w:colLast="0"/>
      <w:bookmarkStart w:id="58" w:name="_Toc48817205"/>
      <w:bookmarkEnd w:id="57"/>
      <w:r>
        <w:t>Account Supplies</w:t>
      </w:r>
      <w:bookmarkEnd w:id="58"/>
    </w:p>
    <w:p w14:paraId="7C7824F2" w14:textId="65B8ED5D" w:rsidR="008769EF" w:rsidRDefault="008769EF" w:rsidP="008769EF">
      <w:r>
        <w:t>Each year, Reclamation assigns UKL’s expected spring through summer supply between two main objectives, agriculture</w:t>
      </w:r>
      <w:r w:rsidR="002170D2">
        <w:t xml:space="preserve"> or “Project Supply”</w:t>
      </w:r>
      <w:r>
        <w:t xml:space="preserve"> and the </w:t>
      </w:r>
      <w:r w:rsidR="002170D2">
        <w:t>“Environmental Water Account (EWA)”</w:t>
      </w:r>
      <w:r>
        <w:t xml:space="preserve">. Since both are products of the NRCS inflow forecast, which updates monthly from March thru July, they update with the same frequency. </w:t>
      </w:r>
      <w:r w:rsidR="002170D2">
        <w:t>The model</w:t>
      </w:r>
      <w:r>
        <w:t xml:space="preserve"> compute</w:t>
      </w:r>
      <w:r w:rsidR="002170D2">
        <w:t>s</w:t>
      </w:r>
      <w:r>
        <w:t xml:space="preserve"> each account</w:t>
      </w:r>
      <w:r w:rsidR="002170D2">
        <w:t xml:space="preserve"> available supply</w:t>
      </w:r>
      <w:r>
        <w:t xml:space="preserve"> on every timestep from the run start date to the run finish timestep. Their slots are foun</w:t>
      </w:r>
      <w:r w:rsidR="002170D2">
        <w:t>d on the Dashboard data object. T</w:t>
      </w:r>
      <w:r>
        <w:t xml:space="preserve">he model tracks the account’s use and remaining volume on a daily timestep. </w:t>
      </w:r>
      <w:r w:rsidR="002170D2">
        <w:t>T</w:t>
      </w:r>
      <w:r>
        <w:t xml:space="preserve">he SCT sheet that presents their slots includes the Account Supplies as well. </w:t>
      </w:r>
    </w:p>
    <w:p w14:paraId="282E4191" w14:textId="77777777" w:rsidR="008769EF" w:rsidRDefault="008769EF" w:rsidP="0030367C">
      <w:pPr>
        <w:pStyle w:val="Heading4"/>
      </w:pPr>
      <w:bookmarkStart w:id="59" w:name="_heading=h.sv670bio0bn4" w:colFirst="0" w:colLast="0"/>
      <w:bookmarkEnd w:id="59"/>
      <w:r>
        <w:lastRenderedPageBreak/>
        <w:t>UKL Supply</w:t>
      </w:r>
    </w:p>
    <w:p w14:paraId="11960FA6" w14:textId="633F1FDB" w:rsidR="008769EF" w:rsidRDefault="008769EF" w:rsidP="008769EF">
      <w:r>
        <w:t xml:space="preserve">The NRCS inflow forecast, end of </w:t>
      </w:r>
      <w:r w:rsidR="002170D2">
        <w:t>February</w:t>
      </w:r>
      <w:r>
        <w:t xml:space="preserve"> storage, and target storage a</w:t>
      </w:r>
      <w:r w:rsidR="002170D2">
        <w:t>t the end of the spring/summer contribute to the</w:t>
      </w:r>
      <w:r>
        <w:t xml:space="preserve"> projected volumetric supply at UKL. </w:t>
      </w:r>
      <w:r w:rsidR="002170D2">
        <w:t>The</w:t>
      </w:r>
      <w:r>
        <w:t xml:space="preserve"> computation is the sum of the inflow forecast and </w:t>
      </w:r>
      <w:r w:rsidR="002170D2">
        <w:t>February</w:t>
      </w:r>
      <w:r>
        <w:t xml:space="preserve"> storage, minus the target storage.</w:t>
      </w:r>
    </w:p>
    <w:p w14:paraId="44E32115" w14:textId="77777777" w:rsidR="008769EF" w:rsidRDefault="008769EF" w:rsidP="0030367C">
      <w:pPr>
        <w:pStyle w:val="Heading4"/>
      </w:pPr>
      <w:bookmarkStart w:id="60" w:name="_heading=h.a30zt2hkifu6" w:colFirst="0" w:colLast="0"/>
      <w:bookmarkEnd w:id="60"/>
      <w:r>
        <w:t>Environmental Water Account (EWA)</w:t>
      </w:r>
    </w:p>
    <w:p w14:paraId="5878EAEF" w14:textId="3A4E39DE" w:rsidR="008769EF" w:rsidRDefault="008769EF" w:rsidP="008769EF">
      <w:r>
        <w:t xml:space="preserve">Along with the UKL Supply, the policy uses the Boat Dance Supply to compute the EWA. The Boat Dance Supply is an allocation for a tribal ceremony that occurs on every odd numbered year. The policy’s computation takes a </w:t>
      </w:r>
      <w:r w:rsidR="002170D2">
        <w:t>one-step</w:t>
      </w:r>
      <w:r w:rsidR="00D32D32">
        <w:t xml:space="preserve"> if/then structure:</w:t>
      </w:r>
    </w:p>
    <w:p w14:paraId="31D9B787" w14:textId="0B89BCA8" w:rsidR="008769EF" w:rsidRDefault="008769EF" w:rsidP="008769EF">
      <w:r>
        <w:t>If the UKL Supply is greater than 1,035 KAF, the EWA is the UKL Supply minus 350 KAF. Else, the EWA is the sum of the Boat Dance Supply and the maximum of 400 KAF or the output of a second order equation that uses the UKL Supply as the input.</w:t>
      </w:r>
    </w:p>
    <w:p w14:paraId="086294AE" w14:textId="77777777" w:rsidR="008769EF" w:rsidRDefault="008769EF" w:rsidP="0030367C">
      <w:pPr>
        <w:pStyle w:val="Heading4"/>
      </w:pPr>
      <w:bookmarkStart w:id="61" w:name="_heading=h.yfkrbcab0pg3" w:colFirst="0" w:colLast="0"/>
      <w:bookmarkEnd w:id="61"/>
      <w:r>
        <w:t>Project Supply</w:t>
      </w:r>
    </w:p>
    <w:p w14:paraId="48EE9A7F" w14:textId="09103F0A" w:rsidR="008769EF" w:rsidRDefault="008769EF" w:rsidP="008769EF">
      <w:r>
        <w:t xml:space="preserve">Once the EWA is set, the policy allocates the remainder of the UKL Supply for the Project Supply, but it includes a few conditions. The first condition is a reduction factor, the Project Supply Reduction. It is set by the operator if they think UKL’s May thru June inflows are going to be less than the forecast. The EWA experiences no reduction since the policy dictates it has a higher priority. The second condition is a floor allocation, the Project Supply April Lock. This dictates that the Project Supply can be no less than its volume in April. If that volume is unavailable, the storage at UKL is drawn down within limitations, which means the end of season target storage is not met. The policy’s computation is a </w:t>
      </w:r>
      <w:r w:rsidR="002170D2">
        <w:t>two-step</w:t>
      </w:r>
      <w:r>
        <w:t xml:space="preserve"> process. </w:t>
      </w:r>
    </w:p>
    <w:p w14:paraId="04A9D853" w14:textId="77777777" w:rsidR="008769EF" w:rsidRDefault="008769EF" w:rsidP="008769EF">
      <w:r>
        <w:t xml:space="preserve">1) It takes the difference between the UKL Supply and the sum of the EWA, Project Supply Reduction, and 7.436 TAF. The 7.436 TAF represents the estimated ungauged diversions. </w:t>
      </w:r>
    </w:p>
    <w:p w14:paraId="02DCA7FF" w14:textId="71F8C05A" w:rsidR="008769EF" w:rsidRDefault="008769EF" w:rsidP="008769EF">
      <w:r>
        <w:t xml:space="preserve">2) If the </w:t>
      </w:r>
      <w:r w:rsidR="005679BB">
        <w:t>operation start timestep</w:t>
      </w:r>
      <w:r>
        <w:t xml:space="preserve"> is after April, it takes the maximum of the difference value and the Project Supply April Lock. Else, it assigns the difference value from step one.</w:t>
      </w:r>
    </w:p>
    <w:p w14:paraId="66258BD2" w14:textId="77777777" w:rsidR="008769EF" w:rsidRDefault="008769EF" w:rsidP="00EA565B">
      <w:pPr>
        <w:pStyle w:val="Heading2"/>
      </w:pPr>
      <w:bookmarkStart w:id="62" w:name="_heading=h.9rqilrq1984m" w:colFirst="0" w:colLast="0"/>
      <w:bookmarkStart w:id="63" w:name="_Toc48817206"/>
      <w:bookmarkStart w:id="64" w:name="_Toc48817254"/>
      <w:bookmarkEnd w:id="62"/>
      <w:r>
        <w:t>Simulation Computations</w:t>
      </w:r>
      <w:bookmarkEnd w:id="63"/>
      <w:bookmarkEnd w:id="64"/>
    </w:p>
    <w:p w14:paraId="06D825A6" w14:textId="0921F6FC" w:rsidR="005679BB" w:rsidRDefault="005679BB" w:rsidP="008769EF">
      <w:r>
        <w:t xml:space="preserve">As described in </w:t>
      </w:r>
      <w:r>
        <w:fldChar w:fldCharType="begin"/>
      </w:r>
      <w:r>
        <w:instrText xml:space="preserve"> REF _Ref50916605 \h </w:instrText>
      </w:r>
      <w:r>
        <w:fldChar w:fldCharType="separate"/>
      </w:r>
      <w:r w:rsidR="00170C2A">
        <w:t>Run Time Range</w:t>
      </w:r>
      <w:r>
        <w:fldChar w:fldCharType="end"/>
      </w:r>
      <w:r>
        <w:t xml:space="preserve"> </w:t>
      </w:r>
      <w:r w:rsidR="005469B2">
        <w:t xml:space="preserve">section </w:t>
      </w:r>
      <w:r>
        <w:t xml:space="preserve">on page </w:t>
      </w:r>
      <w:r>
        <w:fldChar w:fldCharType="begin"/>
      </w:r>
      <w:r>
        <w:instrText xml:space="preserve"> PAGEREF _Ref50916605 \h </w:instrText>
      </w:r>
      <w:r>
        <w:fldChar w:fldCharType="separate"/>
      </w:r>
      <w:r w:rsidR="00170C2A">
        <w:rPr>
          <w:noProof/>
        </w:rPr>
        <w:t>1</w:t>
      </w:r>
      <w:r>
        <w:fldChar w:fldCharType="end"/>
      </w:r>
      <w:r>
        <w:t xml:space="preserve">, the run consists of a 16 month range from Oct 1 to the end of the second February. Based on the operations start timestep, the computations are either an observed period before the operations start timestep or a predictive period after the operations start timestep. The following sections describe how the objects solve during each period. </w:t>
      </w:r>
    </w:p>
    <w:p w14:paraId="400F25B9" w14:textId="15657FEE" w:rsidR="005679BB" w:rsidRDefault="005679BB" w:rsidP="005679BB">
      <w:pPr>
        <w:pStyle w:val="Heading3"/>
      </w:pPr>
      <w:r>
        <w:t>Observed Period</w:t>
      </w:r>
    </w:p>
    <w:p w14:paraId="5BE41BED" w14:textId="03E90E69" w:rsidR="0017362F" w:rsidRDefault="0017362F" w:rsidP="0017362F">
      <w:r>
        <w:t xml:space="preserve">During the observed period, the rules execute but have no effect on the simulation objects. Instead the input values drive the solution.  In particular, the key objects solve as follows: </w:t>
      </w:r>
    </w:p>
    <w:p w14:paraId="2D467AFD" w14:textId="4466010E" w:rsidR="0017362F" w:rsidRDefault="0017362F" w:rsidP="0017362F">
      <w:pPr>
        <w:pStyle w:val="ListBullet"/>
      </w:pPr>
      <w:r>
        <w:t xml:space="preserve">UKL solves for Inflow given Pool Elevation and Outflow.  The Inflow </w:t>
      </w:r>
      <w:r w:rsidR="005469B2">
        <w:t>propagates</w:t>
      </w:r>
      <w:r>
        <w:t xml:space="preserve"> upstream. </w:t>
      </w:r>
    </w:p>
    <w:p w14:paraId="79787AEC" w14:textId="1F3054B5" w:rsidR="0017362F" w:rsidRDefault="0017362F" w:rsidP="0017362F">
      <w:pPr>
        <w:pStyle w:val="ListBullet"/>
      </w:pPr>
      <w:r>
        <w:t xml:space="preserve">Given Williamson River flows at the gage and computed UKL Inflows, the Williamson to UKL Gain reach can solve for Local Inflow. </w:t>
      </w:r>
    </w:p>
    <w:p w14:paraId="3A22B51B" w14:textId="3F641434" w:rsidR="0017362F" w:rsidRDefault="0017362F" w:rsidP="0017362F">
      <w:pPr>
        <w:pStyle w:val="ListBullet"/>
      </w:pPr>
      <w:r>
        <w:t>All Dive</w:t>
      </w:r>
      <w:r w:rsidR="001E1BD1">
        <w:t>rsions are specified as inputs and divert the specified amount from the linked source.</w:t>
      </w:r>
    </w:p>
    <w:p w14:paraId="4AADD07F" w14:textId="5BF35D9F" w:rsidR="001E1BD1" w:rsidRDefault="001E1BD1" w:rsidP="0017362F">
      <w:pPr>
        <w:pStyle w:val="ListBullet"/>
      </w:pPr>
      <w:r>
        <w:t xml:space="preserve">Lake </w:t>
      </w:r>
      <w:proofErr w:type="spellStart"/>
      <w:r>
        <w:t>Ewauna</w:t>
      </w:r>
      <w:proofErr w:type="spellEnd"/>
      <w:r>
        <w:t xml:space="preserve"> </w:t>
      </w:r>
      <w:proofErr w:type="spellStart"/>
      <w:r>
        <w:t>Gain.Local</w:t>
      </w:r>
      <w:proofErr w:type="spellEnd"/>
      <w:r>
        <w:t xml:space="preserve"> Inflow, Keno to IGD </w:t>
      </w:r>
      <w:proofErr w:type="spellStart"/>
      <w:r>
        <w:t>Gain.Local</w:t>
      </w:r>
      <w:proofErr w:type="spellEnd"/>
      <w:r>
        <w:t xml:space="preserve"> Inflow, and F/FF pump flows are specified as inputs. </w:t>
      </w:r>
    </w:p>
    <w:p w14:paraId="23BE67C0" w14:textId="6AFFF334" w:rsidR="0017362F" w:rsidRDefault="001E1BD1" w:rsidP="0017362F">
      <w:pPr>
        <w:pStyle w:val="ListBullet"/>
      </w:pPr>
      <w:r>
        <w:t xml:space="preserve">Thus, </w:t>
      </w:r>
      <w:r w:rsidR="0017362F">
        <w:t>Keno</w:t>
      </w:r>
      <w:r w:rsidR="00340A7B">
        <w:t xml:space="preserve"> is assumed to be constant elevation and</w:t>
      </w:r>
      <w:r w:rsidR="0017362F">
        <w:t xml:space="preserve"> solves for Hydrologic/Local Inflow given Inflow, Outflow and Pool Elevation</w:t>
      </w:r>
    </w:p>
    <w:p w14:paraId="43648914" w14:textId="4C2F461E" w:rsidR="0017362F" w:rsidRPr="0017362F" w:rsidRDefault="001E1BD1" w:rsidP="0017362F">
      <w:pPr>
        <w:pStyle w:val="ListBullet"/>
      </w:pPr>
      <w:r>
        <w:lastRenderedPageBreak/>
        <w:t xml:space="preserve">Also, </w:t>
      </w:r>
      <w:r w:rsidR="0017362F">
        <w:t xml:space="preserve">IGD solves for Storage and Pool Elevation given Inflow and Outflow. </w:t>
      </w:r>
    </w:p>
    <w:p w14:paraId="20270E8A" w14:textId="51E2DA29" w:rsidR="005679BB" w:rsidRDefault="005679BB" w:rsidP="005679BB">
      <w:pPr>
        <w:pStyle w:val="Heading3"/>
      </w:pPr>
      <w:r>
        <w:t>Predictive Period</w:t>
      </w:r>
    </w:p>
    <w:p w14:paraId="22371055" w14:textId="77777777" w:rsidR="00340A7B" w:rsidRDefault="008769EF" w:rsidP="008769EF">
      <w:r>
        <w:t>Throughout the</w:t>
      </w:r>
      <w:r w:rsidR="00340A7B">
        <w:t xml:space="preserve"> predictive period, after the operation start timestep, the model executes rules</w:t>
      </w:r>
      <w:r>
        <w:t xml:space="preserve"> </w:t>
      </w:r>
      <w:r w:rsidR="002170D2">
        <w:t>that</w:t>
      </w:r>
      <w:r>
        <w:t xml:space="preserve"> determine the release at UKL and </w:t>
      </w:r>
      <w:r w:rsidR="005679BB">
        <w:t>IGD</w:t>
      </w:r>
      <w:r w:rsidR="00340A7B">
        <w:t xml:space="preserve">. The objects solve as follows: </w:t>
      </w:r>
    </w:p>
    <w:p w14:paraId="1BD276C6" w14:textId="62DE784E" w:rsidR="00340A7B" w:rsidRDefault="00340A7B" w:rsidP="00340A7B">
      <w:pPr>
        <w:pStyle w:val="ListBullet"/>
      </w:pPr>
      <w:r>
        <w:t>UKL Inflow and a</w:t>
      </w:r>
      <w:r w:rsidR="006A60D9">
        <w:t>ll accretions are forecasted</w:t>
      </w:r>
      <w:r>
        <w:t xml:space="preserve">. Thus, UKL and IGD can solve for Storage and Pool Elevation given Inflow and Outflow. </w:t>
      </w:r>
    </w:p>
    <w:p w14:paraId="2DF9663B" w14:textId="550A4E28" w:rsidR="00340A7B" w:rsidRDefault="00340A7B" w:rsidP="00340A7B">
      <w:pPr>
        <w:pStyle w:val="ListBullet"/>
      </w:pPr>
      <w:r>
        <w:t xml:space="preserve">Keno is assumed to be constant elevation and solves for Hydrologic/Local Inflow given Inflow, Outflow and Elevation. </w:t>
      </w:r>
    </w:p>
    <w:p w14:paraId="1E7DD29A" w14:textId="26354701" w:rsidR="00340A7B" w:rsidRDefault="00340A7B" w:rsidP="00340A7B">
      <w:pPr>
        <w:pStyle w:val="ListBullet"/>
      </w:pPr>
      <w:r>
        <w:t>Diversions are forecasted and divert the specified amount from the linked source.</w:t>
      </w:r>
    </w:p>
    <w:p w14:paraId="4971DB3F" w14:textId="516D7F15" w:rsidR="008769EF" w:rsidRDefault="00340A7B" w:rsidP="008769EF">
      <w:r>
        <w:t xml:space="preserve">The remainder of this section and the crux of the model are the rules to determine the UKL and IGD releases. </w:t>
      </w:r>
      <w:r w:rsidR="008769EF">
        <w:t xml:space="preserve">Rules can fire and re-fire on a timestep if their dependencies change due to another policy’s rules. This feature is necessary since the rules often set conflicting values. The policies </w:t>
      </w:r>
      <w:r w:rsidR="00D32D32">
        <w:t>are as follows, from lowest to highest</w:t>
      </w:r>
      <w:r w:rsidR="008769EF">
        <w:t xml:space="preserve"> priority and </w:t>
      </w:r>
      <w:r w:rsidR="00D32D32">
        <w:t xml:space="preserve">in order of </w:t>
      </w:r>
      <w:r w:rsidR="008769EF">
        <w:t xml:space="preserve">execution: </w:t>
      </w:r>
    </w:p>
    <w:p w14:paraId="2FF4D635" w14:textId="77777777" w:rsidR="008769EF" w:rsidRDefault="008769EF" w:rsidP="00760D30">
      <w:pPr>
        <w:pStyle w:val="ListBullet"/>
      </w:pPr>
      <w:r>
        <w:t>Environmental Release</w:t>
      </w:r>
    </w:p>
    <w:p w14:paraId="5ECA6C52" w14:textId="77777777" w:rsidR="008769EF" w:rsidRDefault="008769EF" w:rsidP="00760D30">
      <w:pPr>
        <w:pStyle w:val="ListBullet"/>
      </w:pPr>
      <w:r>
        <w:t>Central Tendency Controlled Release</w:t>
      </w:r>
    </w:p>
    <w:p w14:paraId="16AA610E" w14:textId="77777777" w:rsidR="008769EF" w:rsidRDefault="008769EF" w:rsidP="00760D30">
      <w:pPr>
        <w:pStyle w:val="ListBullet"/>
      </w:pPr>
      <w:r>
        <w:t>Ramping and Minimums Release</w:t>
      </w:r>
    </w:p>
    <w:p w14:paraId="215A12B5" w14:textId="77777777" w:rsidR="008769EF" w:rsidRDefault="008769EF" w:rsidP="00760D30">
      <w:pPr>
        <w:pStyle w:val="ListBullet"/>
      </w:pPr>
      <w:r>
        <w:t xml:space="preserve">Flood Control Release. </w:t>
      </w:r>
    </w:p>
    <w:p w14:paraId="7E93D598" w14:textId="5919F174" w:rsidR="008769EF" w:rsidRDefault="008769EF" w:rsidP="00340A7B">
      <w:r>
        <w:t xml:space="preserve">Each policy </w:t>
      </w:r>
      <w:r w:rsidR="00C515DF">
        <w:t xml:space="preserve">is represented by a Policy Group in the ruleset that contains intermediate calculation and </w:t>
      </w:r>
      <w:r w:rsidR="00340A7B">
        <w:t>a rule</w:t>
      </w:r>
      <w:r>
        <w:t xml:space="preserve"> that sets the UKL release and another that sets the IGD release. The policy coordinates these releases since the IGD release relies on the supply that the UKL release provides. </w:t>
      </w:r>
      <w:r w:rsidR="00C515DF">
        <w:t xml:space="preserve">Detailed documentation is presented </w:t>
      </w:r>
      <w:r w:rsidR="00170C2A">
        <w:t xml:space="preserve">in a separate </w:t>
      </w:r>
      <w:r w:rsidR="00170C2A">
        <w:fldChar w:fldCharType="begin"/>
      </w:r>
      <w:r w:rsidR="00170C2A">
        <w:instrText xml:space="preserve"> REF _Ref48913108 \h </w:instrText>
      </w:r>
      <w:r w:rsidR="00170C2A">
        <w:fldChar w:fldCharType="separate"/>
      </w:r>
      <w:r w:rsidR="00170C2A">
        <w:t xml:space="preserve">appendix </w:t>
      </w:r>
      <w:r w:rsidR="00170C2A">
        <w:fldChar w:fldCharType="end"/>
      </w:r>
      <w:r w:rsidR="00170C2A">
        <w:t>“</w:t>
      </w:r>
      <w:r w:rsidR="00170C2A" w:rsidRPr="00170C2A">
        <w:t>KROM_RuleAndFunctionDocumentation.html</w:t>
      </w:r>
      <w:r w:rsidR="00170C2A">
        <w:t>”</w:t>
      </w:r>
      <w:r w:rsidR="00C515DF">
        <w:t xml:space="preserve">. </w:t>
      </w:r>
      <w:r>
        <w:t xml:space="preserve">After a </w:t>
      </w:r>
      <w:r w:rsidR="002170D2">
        <w:t>rule</w:t>
      </w:r>
      <w:r>
        <w:t xml:space="preserve"> sets both releases, the model has the necessary information to solve the systems of objects. </w:t>
      </w:r>
    </w:p>
    <w:p w14:paraId="3945A2C4" w14:textId="3EFFAB8A" w:rsidR="002170D2" w:rsidRDefault="002170D2" w:rsidP="002170D2">
      <w:r>
        <w:t xml:space="preserve">The remainder of this section describes the four areas. Again, these are executed in order of lowest priority to highest priority, the same order as listed. </w:t>
      </w:r>
    </w:p>
    <w:p w14:paraId="3755B06E" w14:textId="77777777" w:rsidR="008769EF" w:rsidRDefault="008769EF" w:rsidP="005679BB">
      <w:pPr>
        <w:pStyle w:val="Heading4"/>
      </w:pPr>
      <w:bookmarkStart w:id="65" w:name="_heading=h.bs9zd268v9y3" w:colFirst="0" w:colLast="0"/>
      <w:bookmarkStart w:id="66" w:name="_Toc48817207"/>
      <w:bookmarkEnd w:id="65"/>
      <w:r>
        <w:t>Environmental Release</w:t>
      </w:r>
      <w:bookmarkEnd w:id="66"/>
    </w:p>
    <w:p w14:paraId="6D5E31A4" w14:textId="77777777" w:rsidR="008769EF" w:rsidRDefault="008769EF" w:rsidP="008769EF">
      <w:pPr>
        <w:rPr>
          <w:sz w:val="20"/>
          <w:szCs w:val="20"/>
        </w:rPr>
      </w:pPr>
      <w:r>
        <w:t xml:space="preserve">The Environmental Release keeps the river stage at a level that maintains a healthy habitat for the species in the Klamath River. It is critical that enough water is sent from UKL to sustain that stage below IGD. The logic that determines the release to satisfy this criteria is based on season. The early fall/winter logic establishes releases for spawning, the late fall/winter logic fills UKL, the spring logic allocates releases while conserving storage at UKL, and the summer logic distributes the supply that remains until fall. </w:t>
      </w:r>
    </w:p>
    <w:p w14:paraId="51A35DEF" w14:textId="77777777" w:rsidR="008769EF" w:rsidRDefault="008769EF" w:rsidP="005679BB">
      <w:pPr>
        <w:pStyle w:val="Heading4"/>
      </w:pPr>
      <w:bookmarkStart w:id="67" w:name="_heading=h.lhmv8n4l75u4" w:colFirst="0" w:colLast="0"/>
      <w:bookmarkStart w:id="68" w:name="_Toc48817208"/>
      <w:bookmarkStart w:id="69" w:name="_Ref50785671"/>
      <w:bookmarkEnd w:id="67"/>
      <w:r>
        <w:t>Central Tendency Controlled Release</w:t>
      </w:r>
      <w:bookmarkEnd w:id="68"/>
      <w:bookmarkEnd w:id="69"/>
    </w:p>
    <w:p w14:paraId="03576F52" w14:textId="77777777" w:rsidR="008769EF" w:rsidRDefault="008769EF" w:rsidP="008769EF">
      <w:r>
        <w:t>As a safeguard against excessive pool elevation drawdown at UKL, the Central Tendency Controlled Release rate allows the pool elevation to gradually rise and eventually reach the historical mean. In addition to the reservoir release, the policy imposes limits on the diversion request rates for the Refuge and KDD during the fall/winter season. The reservoir release and diversion request max rates are inversely proportional to the difference between the simulated and central tendency pool elevations (i.e. the larger the difference, the smaller the release or rate.) Logic for reservoir release remains constant from season to season. The diversion request max rate only remains active during the fall/winter season. For both, the central tendency pool elevation fluctuates throughout the year. It is lowest at the beginning of fall and highest during the middle of spring.</w:t>
      </w:r>
    </w:p>
    <w:p w14:paraId="4C5659EE" w14:textId="77777777" w:rsidR="008769EF" w:rsidRDefault="008769EF" w:rsidP="005679BB">
      <w:pPr>
        <w:pStyle w:val="Heading4"/>
      </w:pPr>
      <w:bookmarkStart w:id="70" w:name="_heading=h.bt3n5rma56hw" w:colFirst="0" w:colLast="0"/>
      <w:bookmarkStart w:id="71" w:name="_Toc48817209"/>
      <w:bookmarkEnd w:id="70"/>
      <w:r>
        <w:lastRenderedPageBreak/>
        <w:t>Ramping and Minimums Release</w:t>
      </w:r>
      <w:bookmarkEnd w:id="71"/>
    </w:p>
    <w:p w14:paraId="27C4E1B2" w14:textId="3B6FF64E" w:rsidR="008769EF" w:rsidRDefault="006A60D9" w:rsidP="008769EF">
      <w:r>
        <w:t>The r</w:t>
      </w:r>
      <w:r w:rsidR="008769EF">
        <w:t xml:space="preserve">amping policy defines ramping as the gradual release reduction that prevents sharp </w:t>
      </w:r>
      <w:r w:rsidR="00760D30">
        <w:t>drops</w:t>
      </w:r>
      <w:r w:rsidR="008769EF">
        <w:t xml:space="preserve"> from day to day. The logic and values for the ramping policy remains constant between seasons. </w:t>
      </w:r>
    </w:p>
    <w:p w14:paraId="47132229" w14:textId="3F947B43" w:rsidR="008769EF" w:rsidRDefault="00760D30" w:rsidP="008769EF">
      <w:r>
        <w:t>The minim</w:t>
      </w:r>
      <w:r w:rsidR="008769EF">
        <w:t>ums</w:t>
      </w:r>
      <w:r>
        <w:t xml:space="preserve"> release</w:t>
      </w:r>
      <w:r w:rsidR="008769EF">
        <w:t xml:space="preserve"> policy defines </w:t>
      </w:r>
      <w:r>
        <w:t>the</w:t>
      </w:r>
      <w:r w:rsidR="008769EF">
        <w:t xml:space="preserve"> lowest allowable release that sustains the aquatic habitat. Minimum releases are stored on periodic slots, but can be adjusted by the operator if conditions dictate the minimums need to be raised or lowered. The logic that sets minimum releases remain constant, but the magnitude of the releases fluctuate based on the season.</w:t>
      </w:r>
    </w:p>
    <w:p w14:paraId="44125716" w14:textId="77777777" w:rsidR="008769EF" w:rsidRDefault="008769EF" w:rsidP="005679BB">
      <w:pPr>
        <w:pStyle w:val="Heading4"/>
      </w:pPr>
      <w:bookmarkStart w:id="72" w:name="_heading=h.5m8s4b62kj3w" w:colFirst="0" w:colLast="0"/>
      <w:bookmarkStart w:id="73" w:name="_Toc48817210"/>
      <w:bookmarkEnd w:id="72"/>
      <w:r>
        <w:t>Flood Control Release</w:t>
      </w:r>
      <w:bookmarkEnd w:id="73"/>
    </w:p>
    <w:p w14:paraId="0EA3B8D1" w14:textId="190E9454" w:rsidR="008769EF" w:rsidRDefault="008769EF" w:rsidP="00760D30">
      <w:r>
        <w:t xml:space="preserve">The Flood Control Release ensures that UKL’s pool elevation does not overtop its dam. Commonly, the Flood Control Release persists for a brief period of around 4 to 15 days, which gradually decreases the pool elevation until it is under the flood control threshold elevation. The logic for flood control remains the same, but the curve values shift with the seasons. Additionally, the manager has the option to alter the flood curve that this policy implements. The options for flood curves are based on the NRCS forecast, and the </w:t>
      </w:r>
      <w:r w:rsidR="00760D30">
        <w:t>operator</w:t>
      </w:r>
      <w:r>
        <w:t xml:space="preserve"> chooses between the two options, wet or dry. The </w:t>
      </w:r>
      <w:r w:rsidR="00760D30">
        <w:t xml:space="preserve">operator </w:t>
      </w:r>
      <w:r>
        <w:t xml:space="preserve">can change between curves from January thru March. After March, the curve is locked in. </w:t>
      </w:r>
    </w:p>
    <w:p w14:paraId="39F5EAE4" w14:textId="73C4B3EA" w:rsidR="008769EF" w:rsidRDefault="008769EF" w:rsidP="004949B0">
      <w:pPr>
        <w:pStyle w:val="Heading1"/>
      </w:pPr>
      <w:bookmarkStart w:id="74" w:name="_heading=h.vnkfbl2seaf1" w:colFirst="0" w:colLast="0"/>
      <w:bookmarkStart w:id="75" w:name="_Toc48817211"/>
      <w:bookmarkStart w:id="76" w:name="_Toc48817255"/>
      <w:bookmarkEnd w:id="74"/>
      <w:r>
        <w:t>Outputs</w:t>
      </w:r>
      <w:bookmarkEnd w:id="75"/>
      <w:bookmarkEnd w:id="76"/>
    </w:p>
    <w:p w14:paraId="18AFE211" w14:textId="6C67AB0D" w:rsidR="008769EF" w:rsidRDefault="008769EF" w:rsidP="001E0790">
      <w:r>
        <w:t>The results or outputs of a run are stored in slot values, typically series slots. Operators use outputs to evaluate their management decisions. Additionally, they relay outputs to stakeholders, who use the information to plan for water availability in the coming season. Commonly, these slots</w:t>
      </w:r>
      <w:r w:rsidR="00760D30">
        <w:t xml:space="preserve"> are post processed into plots and metric values including </w:t>
      </w:r>
      <w:r>
        <w:t xml:space="preserve">period minimums or seasonal </w:t>
      </w:r>
      <w:r w:rsidR="0080098D">
        <w:t>cumulative values</w:t>
      </w:r>
      <w:r>
        <w:t>. If the outputs surpass or violate a threshold, the operator can deem their management decisions in</w:t>
      </w:r>
      <w:r w:rsidR="00760D30">
        <w:t>adequate</w:t>
      </w:r>
      <w:r>
        <w:t xml:space="preserve">. </w:t>
      </w:r>
      <w:r w:rsidR="00760D30">
        <w:t>T</w:t>
      </w:r>
      <w:r>
        <w:t>hreshold slots</w:t>
      </w:r>
      <w:r w:rsidR="00760D30">
        <w:t xml:space="preserve"> are located</w:t>
      </w:r>
      <w:r>
        <w:t xml:space="preserve"> on the same object as the </w:t>
      </w:r>
      <w:r w:rsidR="00760D30">
        <w:t xml:space="preserve">associated </w:t>
      </w:r>
      <w:r>
        <w:t xml:space="preserve">output slot. </w:t>
      </w:r>
      <w:r w:rsidR="00760D30">
        <w:t>M</w:t>
      </w:r>
      <w:r>
        <w:t xml:space="preserve">any output slots </w:t>
      </w:r>
      <w:r w:rsidR="00760D30">
        <w:t xml:space="preserve">are shown </w:t>
      </w:r>
      <w:r>
        <w:t>on an SCT sheet making it easier for the operator to evaluate a run.</w:t>
      </w:r>
      <w:bookmarkStart w:id="77" w:name="_heading=h.dz28ya6fyhaq" w:colFirst="0" w:colLast="0"/>
      <w:bookmarkEnd w:id="77"/>
    </w:p>
    <w:p w14:paraId="2E806B1C" w14:textId="5DB90159" w:rsidR="008769EF" w:rsidRDefault="008769EF" w:rsidP="008769EF">
      <w:r>
        <w:t xml:space="preserve">Post </w:t>
      </w:r>
      <w:r w:rsidR="001E0790">
        <w:t>pr</w:t>
      </w:r>
      <w:r>
        <w:t xml:space="preserve">ocessing </w:t>
      </w:r>
      <w:r w:rsidR="001E0790">
        <w:t xml:space="preserve">results </w:t>
      </w:r>
      <w:r>
        <w:t>make the outputs easier to comprehend. The</w:t>
      </w:r>
      <w:r w:rsidR="001E0790">
        <w:t xml:space="preserve"> following sections describe three</w:t>
      </w:r>
      <w:r>
        <w:t xml:space="preserve"> types of post processed outputs as follows: </w:t>
      </w:r>
    </w:p>
    <w:p w14:paraId="0F99EF36" w14:textId="77777777" w:rsidR="008769EF" w:rsidRDefault="008769EF" w:rsidP="00760D30">
      <w:pPr>
        <w:pStyle w:val="ListBullet"/>
      </w:pPr>
      <w:r>
        <w:t>Cumulative Account Use</w:t>
      </w:r>
    </w:p>
    <w:p w14:paraId="1F7A9C86" w14:textId="77777777" w:rsidR="008769EF" w:rsidRDefault="008769EF" w:rsidP="00760D30">
      <w:pPr>
        <w:pStyle w:val="ListBullet"/>
      </w:pPr>
      <w:r>
        <w:t>Plots</w:t>
      </w:r>
    </w:p>
    <w:p w14:paraId="3DD3731B" w14:textId="4464754E" w:rsidR="008769EF" w:rsidRDefault="001E0790" w:rsidP="00760D30">
      <w:pPr>
        <w:pStyle w:val="ListBullet"/>
      </w:pPr>
      <w:r>
        <w:t>Compliance metrics</w:t>
      </w:r>
    </w:p>
    <w:p w14:paraId="447E8295" w14:textId="39D4C789" w:rsidR="001E0790" w:rsidRDefault="001E0790" w:rsidP="00760D30">
      <w:pPr>
        <w:pStyle w:val="ListBullet"/>
      </w:pPr>
      <w:r>
        <w:t>Model Reports</w:t>
      </w:r>
    </w:p>
    <w:p w14:paraId="679A7DCF" w14:textId="77777777" w:rsidR="008769EF" w:rsidRDefault="008769EF" w:rsidP="001E0790">
      <w:pPr>
        <w:pStyle w:val="Heading2"/>
      </w:pPr>
      <w:bookmarkStart w:id="78" w:name="_heading=h.fprdn4610twa" w:colFirst="0" w:colLast="0"/>
      <w:bookmarkStart w:id="79" w:name="_Toc48817213"/>
      <w:bookmarkEnd w:id="78"/>
      <w:r>
        <w:t>Cumulative Account Use</w:t>
      </w:r>
      <w:bookmarkEnd w:id="79"/>
    </w:p>
    <w:p w14:paraId="3F626E0F" w14:textId="4CA16C2D" w:rsidR="00AE7AA8" w:rsidRDefault="008769EF" w:rsidP="008769EF">
      <w:r>
        <w:t xml:space="preserve">The Cumulative Account Use represents the total volume an account distributes across a set period. Operators track it to evaluate the extent that objectives are supplied (i.e. the degree of over or under allocation). There are four accounts that the operator tracks usage, which are the following: EWA, Project Supply, KDD Fall/Winter, and Refuge Fall/Winter. Of these, the EWA is the only account that </w:t>
      </w:r>
      <w:r w:rsidR="000E0112">
        <w:t>is actively</w:t>
      </w:r>
      <w:r>
        <w:t xml:space="preserve"> tracked within a timestep, in terms </w:t>
      </w:r>
      <w:r w:rsidR="000E0112">
        <w:t>of the</w:t>
      </w:r>
      <w:r>
        <w:t xml:space="preserve"> cum</w:t>
      </w:r>
      <w:r w:rsidR="00B06AB0">
        <w:t>ulative use. For the others, rules</w:t>
      </w:r>
      <w:r>
        <w:t xml:space="preserve"> track the cumulative use on a daily timestep, at the end of the run. Since the allocations occur as releases from UKL, the rule converts the flow to volume and sums them over the period of interest. </w:t>
      </w:r>
      <w:r w:rsidR="000E0112">
        <w:fldChar w:fldCharType="begin"/>
      </w:r>
      <w:r w:rsidR="000E0112">
        <w:instrText xml:space="preserve"> REF _Ref48914617 \r \h </w:instrText>
      </w:r>
      <w:r w:rsidR="000E0112">
        <w:fldChar w:fldCharType="separate"/>
      </w:r>
      <w:r w:rsidR="00170C2A">
        <w:t xml:space="preserve">Table 4. </w:t>
      </w:r>
      <w:r w:rsidR="000E0112">
        <w:fldChar w:fldCharType="end"/>
      </w:r>
      <w:proofErr w:type="gramStart"/>
      <w:r w:rsidR="001E0790">
        <w:t>shows</w:t>
      </w:r>
      <w:proofErr w:type="gramEnd"/>
      <w:r w:rsidR="001E0790">
        <w:t xml:space="preserve"> the</w:t>
      </w:r>
      <w:r>
        <w:t xml:space="preserve"> slots output for each account. The slots for the Cumulative Account Use appear on the same object as their Account Supply. Alternatively, they are found on the SCT sheet that presents the Account Supplies. </w:t>
      </w:r>
    </w:p>
    <w:p w14:paraId="467B34B2" w14:textId="6BE4B47F" w:rsidR="000E0112" w:rsidRDefault="000E0112" w:rsidP="000E0112">
      <w:pPr>
        <w:pStyle w:val="TableTitle"/>
        <w:rPr>
          <w:szCs w:val="20"/>
        </w:rPr>
      </w:pPr>
      <w:bookmarkStart w:id="80" w:name="_Ref48914617"/>
      <w:r>
        <w:rPr>
          <w:szCs w:val="20"/>
        </w:rPr>
        <w:lastRenderedPageBreak/>
        <w:t>Slots that make up the Cumulative Account Use outputs.</w:t>
      </w:r>
      <w:bookmarkEnd w:id="80"/>
    </w:p>
    <w:p w14:paraId="2D300772" w14:textId="77777777" w:rsidR="000E0112" w:rsidRPr="000E0112" w:rsidRDefault="000E0112" w:rsidP="000E0112">
      <w:pPr>
        <w:pStyle w:val="TableAnchor"/>
      </w:pPr>
    </w:p>
    <w:p w14:paraId="774A9F3C" w14:textId="030A2DFD" w:rsidR="008769EF" w:rsidRDefault="008769EF" w:rsidP="000E0112">
      <w:pPr>
        <w:jc w:val="center"/>
      </w:pPr>
      <w:r>
        <w:rPr>
          <w:noProof/>
        </w:rPr>
        <w:drawing>
          <wp:inline distT="114300" distB="114300" distL="114300" distR="114300" wp14:anchorId="722551BF" wp14:editId="1CBDEF38">
            <wp:extent cx="5104714" cy="1816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b="41202"/>
                    <a:stretch>
                      <a:fillRect/>
                    </a:stretch>
                  </pic:blipFill>
                  <pic:spPr>
                    <a:xfrm>
                      <a:off x="0" y="0"/>
                      <a:ext cx="5104714" cy="1816100"/>
                    </a:xfrm>
                    <a:prstGeom prst="rect">
                      <a:avLst/>
                    </a:prstGeom>
                    <a:ln/>
                  </pic:spPr>
                </pic:pic>
              </a:graphicData>
            </a:graphic>
          </wp:inline>
        </w:drawing>
      </w:r>
    </w:p>
    <w:p w14:paraId="04CBAE32" w14:textId="77777777" w:rsidR="008769EF" w:rsidRDefault="008769EF" w:rsidP="001E0790">
      <w:pPr>
        <w:pStyle w:val="Heading2"/>
      </w:pPr>
      <w:bookmarkStart w:id="81" w:name="_heading=h.uob3oi8muxh3" w:colFirst="0" w:colLast="0"/>
      <w:bookmarkStart w:id="82" w:name="_Toc48817214"/>
      <w:bookmarkEnd w:id="81"/>
      <w:r>
        <w:t>Plots</w:t>
      </w:r>
      <w:bookmarkEnd w:id="82"/>
    </w:p>
    <w:p w14:paraId="14E66F23" w14:textId="556ADB86" w:rsidR="008769EF" w:rsidRDefault="008769EF" w:rsidP="008769EF">
      <w:r>
        <w:t>Operators use Plots to visualize the pool elevation at UKL and release at IGD</w:t>
      </w:r>
      <w:r w:rsidR="008A573B">
        <w:t xml:space="preserve">, Examples are shown in </w:t>
      </w:r>
      <w:r w:rsidR="008A573B">
        <w:fldChar w:fldCharType="begin"/>
      </w:r>
      <w:r w:rsidR="008A573B">
        <w:instrText xml:space="preserve"> REF _Ref50908741 \r \h </w:instrText>
      </w:r>
      <w:r w:rsidR="008A573B">
        <w:fldChar w:fldCharType="separate"/>
      </w:r>
      <w:r w:rsidR="00170C2A">
        <w:t xml:space="preserve">Figure 3. </w:t>
      </w:r>
      <w:r w:rsidR="008A573B">
        <w:fldChar w:fldCharType="end"/>
      </w:r>
      <w:r w:rsidR="008A573B">
        <w:t xml:space="preserve"> </w:t>
      </w:r>
      <w:proofErr w:type="gramStart"/>
      <w:r w:rsidR="008A573B">
        <w:t>and</w:t>
      </w:r>
      <w:proofErr w:type="gramEnd"/>
      <w:r w:rsidR="008A573B">
        <w:t xml:space="preserve"> </w:t>
      </w:r>
      <w:r w:rsidR="008A573B">
        <w:fldChar w:fldCharType="begin"/>
      </w:r>
      <w:r w:rsidR="008A573B">
        <w:instrText xml:space="preserve"> REF _Ref50908802 \r \h </w:instrText>
      </w:r>
      <w:r w:rsidR="008A573B">
        <w:fldChar w:fldCharType="separate"/>
      </w:r>
      <w:r w:rsidR="00170C2A">
        <w:t xml:space="preserve">Figure 4. </w:t>
      </w:r>
      <w:r w:rsidR="008A573B">
        <w:fldChar w:fldCharType="end"/>
      </w:r>
      <w:r w:rsidR="008A573B">
        <w:t>, respectively</w:t>
      </w:r>
      <w:r>
        <w:t xml:space="preserve">. Each has </w:t>
      </w:r>
      <w:r w:rsidR="000E0112">
        <w:t>time on the x-</w:t>
      </w:r>
      <w:r>
        <w:t xml:space="preserve">axis, which spans the entire water year. In addition, </w:t>
      </w:r>
      <w:r w:rsidR="008A573B">
        <w:t xml:space="preserve">the operator can zoom in on the </w:t>
      </w:r>
      <w:r>
        <w:t xml:space="preserve">UKL pool elevation plot </w:t>
      </w:r>
      <w:r w:rsidR="008A573B">
        <w:t>to see more detail such as t</w:t>
      </w:r>
      <w:r>
        <w:t>he month of February</w:t>
      </w:r>
      <w:r w:rsidR="008A573B">
        <w:t xml:space="preserve"> as </w:t>
      </w:r>
      <w:r>
        <w:t>this month is important since it tracks how UKL fills before the agricultural diversions begin in the spring</w:t>
      </w:r>
      <w:r>
        <w:rPr>
          <w:color w:val="E69138"/>
        </w:rPr>
        <w:t>.</w:t>
      </w:r>
      <w:r>
        <w:t xml:space="preserve"> The operator can view as well as edit the plots from the plotting feature. </w:t>
      </w:r>
    </w:p>
    <w:p w14:paraId="0DDB9237" w14:textId="4743D006" w:rsidR="001E0790" w:rsidRDefault="001E0790" w:rsidP="008769EF">
      <w:r>
        <w:t xml:space="preserve">See </w:t>
      </w:r>
      <w:r w:rsidR="00AE7AA8">
        <w:fldChar w:fldCharType="begin"/>
      </w:r>
      <w:r w:rsidR="00AE7AA8">
        <w:instrText xml:space="preserve"> REF _Ref50794320 \h </w:instrText>
      </w:r>
      <w:r w:rsidR="00AE7AA8">
        <w:fldChar w:fldCharType="separate"/>
      </w:r>
      <w:r w:rsidR="00170C2A">
        <w:t>View Results: Run Range</w:t>
      </w:r>
      <w:r w:rsidR="00AE7AA8">
        <w:fldChar w:fldCharType="end"/>
      </w:r>
      <w:r w:rsidR="00AE7AA8">
        <w:t xml:space="preserve"> on page </w:t>
      </w:r>
      <w:r w:rsidR="00AE7AA8">
        <w:fldChar w:fldCharType="begin"/>
      </w:r>
      <w:r w:rsidR="00AE7AA8">
        <w:instrText xml:space="preserve"> PAGEREF _Ref50794331 \h </w:instrText>
      </w:r>
      <w:r w:rsidR="00AE7AA8">
        <w:fldChar w:fldCharType="separate"/>
      </w:r>
      <w:r w:rsidR="00170C2A">
        <w:rPr>
          <w:noProof/>
        </w:rPr>
        <w:t>27</w:t>
      </w:r>
      <w:r w:rsidR="00AE7AA8">
        <w:fldChar w:fldCharType="end"/>
      </w:r>
      <w:r w:rsidR="00AE7AA8">
        <w:t xml:space="preserve"> for more information on the available plots. </w:t>
      </w:r>
    </w:p>
    <w:p w14:paraId="21C5C874" w14:textId="60B006A6" w:rsidR="008A573B" w:rsidRDefault="008A573B" w:rsidP="008A573B">
      <w:pPr>
        <w:pStyle w:val="FigCaption"/>
      </w:pPr>
      <w:bookmarkStart w:id="83" w:name="_Ref50908741"/>
      <w:r>
        <w:t>Sample UKL elevation plot</w:t>
      </w:r>
    </w:p>
    <w:bookmarkEnd w:id="83"/>
    <w:p w14:paraId="3BA7E03C" w14:textId="77777777" w:rsidR="008A573B" w:rsidRPr="008A573B" w:rsidRDefault="008A573B" w:rsidP="008A573B">
      <w:pPr>
        <w:pStyle w:val="FigAnchor"/>
      </w:pPr>
    </w:p>
    <w:p w14:paraId="269A6341" w14:textId="52B76C9D" w:rsidR="000E0112" w:rsidRDefault="008A573B" w:rsidP="008A573B">
      <w:r>
        <w:rPr>
          <w:noProof/>
        </w:rPr>
        <w:drawing>
          <wp:inline distT="0" distB="0" distL="0" distR="0" wp14:anchorId="1E5C402E" wp14:editId="5416D4F7">
            <wp:extent cx="4800600" cy="36484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3648456"/>
                    </a:xfrm>
                    <a:prstGeom prst="rect">
                      <a:avLst/>
                    </a:prstGeom>
                  </pic:spPr>
                </pic:pic>
              </a:graphicData>
            </a:graphic>
          </wp:inline>
        </w:drawing>
      </w:r>
    </w:p>
    <w:p w14:paraId="4EA16C55" w14:textId="77777777" w:rsidR="008A573B" w:rsidRPr="000E0112" w:rsidRDefault="008A573B" w:rsidP="008A573B"/>
    <w:p w14:paraId="741D5DB4" w14:textId="5BFC0930" w:rsidR="008769EF" w:rsidRDefault="008A573B" w:rsidP="008A573B">
      <w:pPr>
        <w:pStyle w:val="FigCaption"/>
      </w:pPr>
      <w:bookmarkStart w:id="84" w:name="_Ref50908802"/>
      <w:r>
        <w:lastRenderedPageBreak/>
        <w:t>Sample IGD Flows plot</w:t>
      </w:r>
    </w:p>
    <w:bookmarkEnd w:id="84"/>
    <w:p w14:paraId="176F7E34" w14:textId="77777777" w:rsidR="008A573B" w:rsidRPr="008A573B" w:rsidRDefault="008A573B" w:rsidP="008A573B">
      <w:pPr>
        <w:pStyle w:val="FigAnchor"/>
      </w:pPr>
    </w:p>
    <w:p w14:paraId="571DB91E" w14:textId="77777777" w:rsidR="008A573B" w:rsidRDefault="008A573B" w:rsidP="000E0112">
      <w:pPr>
        <w:jc w:val="center"/>
      </w:pPr>
      <w:r>
        <w:rPr>
          <w:noProof/>
        </w:rPr>
        <w:drawing>
          <wp:inline distT="0" distB="0" distL="0" distR="0" wp14:anchorId="5D5B643C" wp14:editId="16213D9F">
            <wp:extent cx="5358384" cy="29900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8384" cy="2990088"/>
                    </a:xfrm>
                    <a:prstGeom prst="rect">
                      <a:avLst/>
                    </a:prstGeom>
                  </pic:spPr>
                </pic:pic>
              </a:graphicData>
            </a:graphic>
          </wp:inline>
        </w:drawing>
      </w:r>
    </w:p>
    <w:p w14:paraId="25A0B615" w14:textId="14961975" w:rsidR="008769EF" w:rsidRDefault="008769EF" w:rsidP="001E0790">
      <w:pPr>
        <w:pStyle w:val="Heading2"/>
      </w:pPr>
      <w:bookmarkStart w:id="85" w:name="_heading=h.32oy0vd02p8h" w:colFirst="0" w:colLast="0"/>
      <w:bookmarkStart w:id="86" w:name="_Toc48817215"/>
      <w:bookmarkEnd w:id="85"/>
      <w:r>
        <w:t>Compliance Metrics</w:t>
      </w:r>
      <w:bookmarkEnd w:id="86"/>
    </w:p>
    <w:p w14:paraId="2176087D" w14:textId="72D317DF" w:rsidR="008769EF" w:rsidRDefault="008769EF" w:rsidP="008769EF">
      <w:r>
        <w:t xml:space="preserve">Compliance Metrics are policy defined criteria that a model run satisfies to be considered </w:t>
      </w:r>
      <w:r w:rsidR="007274D8">
        <w:t>acceptable</w:t>
      </w:r>
      <w:r>
        <w:t xml:space="preserve">. If the model run fails to meet any of these criteria, the operator must alter their management decisions so that the </w:t>
      </w:r>
      <w:r w:rsidR="007274D8">
        <w:t>c</w:t>
      </w:r>
      <w:r>
        <w:t xml:space="preserve">ompliance </w:t>
      </w:r>
      <w:r w:rsidR="007274D8">
        <w:t>m</w:t>
      </w:r>
      <w:r>
        <w:t xml:space="preserve">etrics are met. The model computes each </w:t>
      </w:r>
      <w:r w:rsidR="007274D8">
        <w:t>c</w:t>
      </w:r>
      <w:r>
        <w:t xml:space="preserve">ompliance </w:t>
      </w:r>
      <w:r w:rsidR="007274D8">
        <w:t>m</w:t>
      </w:r>
      <w:r>
        <w:t>etric in a “Scalar slot with Expression</w:t>
      </w:r>
      <w:r w:rsidR="007274D8">
        <w:t xml:space="preserve">”; </w:t>
      </w:r>
      <w:r>
        <w:t xml:space="preserve">each metric represents a single value. These slots are kept on one data object for convenient access. Additionally, </w:t>
      </w:r>
      <w:r w:rsidR="005D4D00">
        <w:t>they are</w:t>
      </w:r>
      <w:r>
        <w:t xml:space="preserve"> present</w:t>
      </w:r>
      <w:r w:rsidR="005D4D00">
        <w:t>ed</w:t>
      </w:r>
      <w:r>
        <w:t xml:space="preserve"> on </w:t>
      </w:r>
      <w:r w:rsidR="001E0790">
        <w:t xml:space="preserve">multiple </w:t>
      </w:r>
      <w:r w:rsidR="007274D8">
        <w:t>o</w:t>
      </w:r>
      <w:r w:rsidR="001E0790">
        <w:t xml:space="preserve">utput </w:t>
      </w:r>
      <w:r w:rsidR="007274D8">
        <w:t>c</w:t>
      </w:r>
      <w:r w:rsidR="001E0790">
        <w:t>anvas</w:t>
      </w:r>
      <w:r>
        <w:t xml:space="preserve">. </w:t>
      </w:r>
      <w:r w:rsidR="00CA7938">
        <w:fldChar w:fldCharType="begin"/>
      </w:r>
      <w:r w:rsidR="00CA7938">
        <w:instrText xml:space="preserve"> REF _Ref50909181 \r \h </w:instrText>
      </w:r>
      <w:r w:rsidR="00CA7938">
        <w:fldChar w:fldCharType="separate"/>
      </w:r>
      <w:r w:rsidR="00170C2A">
        <w:t xml:space="preserve">Figure 5. </w:t>
      </w:r>
      <w:r w:rsidR="00CA7938">
        <w:fldChar w:fldCharType="end"/>
      </w:r>
      <w:proofErr w:type="gramStart"/>
      <w:r>
        <w:t>shows</w:t>
      </w:r>
      <w:proofErr w:type="gramEnd"/>
      <w:r>
        <w:t xml:space="preserve"> a</w:t>
      </w:r>
      <w:r w:rsidR="007274D8">
        <w:t xml:space="preserve"> sample of the compliance m</w:t>
      </w:r>
      <w:r>
        <w:t>etric</w:t>
      </w:r>
      <w:r w:rsidR="007274D8">
        <w:t xml:space="preserve"> output canvas</w:t>
      </w:r>
      <w:r>
        <w:t xml:space="preserve">. </w:t>
      </w:r>
    </w:p>
    <w:p w14:paraId="66AAF1A2" w14:textId="4D6EB10E" w:rsidR="007274D8" w:rsidRDefault="007274D8" w:rsidP="008769EF">
      <w:r>
        <w:t xml:space="preserve">See </w:t>
      </w:r>
      <w:r>
        <w:fldChar w:fldCharType="begin"/>
      </w:r>
      <w:r>
        <w:instrText xml:space="preserve"> REF _Ref50794402 \h </w:instrText>
      </w:r>
      <w:r>
        <w:fldChar w:fldCharType="separate"/>
      </w:r>
      <w:r w:rsidR="00170C2A">
        <w:t>View Results: Key Metrics</w:t>
      </w:r>
      <w:r>
        <w:fldChar w:fldCharType="end"/>
      </w:r>
      <w:r>
        <w:t xml:space="preserve"> on page </w:t>
      </w:r>
      <w:r>
        <w:fldChar w:fldCharType="begin"/>
      </w:r>
      <w:r>
        <w:instrText xml:space="preserve"> PAGEREF _Ref50794410 \h </w:instrText>
      </w:r>
      <w:r>
        <w:fldChar w:fldCharType="separate"/>
      </w:r>
      <w:r w:rsidR="00170C2A">
        <w:rPr>
          <w:noProof/>
        </w:rPr>
        <w:t>26</w:t>
      </w:r>
      <w:r>
        <w:fldChar w:fldCharType="end"/>
      </w:r>
      <w:r>
        <w:t xml:space="preserve"> for more information on the available Output Canvas. </w:t>
      </w:r>
    </w:p>
    <w:p w14:paraId="57A3D5DB" w14:textId="77777777" w:rsidR="007274D8" w:rsidRDefault="007274D8" w:rsidP="007274D8">
      <w:pPr>
        <w:pStyle w:val="FigCaption"/>
      </w:pPr>
      <w:bookmarkStart w:id="87" w:name="_Ref50909181"/>
      <w:r>
        <w:lastRenderedPageBreak/>
        <w:t>Sample Metric Output Canvas</w:t>
      </w:r>
      <w:bookmarkEnd w:id="87"/>
    </w:p>
    <w:p w14:paraId="435022BA" w14:textId="77777777" w:rsidR="007274D8" w:rsidRPr="003E1FF3" w:rsidRDefault="007274D8" w:rsidP="007274D8">
      <w:pPr>
        <w:pStyle w:val="FigAnchor"/>
      </w:pPr>
    </w:p>
    <w:p w14:paraId="1CD11A90" w14:textId="4A737428" w:rsidR="000E0112" w:rsidRDefault="007274D8" w:rsidP="007274D8">
      <w:pPr>
        <w:pStyle w:val="TableTitle"/>
        <w:numPr>
          <w:ilvl w:val="0"/>
          <w:numId w:val="0"/>
        </w:numPr>
        <w:rPr>
          <w:szCs w:val="20"/>
        </w:rPr>
      </w:pPr>
      <w:r>
        <w:rPr>
          <w:noProof/>
        </w:rPr>
        <w:drawing>
          <wp:inline distT="0" distB="0" distL="0" distR="0" wp14:anchorId="4A3C0669" wp14:editId="7BCEC8DA">
            <wp:extent cx="5557962" cy="431395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1795" cy="4316927"/>
                    </a:xfrm>
                    <a:prstGeom prst="rect">
                      <a:avLst/>
                    </a:prstGeom>
                  </pic:spPr>
                </pic:pic>
              </a:graphicData>
            </a:graphic>
          </wp:inline>
        </w:drawing>
      </w:r>
    </w:p>
    <w:p w14:paraId="422A6CC4" w14:textId="77777777" w:rsidR="000E0112" w:rsidRPr="000E0112" w:rsidRDefault="000E0112" w:rsidP="000E0112">
      <w:pPr>
        <w:pStyle w:val="TableAnchor"/>
      </w:pPr>
    </w:p>
    <w:p w14:paraId="12F1D62C" w14:textId="77777777" w:rsidR="008769EF" w:rsidRDefault="008769EF" w:rsidP="001E0790">
      <w:pPr>
        <w:pStyle w:val="Heading2"/>
      </w:pPr>
      <w:bookmarkStart w:id="88" w:name="_heading=h.a8ru3gbt5rzm" w:colFirst="0" w:colLast="0"/>
      <w:bookmarkStart w:id="89" w:name="_Toc48817216"/>
      <w:bookmarkEnd w:id="88"/>
      <w:r>
        <w:t>Model Report</w:t>
      </w:r>
      <w:bookmarkEnd w:id="89"/>
    </w:p>
    <w:p w14:paraId="20C229FB" w14:textId="7265D7CA" w:rsidR="007274D8" w:rsidRDefault="008769EF" w:rsidP="007274D8">
      <w:r>
        <w:t>For the stakeholders, Reclamation sends out the model run projectio</w:t>
      </w:r>
      <w:r w:rsidR="0030367C">
        <w:t>ns in a RiverWare Model Report.</w:t>
      </w:r>
      <w:r>
        <w:t xml:space="preserve"> The Model Report is a flexible output tailored in content and format by the model developer. </w:t>
      </w:r>
    </w:p>
    <w:p w14:paraId="48145BA4" w14:textId="4016603E" w:rsidR="007274D8" w:rsidRDefault="007274D8" w:rsidP="007274D8">
      <w:r>
        <w:t xml:space="preserve">See </w:t>
      </w:r>
      <w:r w:rsidR="0004103E">
        <w:t>“</w:t>
      </w:r>
      <w:r w:rsidR="00CA7938">
        <w:fldChar w:fldCharType="begin"/>
      </w:r>
      <w:r w:rsidR="00CA7938">
        <w:instrText xml:space="preserve"> REF _Ref51142317 \h </w:instrText>
      </w:r>
      <w:r w:rsidR="00CA7938">
        <w:fldChar w:fldCharType="separate"/>
      </w:r>
      <w:r w:rsidR="00170C2A">
        <w:t>5) Generate Reports and Output Products</w:t>
      </w:r>
      <w:r w:rsidR="00CA7938">
        <w:fldChar w:fldCharType="end"/>
      </w:r>
      <w:r w:rsidR="0004103E">
        <w:t>”</w:t>
      </w:r>
      <w:r>
        <w:t xml:space="preserve"> on page </w:t>
      </w:r>
      <w:r w:rsidR="0004103E">
        <w:fldChar w:fldCharType="begin"/>
      </w:r>
      <w:r w:rsidR="0004103E">
        <w:instrText xml:space="preserve"> PAGEREF _Ref51142442 \h </w:instrText>
      </w:r>
      <w:r w:rsidR="0004103E">
        <w:fldChar w:fldCharType="separate"/>
      </w:r>
      <w:r w:rsidR="00170C2A">
        <w:rPr>
          <w:noProof/>
        </w:rPr>
        <w:t>33</w:t>
      </w:r>
      <w:r w:rsidR="0004103E">
        <w:fldChar w:fldCharType="end"/>
      </w:r>
      <w:r>
        <w:t xml:space="preserve"> for more information on the available Model Reports.  With collaboration from the operator, additional reports can be developed that include the plots, charts, and tabular data that they want to communicate to the stakeholders and accompany those outputs with definitions and analyses (E.g. what is the EWA and how did affect this year’s operations?). </w:t>
      </w:r>
    </w:p>
    <w:p w14:paraId="53D14073" w14:textId="77777777" w:rsidR="007274D8" w:rsidRDefault="007274D8" w:rsidP="007274D8">
      <w:pPr>
        <w:pStyle w:val="FigCaption"/>
      </w:pPr>
      <w:r>
        <w:lastRenderedPageBreak/>
        <w:t>Sample USBR Daily Numbers Model Report output HTML file shown in a web browser</w:t>
      </w:r>
    </w:p>
    <w:p w14:paraId="1DA25372" w14:textId="77777777" w:rsidR="007274D8" w:rsidRPr="007274D8" w:rsidRDefault="007274D8" w:rsidP="007274D8">
      <w:pPr>
        <w:pStyle w:val="FigAnchor"/>
      </w:pPr>
    </w:p>
    <w:p w14:paraId="04EA04AE" w14:textId="1F549DE5" w:rsidR="007274D8" w:rsidRDefault="007274D8" w:rsidP="008769EF">
      <w:r>
        <w:rPr>
          <w:noProof/>
        </w:rPr>
        <w:drawing>
          <wp:inline distT="0" distB="0" distL="0" distR="0" wp14:anchorId="0C3A171D" wp14:editId="4D4344CC">
            <wp:extent cx="5943600" cy="36588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58870"/>
                    </a:xfrm>
                    <a:prstGeom prst="rect">
                      <a:avLst/>
                    </a:prstGeom>
                  </pic:spPr>
                </pic:pic>
              </a:graphicData>
            </a:graphic>
          </wp:inline>
        </w:drawing>
      </w:r>
    </w:p>
    <w:p w14:paraId="25346598" w14:textId="4678B271" w:rsidR="008769EF" w:rsidRDefault="008769EF" w:rsidP="00EA565B">
      <w:pPr>
        <w:pStyle w:val="Heading1"/>
      </w:pPr>
      <w:bookmarkStart w:id="90" w:name="_Toc48817217"/>
      <w:bookmarkStart w:id="91" w:name="_Toc48817257"/>
      <w:r w:rsidRPr="00EA565B">
        <w:t>Workflow</w:t>
      </w:r>
      <w:r w:rsidR="00B544C1">
        <w:t xml:space="preserve"> a</w:t>
      </w:r>
      <w:r w:rsidR="00EA565B">
        <w:t>nd User’s Guide</w:t>
      </w:r>
      <w:bookmarkEnd w:id="90"/>
      <w:bookmarkEnd w:id="91"/>
    </w:p>
    <w:p w14:paraId="37FFBA3D" w14:textId="2584486F" w:rsidR="008769EF" w:rsidRDefault="008769EF" w:rsidP="008769EF">
      <w:r>
        <w:t xml:space="preserve">This </w:t>
      </w:r>
      <w:r w:rsidR="00A70A02">
        <w:t>section</w:t>
      </w:r>
      <w:r>
        <w:t xml:space="preserve"> describes the workflow for Reclamation’s Klamath Basin Area Office (KBAO) using the Klamath RiverWare Operations Model (KROM). The </w:t>
      </w:r>
      <w:r w:rsidR="0080098D">
        <w:t>chapter</w:t>
      </w:r>
      <w:r>
        <w:t xml:space="preserve"> is structured by the actions or steps the operator performs and the tools and utilities in RiverWare or externally that are used. We include a description and operator usage guide</w:t>
      </w:r>
      <w:r w:rsidR="00AB465E">
        <w:t xml:space="preserve"> for both. As an overview</w:t>
      </w:r>
      <w:r>
        <w:t>, the operator performs the following order of procedures:</w:t>
      </w:r>
    </w:p>
    <w:p w14:paraId="68989A69" w14:textId="77777777" w:rsidR="008769EF" w:rsidRDefault="008769EF" w:rsidP="008769EF">
      <w:pPr>
        <w:numPr>
          <w:ilvl w:val="0"/>
          <w:numId w:val="39"/>
        </w:numPr>
        <w:spacing w:before="0" w:line="259" w:lineRule="auto"/>
      </w:pPr>
      <w:r>
        <w:t>Acquire, review, and archive the data from external sources</w:t>
      </w:r>
    </w:p>
    <w:p w14:paraId="4168AFB2" w14:textId="77777777" w:rsidR="008769EF" w:rsidRDefault="008769EF" w:rsidP="008769EF">
      <w:pPr>
        <w:numPr>
          <w:ilvl w:val="0"/>
          <w:numId w:val="39"/>
        </w:numPr>
        <w:spacing w:before="0" w:line="259" w:lineRule="auto"/>
      </w:pPr>
      <w:r>
        <w:t>Run setup scripts and assign settings and manual inputs in the KROM</w:t>
      </w:r>
    </w:p>
    <w:p w14:paraId="68291BAD" w14:textId="77777777" w:rsidR="008769EF" w:rsidRDefault="008769EF" w:rsidP="008769EF">
      <w:pPr>
        <w:numPr>
          <w:ilvl w:val="0"/>
          <w:numId w:val="39"/>
        </w:numPr>
        <w:spacing w:before="0" w:line="259" w:lineRule="auto"/>
      </w:pPr>
      <w:r>
        <w:t>Generate the official Iron Gate releases and projections based on observed and projected hydrology, respectively</w:t>
      </w:r>
    </w:p>
    <w:p w14:paraId="0C1797CA" w14:textId="77777777" w:rsidR="008769EF" w:rsidRDefault="008769EF" w:rsidP="008769EF">
      <w:pPr>
        <w:numPr>
          <w:ilvl w:val="0"/>
          <w:numId w:val="39"/>
        </w:numPr>
        <w:spacing w:before="0" w:line="259" w:lineRule="auto"/>
      </w:pPr>
      <w:r>
        <w:t xml:space="preserve">Ensure modeled conditions are consistent with forecasts and results satisfy </w:t>
      </w:r>
      <w:proofErr w:type="spellStart"/>
      <w:r>
        <w:t>BiOp</w:t>
      </w:r>
      <w:proofErr w:type="spellEnd"/>
      <w:r>
        <w:t xml:space="preserve"> compliance metrics</w:t>
      </w:r>
    </w:p>
    <w:p w14:paraId="0026CEFE" w14:textId="77777777" w:rsidR="008769EF" w:rsidRDefault="008769EF" w:rsidP="008769EF">
      <w:pPr>
        <w:numPr>
          <w:ilvl w:val="0"/>
          <w:numId w:val="39"/>
        </w:numPr>
        <w:spacing w:before="0" w:line="259" w:lineRule="auto"/>
      </w:pPr>
      <w:r>
        <w:t xml:space="preserve">Repeat steps 2-4 with different inputs/settings if either requirement is not satisfied </w:t>
      </w:r>
    </w:p>
    <w:p w14:paraId="6BDF98FF" w14:textId="77777777" w:rsidR="008769EF" w:rsidRDefault="008769EF" w:rsidP="008769EF">
      <w:pPr>
        <w:numPr>
          <w:ilvl w:val="0"/>
          <w:numId w:val="39"/>
        </w:numPr>
        <w:spacing w:before="0" w:line="259" w:lineRule="auto"/>
      </w:pPr>
      <w:r>
        <w:t>Prepare and run alternative hydrologic and demand scenarios</w:t>
      </w:r>
    </w:p>
    <w:p w14:paraId="7BFD6DB7" w14:textId="77777777" w:rsidR="008769EF" w:rsidRDefault="008769EF" w:rsidP="008769EF">
      <w:pPr>
        <w:numPr>
          <w:ilvl w:val="0"/>
          <w:numId w:val="39"/>
        </w:numPr>
        <w:spacing w:before="0" w:line="259" w:lineRule="auto"/>
      </w:pPr>
      <w:r>
        <w:t>Generate reports and output products to deliver to stakeholders</w:t>
      </w:r>
    </w:p>
    <w:p w14:paraId="4466F01A" w14:textId="77777777" w:rsidR="008769EF" w:rsidRDefault="008769EF" w:rsidP="008769EF">
      <w:pPr>
        <w:numPr>
          <w:ilvl w:val="0"/>
          <w:numId w:val="39"/>
        </w:numPr>
        <w:spacing w:before="0" w:after="160" w:line="259" w:lineRule="auto"/>
      </w:pPr>
      <w:r>
        <w:t xml:space="preserve">Archive the model and data </w:t>
      </w:r>
    </w:p>
    <w:p w14:paraId="24FFE4A9" w14:textId="4EF5CA41" w:rsidR="008C6774" w:rsidRDefault="00A52DD1" w:rsidP="00225771">
      <w:pPr>
        <w:spacing w:before="0" w:after="160" w:line="259" w:lineRule="auto"/>
      </w:pPr>
      <w:r>
        <w:t xml:space="preserve">Before opening RiverWare, the KLAMATH_OPS environment variable should be set to the </w:t>
      </w:r>
      <w:r w:rsidR="00E529B6">
        <w:t>KROM</w:t>
      </w:r>
      <w:r>
        <w:t xml:space="preserve"> folder containing the </w:t>
      </w:r>
      <w:r w:rsidR="00DE68C9">
        <w:t>m</w:t>
      </w:r>
      <w:r>
        <w:t xml:space="preserve">odels, </w:t>
      </w:r>
      <w:r w:rsidR="00DE68C9">
        <w:t>database, SCTs,</w:t>
      </w:r>
      <w:r>
        <w:t xml:space="preserve"> and other folders. There are many places in </w:t>
      </w:r>
      <w:r w:rsidR="00AB465E">
        <w:t>the KROM</w:t>
      </w:r>
      <w:r>
        <w:t xml:space="preserve"> where files paths are specified and the use of these environment variables allows por</w:t>
      </w:r>
      <w:r w:rsidR="00AB465E">
        <w:t>tability of the models among computers</w:t>
      </w:r>
      <w:r>
        <w:t xml:space="preserve">. Search the internet for setting environment variables for more information on how to set these variables. </w:t>
      </w:r>
    </w:p>
    <w:p w14:paraId="473B9F52" w14:textId="5E218D2D" w:rsidR="008C6774" w:rsidRDefault="008C6774" w:rsidP="00225771">
      <w:pPr>
        <w:spacing w:before="0" w:after="160" w:line="259" w:lineRule="auto"/>
      </w:pPr>
      <w:r>
        <w:lastRenderedPageBreak/>
        <w:t>The following sections describe the use of the following RiverWare utilities. We’ll give a brief overview here, more information can be found in the RiverWare help:</w:t>
      </w:r>
    </w:p>
    <w:p w14:paraId="3F2C56D1" w14:textId="1DAC9C16" w:rsidR="008C6774" w:rsidRDefault="008C6774" w:rsidP="008C6774">
      <w:pPr>
        <w:pStyle w:val="ListBullet"/>
      </w:pPr>
      <w:r>
        <w:t xml:space="preserve">RiverWare Scripts: scripts automate manual actions the operator performs on a consistent basis. A script has the flexibility to load rulesets, set scalar slots, execute DMI’s, and perform many other actions. Scripts automate actions that the operator would otherwise need to perform before each run. </w:t>
      </w:r>
    </w:p>
    <w:p w14:paraId="01ECAC4C" w14:textId="3273D20E" w:rsidR="008C6774" w:rsidRDefault="008C6774" w:rsidP="008C6774">
      <w:pPr>
        <w:pStyle w:val="ListBullet"/>
      </w:pPr>
      <w:r>
        <w:t xml:space="preserve">DMIs: The RiverWare Data Management Interface DMI automates import and export of data from any external database. In KROM, the DMIs connect to Excel files. </w:t>
      </w:r>
    </w:p>
    <w:p w14:paraId="309CE382" w14:textId="535ABE1A" w:rsidR="001F48DA" w:rsidRDefault="001F48DA" w:rsidP="008C6774">
      <w:pPr>
        <w:pStyle w:val="ListBullet"/>
      </w:pPr>
      <w:r>
        <w:t>SCTs: The System Control Table (SCT) is a useful and efficient tool to present and organize multiple slots with which the operator commonly interacts.</w:t>
      </w:r>
    </w:p>
    <w:p w14:paraId="7D32736C" w14:textId="77777777" w:rsidR="00412778" w:rsidRDefault="008C6774" w:rsidP="00D52031">
      <w:pPr>
        <w:pStyle w:val="ListBullet"/>
      </w:pPr>
      <w:r>
        <w:t>Output Canvas</w:t>
      </w:r>
      <w:r w:rsidR="00412778">
        <w:t xml:space="preserve">: the Output Canvas provides spatially distributed information on a timestep by timestep basis. Also, it can be used to show a custom table of a data. </w:t>
      </w:r>
    </w:p>
    <w:p w14:paraId="64A6629A" w14:textId="69092644" w:rsidR="008C6774" w:rsidRDefault="00412778" w:rsidP="00F741F7">
      <w:pPr>
        <w:pStyle w:val="ListBullet"/>
      </w:pPr>
      <w:r>
        <w:t xml:space="preserve">Plots: The operator differentiates between variables based on the line/marker style or color. The plot’s key is present on the bottom panel of the window. If the operator wants to temporarily remove a line or marker, they click the legend item once. To add it back, they click </w:t>
      </w:r>
      <w:r w:rsidR="00C4394A">
        <w:t>it again. T</w:t>
      </w:r>
      <w:r>
        <w:t>he operator opens the Plot Pages from the Output Manager after the completion of a run</w:t>
      </w:r>
      <w:r w:rsidR="00C4394A">
        <w:t xml:space="preserve"> and </w:t>
      </w:r>
      <w:r>
        <w:t>select the plot by name.</w:t>
      </w:r>
    </w:p>
    <w:p w14:paraId="3C160191" w14:textId="77777777" w:rsidR="008769EF" w:rsidRDefault="008769EF" w:rsidP="0030367C">
      <w:pPr>
        <w:pStyle w:val="Heading2"/>
      </w:pPr>
      <w:bookmarkStart w:id="92" w:name="_heading=h.sl6hofq6byqm" w:colFirst="0" w:colLast="0"/>
      <w:bookmarkStart w:id="93" w:name="_Toc48817219"/>
      <w:bookmarkStart w:id="94" w:name="_Toc48817259"/>
      <w:bookmarkEnd w:id="92"/>
      <w:r>
        <w:t xml:space="preserve">1) </w:t>
      </w:r>
      <w:r w:rsidRPr="0030367C">
        <w:t>Acquire</w:t>
      </w:r>
      <w:r>
        <w:t>, Review, and Archive Data</w:t>
      </w:r>
      <w:bookmarkEnd w:id="93"/>
      <w:bookmarkEnd w:id="94"/>
    </w:p>
    <w:p w14:paraId="3346F5A3" w14:textId="2618B706" w:rsidR="008769EF" w:rsidRDefault="0053481D" w:rsidP="008769EF">
      <w:r>
        <w:t>T</w:t>
      </w:r>
      <w:r w:rsidR="008769EF">
        <w:t xml:space="preserve">he “Daily Data Import WY 2020” workbook pulls data from the USGS and </w:t>
      </w:r>
      <w:proofErr w:type="spellStart"/>
      <w:r w:rsidR="008769EF">
        <w:t>Hydromet</w:t>
      </w:r>
      <w:proofErr w:type="spellEnd"/>
      <w:r w:rsidR="008769EF">
        <w:t xml:space="preserve"> systems. This is also the spreadsheet into which the operator inputs reported values. Additionally, the “Daily Data Import WY 2020 (Backup)” </w:t>
      </w:r>
      <w:r w:rsidR="001821E5">
        <w:t>i</w:t>
      </w:r>
      <w:r w:rsidR="008769EF">
        <w:t xml:space="preserve">s the working Excel database used for quality assurance and archiving the hydrology and demands. This maintains the workflow for data </w:t>
      </w:r>
      <w:r w:rsidR="00A52DD1">
        <w:t>a</w:t>
      </w:r>
      <w:r w:rsidR="008769EF">
        <w:t>cquisition and review when using the KROM to run operations</w:t>
      </w:r>
      <w:r w:rsidR="001821E5">
        <w:t xml:space="preserve"> as previously using the PA Calculator</w:t>
      </w:r>
      <w:r w:rsidR="008769EF">
        <w:t xml:space="preserve">. Thus, the operator will continue to prepare data and override missing or incorrect data with these two workbooks. </w:t>
      </w:r>
    </w:p>
    <w:p w14:paraId="444A3F83" w14:textId="4C013C45" w:rsidR="008769EF" w:rsidRDefault="008769EF" w:rsidP="008769EF">
      <w:r>
        <w:t>To facilitate the import of data to the KROM</w:t>
      </w:r>
      <w:r w:rsidR="001821E5">
        <w:t xml:space="preserve">, </w:t>
      </w:r>
      <w:r>
        <w:t xml:space="preserve">the Backup workbook </w:t>
      </w:r>
      <w:r w:rsidR="001821E5">
        <w:t>now has</w:t>
      </w:r>
      <w:r>
        <w:t xml:space="preserve"> another worksheet</w:t>
      </w:r>
      <w:r w:rsidR="00225771">
        <w:t xml:space="preserve"> called </w:t>
      </w:r>
      <w:proofErr w:type="spellStart"/>
      <w:r w:rsidR="00225771">
        <w:t>KROM_Export</w:t>
      </w:r>
      <w:proofErr w:type="spellEnd"/>
      <w:r>
        <w:t xml:space="preserve"> with data in the format required by the RiverWare Data Management Interface (DMI). A comparison of the new and old connections are shown in figure 1 and the new connection discussed.</w:t>
      </w:r>
    </w:p>
    <w:p w14:paraId="421DF91D" w14:textId="3BBB7C14" w:rsidR="00496649" w:rsidRDefault="00496649" w:rsidP="00496649">
      <w:pPr>
        <w:pStyle w:val="FigCaption"/>
      </w:pPr>
      <w:r>
        <w:rPr>
          <w:b/>
        </w:rPr>
        <w:t xml:space="preserve">1) </w:t>
      </w:r>
      <w:r>
        <w:t xml:space="preserve">The existing file/tool connections that are used in KBAO’s daily operations. </w:t>
      </w:r>
      <w:r>
        <w:rPr>
          <w:b/>
        </w:rPr>
        <w:t>2)</w:t>
      </w:r>
      <w:r w:rsidR="00225771">
        <w:t xml:space="preserve"> The</w:t>
      </w:r>
      <w:r>
        <w:t xml:space="preserve"> file/tool connection alternative for transferring data to the KROM.</w:t>
      </w:r>
    </w:p>
    <w:p w14:paraId="7ABAA99D" w14:textId="77777777" w:rsidR="00496649" w:rsidRPr="00496649" w:rsidRDefault="00496649" w:rsidP="00496649">
      <w:pPr>
        <w:pStyle w:val="FigAnchor"/>
      </w:pPr>
    </w:p>
    <w:p w14:paraId="38704E55" w14:textId="0135915A" w:rsidR="008769EF" w:rsidRPr="00496649" w:rsidRDefault="00913054" w:rsidP="00496649">
      <w:pPr>
        <w:jc w:val="center"/>
        <w:rPr>
          <w:b/>
          <w:u w:val="single"/>
        </w:rPr>
      </w:pPr>
      <w:r>
        <w:rPr>
          <w:noProof/>
        </w:rPr>
        <w:drawing>
          <wp:inline distT="0" distB="0" distL="0" distR="0" wp14:anchorId="7F15D154" wp14:editId="47C1717C">
            <wp:extent cx="5943600" cy="209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99310"/>
                    </a:xfrm>
                    <a:prstGeom prst="rect">
                      <a:avLst/>
                    </a:prstGeom>
                  </pic:spPr>
                </pic:pic>
              </a:graphicData>
            </a:graphic>
          </wp:inline>
        </w:drawing>
      </w:r>
    </w:p>
    <w:p w14:paraId="4779DCD5" w14:textId="336C36DA" w:rsidR="008769EF" w:rsidRDefault="008769EF" w:rsidP="008769EF">
      <w:pPr>
        <w:rPr>
          <w:b/>
        </w:rPr>
      </w:pPr>
      <w:r>
        <w:rPr>
          <w:b/>
        </w:rPr>
        <w:t>Daily Data Import WY 2020 (Backup).xlsx</w:t>
      </w:r>
      <w:r w:rsidR="00382855">
        <w:rPr>
          <w:b/>
        </w:rPr>
        <w:t xml:space="preserve"> -&gt; </w:t>
      </w:r>
      <w:r>
        <w:rPr>
          <w:b/>
        </w:rPr>
        <w:t>KROM</w:t>
      </w:r>
    </w:p>
    <w:p w14:paraId="2919BBEF" w14:textId="2293D91E" w:rsidR="008769EF" w:rsidRDefault="001821E5" w:rsidP="008769EF">
      <w:r>
        <w:t xml:space="preserve">The </w:t>
      </w:r>
      <w:r w:rsidR="008769EF">
        <w:t>“</w:t>
      </w:r>
      <w:proofErr w:type="spellStart"/>
      <w:r w:rsidR="008769EF">
        <w:t>KROM_Export</w:t>
      </w:r>
      <w:proofErr w:type="spellEnd"/>
      <w:r w:rsidR="008769EF">
        <w:t>” sheet</w:t>
      </w:r>
      <w:r>
        <w:t xml:space="preserve"> in the</w:t>
      </w:r>
      <w:r w:rsidR="008769EF">
        <w:t xml:space="preserve"> “Daily Data Impo</w:t>
      </w:r>
      <w:r>
        <w:t>rt WY 2020 (Backup)” workbook format</w:t>
      </w:r>
      <w:r w:rsidR="00225771">
        <w:t>s</w:t>
      </w:r>
      <w:r>
        <w:t xml:space="preserve"> the data for the DMI</w:t>
      </w:r>
      <w:r w:rsidR="008769EF">
        <w:t>. Similar to the “</w:t>
      </w:r>
      <w:proofErr w:type="spellStart"/>
      <w:r w:rsidR="008769EF">
        <w:t>PACalc_Export</w:t>
      </w:r>
      <w:proofErr w:type="spellEnd"/>
      <w:r w:rsidR="008769EF">
        <w:t xml:space="preserve">” sheet, it references the “Final” columns in the “Summary” </w:t>
      </w:r>
      <w:r w:rsidR="008769EF">
        <w:lastRenderedPageBreak/>
        <w:t>sheet. The “Final” column contains the variable data that has been quality assured (QA) by the operator. Each column header in the “</w:t>
      </w:r>
      <w:proofErr w:type="spellStart"/>
      <w:r w:rsidR="008769EF">
        <w:t>KROM_Export</w:t>
      </w:r>
      <w:proofErr w:type="spellEnd"/>
      <w:r w:rsidR="008769EF">
        <w:t>” sheet matches a slot in the KROM.</w:t>
      </w:r>
    </w:p>
    <w:p w14:paraId="5B4B9085" w14:textId="77777777" w:rsidR="008769EF" w:rsidRDefault="008769EF" w:rsidP="00EA565B">
      <w:pPr>
        <w:pStyle w:val="Heading2"/>
      </w:pPr>
      <w:bookmarkStart w:id="95" w:name="_Toc48817220"/>
      <w:bookmarkStart w:id="96" w:name="_Toc48817260"/>
      <w:r>
        <w:t>2) Prepare the Model for Today’s Use</w:t>
      </w:r>
      <w:bookmarkEnd w:id="95"/>
      <w:bookmarkEnd w:id="96"/>
    </w:p>
    <w:p w14:paraId="04135186" w14:textId="74F1F530" w:rsidR="00611686" w:rsidRPr="00611686" w:rsidRDefault="001821E5" w:rsidP="008769EF">
      <w:pPr>
        <w:rPr>
          <w:b/>
        </w:rPr>
      </w:pPr>
      <w:r>
        <w:t xml:space="preserve">After </w:t>
      </w:r>
      <w:r w:rsidR="008769EF">
        <w:t>reviewing and archiving the data</w:t>
      </w:r>
      <w:r>
        <w:t xml:space="preserve"> in the Excel workbooks</w:t>
      </w:r>
      <w:r w:rsidR="008769EF">
        <w:t>, the operator open</w:t>
      </w:r>
      <w:r>
        <w:t>s</w:t>
      </w:r>
      <w:r w:rsidR="008769EF">
        <w:t xml:space="preserve"> RiverWare and load</w:t>
      </w:r>
      <w:r>
        <w:t>s</w:t>
      </w:r>
      <w:r w:rsidR="008769EF">
        <w:t xml:space="preserve"> </w:t>
      </w:r>
      <w:r w:rsidR="00975A90">
        <w:t xml:space="preserve">the </w:t>
      </w:r>
      <w:r w:rsidR="008769EF">
        <w:t>KROM</w:t>
      </w:r>
      <w:r w:rsidR="00975A90">
        <w:t xml:space="preserve"> from yesterday</w:t>
      </w:r>
      <w:r w:rsidR="008769EF">
        <w:t>.</w:t>
      </w:r>
      <w:r w:rsidR="00611686" w:rsidRPr="00611686">
        <w:rPr>
          <w:b/>
        </w:rPr>
        <w:t xml:space="preserve"> </w:t>
      </w:r>
      <w:r w:rsidR="00611686" w:rsidRPr="00611686">
        <w:t xml:space="preserve">The model contains both the </w:t>
      </w:r>
      <w:r w:rsidR="00611686">
        <w:t xml:space="preserve">global function set (GFS), which is necessary as it is referenced by other policy sets, and the ruleset that carries out the operation policy. </w:t>
      </w:r>
    </w:p>
    <w:p w14:paraId="7C6B7842" w14:textId="0100E272" w:rsidR="00975A90" w:rsidRDefault="00975A90" w:rsidP="008769EF">
      <w:r>
        <w:t xml:space="preserve">The model is configured to automatically run a script “Open </w:t>
      </w:r>
      <w:r w:rsidR="00611686">
        <w:t>SCT and Scroll</w:t>
      </w:r>
      <w:r>
        <w:t>” that does the following:</w:t>
      </w:r>
    </w:p>
    <w:p w14:paraId="512306E4" w14:textId="26B31787" w:rsidR="00975A90" w:rsidRDefault="00975A90" w:rsidP="00975A90">
      <w:pPr>
        <w:pStyle w:val="ListBullet"/>
      </w:pPr>
      <w:r>
        <w:rPr>
          <w:b/>
        </w:rPr>
        <w:t xml:space="preserve">Open SCT: </w:t>
      </w:r>
      <w:r>
        <w:t xml:space="preserve">This opens the SCT that the operator will use to set manual inputs. It opens </w:t>
      </w:r>
      <w:r w:rsidR="00C4394A">
        <w:rPr>
          <w:b/>
        </w:rPr>
        <w:t>KlamathOps2019PA.sct</w:t>
      </w:r>
      <w:r>
        <w:rPr>
          <w:b/>
        </w:rPr>
        <w:t xml:space="preserve">, </w:t>
      </w:r>
      <w:r w:rsidR="00C4394A">
        <w:t>th</w:t>
      </w:r>
      <w:r>
        <w:t>e System Control Table that contains the slots with manual input requirements. The series sl</w:t>
      </w:r>
      <w:r w:rsidR="00C4394A">
        <w:t>ots are organized by operating objective, w</w:t>
      </w:r>
      <w:r>
        <w:t xml:space="preserve">hereas, the scalar, periodic, and table slots are organized by slot name (i.e. slots of the same name are grouped, such as “Distribution Percent” table slots on the diversion objects). </w:t>
      </w:r>
    </w:p>
    <w:p w14:paraId="3A9DEAFD" w14:textId="00E77DD8" w:rsidR="00975A90" w:rsidRDefault="00975A90" w:rsidP="00975A90">
      <w:pPr>
        <w:pStyle w:val="ListBullet"/>
      </w:pPr>
      <w:r>
        <w:rPr>
          <w:b/>
        </w:rPr>
        <w:t>Global Scroll:</w:t>
      </w:r>
      <w:r>
        <w:t xml:space="preserve"> Set all time </w:t>
      </w:r>
      <w:r w:rsidR="00C4394A">
        <w:t>dependent windows to the current</w:t>
      </w:r>
      <w:r>
        <w:t xml:space="preserve"> operations start </w:t>
      </w:r>
      <w:r w:rsidR="00C4394A">
        <w:t>timestep, often yesterday</w:t>
      </w:r>
      <w:r>
        <w:t xml:space="preserve">. </w:t>
      </w:r>
    </w:p>
    <w:p w14:paraId="7CF43034" w14:textId="7CEA37DD" w:rsidR="008769EF" w:rsidRDefault="00975A90" w:rsidP="008769EF">
      <w:r>
        <w:t>N</w:t>
      </w:r>
      <w:r w:rsidR="00E940D6">
        <w:t>ext, the operator must</w:t>
      </w:r>
      <w:r w:rsidR="008769EF">
        <w:t xml:space="preserve"> prepare yesterday’s KROM for</w:t>
      </w:r>
      <w:r w:rsidR="001821E5">
        <w:t xml:space="preserve"> today’s use, the operator </w:t>
      </w:r>
      <w:r w:rsidR="008769EF">
        <w:t>perform</w:t>
      </w:r>
      <w:r w:rsidR="001821E5">
        <w:t>s</w:t>
      </w:r>
      <w:r w:rsidR="008769EF">
        <w:t xml:space="preserve"> the following steps: </w:t>
      </w:r>
    </w:p>
    <w:p w14:paraId="3EEA3EB1" w14:textId="77777777" w:rsidR="008769EF" w:rsidRDefault="008769EF" w:rsidP="008769EF">
      <w:pPr>
        <w:numPr>
          <w:ilvl w:val="0"/>
          <w:numId w:val="35"/>
        </w:numPr>
        <w:spacing w:before="0" w:line="259" w:lineRule="auto"/>
      </w:pPr>
      <w:r>
        <w:t xml:space="preserve">Execute the Script to Prepare for Operations: </w:t>
      </w:r>
    </w:p>
    <w:p w14:paraId="657C6557" w14:textId="77777777" w:rsidR="008769EF" w:rsidRDefault="008769EF" w:rsidP="008769EF">
      <w:pPr>
        <w:numPr>
          <w:ilvl w:val="1"/>
          <w:numId w:val="35"/>
        </w:numPr>
        <w:spacing w:before="0" w:line="259" w:lineRule="auto"/>
      </w:pPr>
      <w:r>
        <w:t>Clear Previous Run’s Hydrology</w:t>
      </w:r>
    </w:p>
    <w:p w14:paraId="704896B1" w14:textId="77777777" w:rsidR="008769EF" w:rsidRDefault="008769EF" w:rsidP="008769EF">
      <w:pPr>
        <w:numPr>
          <w:ilvl w:val="1"/>
          <w:numId w:val="35"/>
        </w:numPr>
        <w:spacing w:before="0" w:line="259" w:lineRule="auto"/>
      </w:pPr>
      <w:r>
        <w:t>Setup Timestep Parameters</w:t>
      </w:r>
    </w:p>
    <w:p w14:paraId="2BC9E735" w14:textId="77777777" w:rsidR="008769EF" w:rsidRDefault="008769EF" w:rsidP="008769EF">
      <w:pPr>
        <w:numPr>
          <w:ilvl w:val="1"/>
          <w:numId w:val="35"/>
        </w:numPr>
        <w:spacing w:before="0" w:line="259" w:lineRule="auto"/>
      </w:pPr>
      <w:r>
        <w:t>Import New Hydrology</w:t>
      </w:r>
    </w:p>
    <w:p w14:paraId="7BB7AD19" w14:textId="77777777" w:rsidR="008769EF" w:rsidRDefault="008769EF" w:rsidP="008769EF">
      <w:pPr>
        <w:numPr>
          <w:ilvl w:val="0"/>
          <w:numId w:val="35"/>
        </w:numPr>
        <w:spacing w:before="0" w:line="259" w:lineRule="auto"/>
      </w:pPr>
      <w:r>
        <w:t>Enter new setup data required for the run:</w:t>
      </w:r>
    </w:p>
    <w:p w14:paraId="507897E9" w14:textId="77777777" w:rsidR="008769EF" w:rsidRDefault="008769EF" w:rsidP="008769EF">
      <w:pPr>
        <w:numPr>
          <w:ilvl w:val="1"/>
          <w:numId w:val="35"/>
        </w:numPr>
        <w:spacing w:before="0" w:line="259" w:lineRule="auto"/>
      </w:pPr>
      <w:r>
        <w:t>Set Series Slots</w:t>
      </w:r>
    </w:p>
    <w:p w14:paraId="3D689AFD" w14:textId="77777777" w:rsidR="008769EF" w:rsidRDefault="008769EF" w:rsidP="008769EF">
      <w:pPr>
        <w:numPr>
          <w:ilvl w:val="1"/>
          <w:numId w:val="35"/>
        </w:numPr>
        <w:spacing w:before="0" w:line="259" w:lineRule="auto"/>
      </w:pPr>
      <w:r>
        <w:t>Set Scalar Slots</w:t>
      </w:r>
    </w:p>
    <w:p w14:paraId="710EB17A" w14:textId="77777777" w:rsidR="008769EF" w:rsidRDefault="008769EF" w:rsidP="008769EF">
      <w:pPr>
        <w:numPr>
          <w:ilvl w:val="1"/>
          <w:numId w:val="35"/>
        </w:numPr>
        <w:spacing w:before="0" w:after="160" w:line="259" w:lineRule="auto"/>
      </w:pPr>
      <w:r>
        <w:t>Set Table and Periodic Slots</w:t>
      </w:r>
    </w:p>
    <w:p w14:paraId="5BBB7FCB" w14:textId="77777777" w:rsidR="008769EF" w:rsidRDefault="008769EF" w:rsidP="008769EF">
      <w:r>
        <w:t xml:space="preserve">These steps are described in the following subsections. When complete, the model is ready for the initial run. </w:t>
      </w:r>
    </w:p>
    <w:p w14:paraId="0BB9CC72" w14:textId="71E4DFB8" w:rsidR="001F48DA" w:rsidRDefault="008769EF" w:rsidP="001F48DA">
      <w:pPr>
        <w:pStyle w:val="Heading3"/>
      </w:pPr>
      <w:bookmarkStart w:id="97" w:name="_heading=h.1nhhjqvhhey3" w:colFirst="0" w:colLast="0"/>
      <w:bookmarkStart w:id="98" w:name="_Toc48817221"/>
      <w:bookmarkEnd w:id="97"/>
      <w:r>
        <w:t>Execute the script to Prepare for Operations</w:t>
      </w:r>
      <w:bookmarkEnd w:id="98"/>
      <w:r>
        <w:t xml:space="preserve"> </w:t>
      </w:r>
    </w:p>
    <w:p w14:paraId="027AA24B" w14:textId="5E26CEB0" w:rsidR="008769EF" w:rsidRDefault="001F48DA" w:rsidP="008769EF">
      <w:r>
        <w:t xml:space="preserve">Run the script </w:t>
      </w:r>
      <w:r w:rsidR="008769EF">
        <w:rPr>
          <w:b/>
        </w:rPr>
        <w:t xml:space="preserve">Prepare </w:t>
      </w:r>
      <w:r w:rsidR="00C8636A">
        <w:rPr>
          <w:b/>
        </w:rPr>
        <w:t>Single</w:t>
      </w:r>
      <w:r w:rsidR="008769EF">
        <w:rPr>
          <w:b/>
        </w:rPr>
        <w:t xml:space="preserve"> Operations</w:t>
      </w:r>
      <w:r w:rsidR="00C8636A">
        <w:rPr>
          <w:b/>
        </w:rPr>
        <w:t xml:space="preserve"> Run</w:t>
      </w:r>
      <w:r>
        <w:rPr>
          <w:b/>
        </w:rPr>
        <w:t>.</w:t>
      </w:r>
      <w:r w:rsidR="008769EF">
        <w:t xml:space="preserve"> This script automates tasks that the operator would otherwise manually perform when operating the model. Each individual task this script performs corresponds to a script action. Some actions ask for the operator’s input and others require no interaction to set up. </w:t>
      </w:r>
      <w:r>
        <w:t xml:space="preserve"> This script is likely only run once per operations day. The subsections correspond to areas of the script.</w:t>
      </w:r>
    </w:p>
    <w:p w14:paraId="5EA64CC5" w14:textId="77777777" w:rsidR="00C8636A" w:rsidRDefault="00C8636A" w:rsidP="00C8636A">
      <w:pPr>
        <w:pStyle w:val="Heading4"/>
      </w:pPr>
      <w:r>
        <w:t>Setup Timestep Parameter</w:t>
      </w:r>
    </w:p>
    <w:p w14:paraId="2CDC04B3" w14:textId="6E7F9C8C" w:rsidR="00C8636A" w:rsidRDefault="00C8636A" w:rsidP="00C8636A">
      <w:r>
        <w:t xml:space="preserve">This section of the Prepare for Operations script contains the action that sets the Operation Start </w:t>
      </w:r>
      <w:r w:rsidR="001F48DA">
        <w:t>Timestep</w:t>
      </w:r>
      <w:r>
        <w:t>.</w:t>
      </w:r>
    </w:p>
    <w:p w14:paraId="7BDC03F8" w14:textId="0A4E7DB1" w:rsidR="00C8636A" w:rsidRDefault="001F48DA" w:rsidP="00C8636A">
      <w:r w:rsidRPr="001F48DA">
        <w:t xml:space="preserve">The script executes the </w:t>
      </w:r>
      <w:r w:rsidRPr="001F48DA">
        <w:rPr>
          <w:b/>
        </w:rPr>
        <w:t>S</w:t>
      </w:r>
      <w:r w:rsidR="00C8636A">
        <w:rPr>
          <w:b/>
        </w:rPr>
        <w:t>et Scalar Slot Value</w:t>
      </w:r>
      <w:r w:rsidRPr="001F48DA">
        <w:t xml:space="preserve"> action</w:t>
      </w:r>
      <w:r>
        <w:t xml:space="preserve"> which sets the Operation Start Timestep. If no date is entered, today will be used. Otherwise enter the date to use. </w:t>
      </w:r>
    </w:p>
    <w:p w14:paraId="280B3588" w14:textId="343FF6DE" w:rsidR="008769EF" w:rsidRPr="00C8636A" w:rsidRDefault="008769EF" w:rsidP="00C8636A">
      <w:pPr>
        <w:pStyle w:val="Heading4"/>
        <w:rPr>
          <w:b/>
        </w:rPr>
      </w:pPr>
      <w:bookmarkStart w:id="99" w:name="_heading=h.ga4arrvu4yge" w:colFirst="0" w:colLast="0"/>
      <w:bookmarkStart w:id="100" w:name="_heading=h.7j51j9r8bkm2" w:colFirst="0" w:colLast="0"/>
      <w:bookmarkEnd w:id="99"/>
      <w:bookmarkEnd w:id="100"/>
      <w:r>
        <w:t>Clear Previous Run’s Hydrology</w:t>
      </w:r>
    </w:p>
    <w:p w14:paraId="23C1D220" w14:textId="74E67B90" w:rsidR="008769EF" w:rsidRPr="001F48DA" w:rsidRDefault="008769EF" w:rsidP="008769EF">
      <w:r>
        <w:t xml:space="preserve">This section of the Prepare for Operations script includes the actions that clear the </w:t>
      </w:r>
      <w:r w:rsidR="00B27604">
        <w:t xml:space="preserve">input </w:t>
      </w:r>
      <w:r>
        <w:t>hydrology</w:t>
      </w:r>
      <w:r w:rsidR="00B27604">
        <w:t xml:space="preserve"> that was used in previous runs. This is necessary as the Operations Start Timestep could be moved earlier in </w:t>
      </w:r>
      <w:r w:rsidR="00B27604">
        <w:lastRenderedPageBreak/>
        <w:t xml:space="preserve">time for re-running a date. The following three actions are used to clear the values in the slots listed in </w:t>
      </w:r>
      <w:r w:rsidR="00B27604">
        <w:fldChar w:fldCharType="begin"/>
      </w:r>
      <w:r w:rsidR="00B27604">
        <w:instrText xml:space="preserve"> REF _Ref50910296 \r \h </w:instrText>
      </w:r>
      <w:r w:rsidR="00B27604">
        <w:fldChar w:fldCharType="separate"/>
      </w:r>
      <w:r w:rsidR="00170C2A">
        <w:t xml:space="preserve">Table 5. </w:t>
      </w:r>
      <w:r w:rsidR="00B27604">
        <w:fldChar w:fldCharType="end"/>
      </w:r>
    </w:p>
    <w:p w14:paraId="5DA6DD68" w14:textId="77777777" w:rsidR="008769EF" w:rsidRDefault="008769EF" w:rsidP="008769EF">
      <w:pPr>
        <w:rPr>
          <w:b/>
        </w:rPr>
      </w:pPr>
      <w:r>
        <w:rPr>
          <w:b/>
        </w:rPr>
        <w:t xml:space="preserve">Clear DMI Values: </w:t>
      </w:r>
      <w:r>
        <w:t>This clears the values imported by the last activation of Observed Hydrology DMI.</w:t>
      </w:r>
    </w:p>
    <w:p w14:paraId="6588B911" w14:textId="77777777" w:rsidR="008769EF" w:rsidRDefault="008769EF" w:rsidP="008769EF">
      <w:r>
        <w:rPr>
          <w:b/>
        </w:rPr>
        <w:t xml:space="preserve">Set Series Slot Values: </w:t>
      </w:r>
      <w:r>
        <w:t>This clears the values set by initialization rules with a Z flag. It does this by setting the values to “</w:t>
      </w:r>
      <w:proofErr w:type="spellStart"/>
      <w:r>
        <w:t>NaN</w:t>
      </w:r>
      <w:proofErr w:type="spellEnd"/>
      <w:r>
        <w:t>”. There will be multiple of these actions, which are differentiated by type of hydrology. See table 2 for a breakdown of the slots.</w:t>
      </w:r>
    </w:p>
    <w:p w14:paraId="491F2B76" w14:textId="4CE0A627" w:rsidR="00B27604" w:rsidRDefault="00B27604" w:rsidP="008769EF">
      <w:r w:rsidRPr="00B27604">
        <w:rPr>
          <w:b/>
        </w:rPr>
        <w:t>Set Series Slot Flags</w:t>
      </w:r>
      <w:r>
        <w:t xml:space="preserve">: This sets the flags on the slots to Output so they can be cleared the next run. </w:t>
      </w:r>
    </w:p>
    <w:p w14:paraId="1B0C8343" w14:textId="2DA75675" w:rsidR="00B27604" w:rsidRDefault="00B27604" w:rsidP="00B27604">
      <w:pPr>
        <w:pStyle w:val="TableTitle"/>
        <w:rPr>
          <w:szCs w:val="20"/>
        </w:rPr>
      </w:pPr>
      <w:bookmarkStart w:id="101" w:name="_Ref50910296"/>
      <w:r>
        <w:rPr>
          <w:szCs w:val="20"/>
        </w:rPr>
        <w:t xml:space="preserve">Slots </w:t>
      </w:r>
      <w:bookmarkEnd w:id="101"/>
      <w:r>
        <w:rPr>
          <w:szCs w:val="20"/>
        </w:rPr>
        <w:t>cleared from previous runs.</w:t>
      </w:r>
    </w:p>
    <w:tbl>
      <w:tblPr>
        <w:tblStyle w:val="GridTable1Light-Accent2"/>
        <w:tblW w:w="0" w:type="auto"/>
        <w:tblLook w:val="04A0" w:firstRow="1" w:lastRow="0" w:firstColumn="1" w:lastColumn="0" w:noHBand="0" w:noVBand="1"/>
      </w:tblPr>
      <w:tblGrid>
        <w:gridCol w:w="3510"/>
      </w:tblGrid>
      <w:tr w:rsidR="00B27604" w14:paraId="08433065" w14:textId="77777777" w:rsidTr="00567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A144FB8" w14:textId="77777777" w:rsidR="00B27604" w:rsidRDefault="00B27604" w:rsidP="005679BB">
            <w:r>
              <w:t>Slot Name</w:t>
            </w:r>
          </w:p>
        </w:tc>
      </w:tr>
      <w:tr w:rsidR="00B27604" w14:paraId="40592CCB"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3D74AE8D" w14:textId="27BCBF95" w:rsidR="00B27604" w:rsidRPr="00E74DA4" w:rsidRDefault="00B27604" w:rsidP="00B27604">
            <w:pPr>
              <w:pStyle w:val="TCellBody"/>
            </w:pPr>
            <w:proofErr w:type="spellStart"/>
            <w:r>
              <w:t>Keno.Storage</w:t>
            </w:r>
            <w:proofErr w:type="spellEnd"/>
          </w:p>
        </w:tc>
      </w:tr>
      <w:tr w:rsidR="00B27604" w14:paraId="56698E08"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5CC6EC71" w14:textId="0F0E7207" w:rsidR="00B27604" w:rsidRPr="00E74DA4" w:rsidRDefault="00B27604" w:rsidP="00B27604">
            <w:pPr>
              <w:pStyle w:val="TCellBody"/>
            </w:pPr>
            <w:proofErr w:type="spellStart"/>
            <w:r>
              <w:t>UKL.Storage</w:t>
            </w:r>
            <w:proofErr w:type="spellEnd"/>
          </w:p>
        </w:tc>
      </w:tr>
      <w:tr w:rsidR="00B27604" w14:paraId="7ED3DDE4"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14A45169" w14:textId="77777777" w:rsidR="00B27604" w:rsidRDefault="00B27604" w:rsidP="005679BB">
            <w:pPr>
              <w:pStyle w:val="TCellBody"/>
            </w:pPr>
            <w:r w:rsidRPr="00E74DA4">
              <w:t xml:space="preserve">11502500 Williamson River </w:t>
            </w:r>
            <w:proofErr w:type="spellStart"/>
            <w:r w:rsidRPr="00E74DA4">
              <w:t>nr</w:t>
            </w:r>
            <w:proofErr w:type="spellEnd"/>
            <w:r w:rsidRPr="00E74DA4">
              <w:t xml:space="preserve"> </w:t>
            </w:r>
            <w:proofErr w:type="spellStart"/>
            <w:r w:rsidRPr="00E74DA4">
              <w:t>Chiloquin.Gage</w:t>
            </w:r>
            <w:proofErr w:type="spellEnd"/>
            <w:r w:rsidRPr="00E74DA4">
              <w:t xml:space="preserve"> Inflow</w:t>
            </w:r>
          </w:p>
        </w:tc>
      </w:tr>
      <w:tr w:rsidR="00B27604" w14:paraId="5C5C30EE"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20F46F3D" w14:textId="77777777" w:rsidR="00B27604" w:rsidRDefault="00B27604" w:rsidP="005679BB">
            <w:pPr>
              <w:pStyle w:val="TCellBody"/>
            </w:pPr>
            <w:proofErr w:type="spellStart"/>
            <w:r w:rsidRPr="00E74DA4">
              <w:t>UKL.Pool</w:t>
            </w:r>
            <w:proofErr w:type="spellEnd"/>
            <w:r w:rsidRPr="00E74DA4">
              <w:t xml:space="preserve"> Elevation</w:t>
            </w:r>
          </w:p>
        </w:tc>
      </w:tr>
      <w:tr w:rsidR="00B27604" w14:paraId="13641CAC"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57CDF606" w14:textId="77777777" w:rsidR="00B27604" w:rsidRDefault="00B27604" w:rsidP="005679BB">
            <w:pPr>
              <w:pStyle w:val="TCellBody"/>
            </w:pPr>
            <w:r>
              <w:t>Lost River Diversion Channel. Inflow</w:t>
            </w:r>
          </w:p>
        </w:tc>
      </w:tr>
      <w:tr w:rsidR="00B27604" w14:paraId="37615DC5"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02ACB9D2" w14:textId="77777777" w:rsidR="00B27604" w:rsidRDefault="00B27604" w:rsidP="005679BB">
            <w:pPr>
              <w:pStyle w:val="TCellBody"/>
            </w:pPr>
            <w:r>
              <w:rPr>
                <w:color w:val="000000" w:themeColor="dark1"/>
              </w:rPr>
              <w:t xml:space="preserve">F and FF </w:t>
            </w:r>
            <w:proofErr w:type="spellStart"/>
            <w:r>
              <w:rPr>
                <w:color w:val="000000" w:themeColor="dark1"/>
              </w:rPr>
              <w:t>Pump.Inflow</w:t>
            </w:r>
            <w:proofErr w:type="spellEnd"/>
          </w:p>
        </w:tc>
      </w:tr>
      <w:tr w:rsidR="00B27604" w14:paraId="00F5C625"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2D57160D" w14:textId="77777777" w:rsidR="00B27604" w:rsidRDefault="00B27604" w:rsidP="005679BB">
            <w:pPr>
              <w:pStyle w:val="TCellBody"/>
            </w:pPr>
            <w:r>
              <w:rPr>
                <w:color w:val="000000" w:themeColor="dark1"/>
              </w:rPr>
              <w:t xml:space="preserve">Keno to </w:t>
            </w:r>
            <w:proofErr w:type="spellStart"/>
            <w:r>
              <w:rPr>
                <w:color w:val="000000" w:themeColor="dark1"/>
              </w:rPr>
              <w:t>IGD.Local</w:t>
            </w:r>
            <w:proofErr w:type="spellEnd"/>
            <w:r>
              <w:rPr>
                <w:color w:val="000000" w:themeColor="dark1"/>
              </w:rPr>
              <w:t xml:space="preserve"> Inflow</w:t>
            </w:r>
          </w:p>
        </w:tc>
      </w:tr>
      <w:tr w:rsidR="00B27604" w14:paraId="14928064"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6FBF2F9D" w14:textId="77777777" w:rsidR="00B27604" w:rsidRDefault="00B27604" w:rsidP="005679BB">
            <w:pPr>
              <w:pStyle w:val="TCellBody"/>
            </w:pPr>
            <w:r>
              <w:t xml:space="preserve">A </w:t>
            </w:r>
            <w:proofErr w:type="spellStart"/>
            <w:r>
              <w:t>Canal.Diversion</w:t>
            </w:r>
            <w:proofErr w:type="spellEnd"/>
            <w:r>
              <w:t xml:space="preserve"> Request</w:t>
            </w:r>
          </w:p>
        </w:tc>
      </w:tr>
      <w:tr w:rsidR="00B27604" w14:paraId="6227A792"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53543FFD" w14:textId="77777777" w:rsidR="00B27604" w:rsidRDefault="00B27604" w:rsidP="005679BB">
            <w:pPr>
              <w:pStyle w:val="TCellBody"/>
            </w:pPr>
            <w:r>
              <w:rPr>
                <w:color w:val="000000" w:themeColor="dark1"/>
              </w:rPr>
              <w:t>Station 48.Diversion</w:t>
            </w:r>
            <w:r>
              <w:t xml:space="preserve"> Request</w:t>
            </w:r>
          </w:p>
        </w:tc>
      </w:tr>
      <w:tr w:rsidR="00B27604" w14:paraId="1358C66D"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26548400" w14:textId="77777777" w:rsidR="00B27604" w:rsidRDefault="00B27604" w:rsidP="005679BB">
            <w:pPr>
              <w:pStyle w:val="TCellBody"/>
            </w:pPr>
            <w:r>
              <w:rPr>
                <w:color w:val="000000" w:themeColor="dark1"/>
              </w:rPr>
              <w:t xml:space="preserve">Miller Hill </w:t>
            </w:r>
            <w:proofErr w:type="spellStart"/>
            <w:r>
              <w:rPr>
                <w:color w:val="000000" w:themeColor="dark1"/>
              </w:rPr>
              <w:t>Pump.Diversion</w:t>
            </w:r>
            <w:proofErr w:type="spellEnd"/>
            <w:r>
              <w:t xml:space="preserve"> Request</w:t>
            </w:r>
          </w:p>
        </w:tc>
      </w:tr>
      <w:tr w:rsidR="00B27604" w14:paraId="37B3F282"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4FC0EF94" w14:textId="77777777" w:rsidR="00B27604" w:rsidRDefault="00B27604" w:rsidP="005679BB">
            <w:pPr>
              <w:pStyle w:val="TCellBody"/>
            </w:pPr>
            <w:proofErr w:type="spellStart"/>
            <w:r>
              <w:rPr>
                <w:color w:val="000000" w:themeColor="dark1"/>
              </w:rPr>
              <w:t>Ady</w:t>
            </w:r>
            <w:proofErr w:type="spellEnd"/>
            <w:r>
              <w:rPr>
                <w:color w:val="000000" w:themeColor="dark1"/>
              </w:rPr>
              <w:t xml:space="preserve"> </w:t>
            </w:r>
            <w:proofErr w:type="spellStart"/>
            <w:r>
              <w:rPr>
                <w:color w:val="000000" w:themeColor="dark1"/>
              </w:rPr>
              <w:t>Canal.Diversion</w:t>
            </w:r>
            <w:proofErr w:type="spellEnd"/>
            <w:r>
              <w:t xml:space="preserve"> Request</w:t>
            </w:r>
          </w:p>
        </w:tc>
      </w:tr>
      <w:tr w:rsidR="00B27604" w14:paraId="64D292B1"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0D6B34BB" w14:textId="77777777" w:rsidR="00B27604" w:rsidRDefault="00B27604" w:rsidP="005679BB">
            <w:pPr>
              <w:pStyle w:val="TCellBody"/>
            </w:pPr>
            <w:r>
              <w:rPr>
                <w:color w:val="000000" w:themeColor="dark1"/>
              </w:rPr>
              <w:t xml:space="preserve">North </w:t>
            </w:r>
            <w:proofErr w:type="spellStart"/>
            <w:r>
              <w:rPr>
                <w:color w:val="000000" w:themeColor="dark1"/>
              </w:rPr>
              <w:t>Canal.Diversion</w:t>
            </w:r>
            <w:proofErr w:type="spellEnd"/>
            <w:r>
              <w:t xml:space="preserve"> Request</w:t>
            </w:r>
          </w:p>
        </w:tc>
      </w:tr>
      <w:tr w:rsidR="00B27604" w14:paraId="626A82F3"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7D52894E" w14:textId="77777777" w:rsidR="00B27604" w:rsidRDefault="00B27604" w:rsidP="005679BB">
            <w:pPr>
              <w:pStyle w:val="TCellBody"/>
            </w:pPr>
            <w:proofErr w:type="spellStart"/>
            <w:r>
              <w:rPr>
                <w:color w:val="000000" w:themeColor="dark1"/>
              </w:rPr>
              <w:t>Ady</w:t>
            </w:r>
            <w:proofErr w:type="spellEnd"/>
            <w:r>
              <w:rPr>
                <w:color w:val="000000" w:themeColor="dark1"/>
              </w:rPr>
              <w:t xml:space="preserve"> to </w:t>
            </w:r>
            <w:proofErr w:type="spellStart"/>
            <w:r>
              <w:rPr>
                <w:color w:val="000000" w:themeColor="dark1"/>
              </w:rPr>
              <w:t>Refuge.Diversion</w:t>
            </w:r>
            <w:proofErr w:type="spellEnd"/>
            <w:r>
              <w:t xml:space="preserve"> Request</w:t>
            </w:r>
          </w:p>
        </w:tc>
      </w:tr>
      <w:tr w:rsidR="00B27604" w14:paraId="33698266"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2B2E89CF" w14:textId="77777777" w:rsidR="00B27604" w:rsidRDefault="00B27604" w:rsidP="005679BB">
            <w:pPr>
              <w:pStyle w:val="TCellBody"/>
              <w:rPr>
                <w:color w:val="000000" w:themeColor="dark1"/>
              </w:rPr>
            </w:pPr>
            <w:proofErr w:type="spellStart"/>
            <w:r>
              <w:rPr>
                <w:color w:val="000000" w:themeColor="dark1"/>
              </w:rPr>
              <w:t>Ady</w:t>
            </w:r>
            <w:proofErr w:type="spellEnd"/>
            <w:r>
              <w:rPr>
                <w:color w:val="000000" w:themeColor="dark1"/>
              </w:rPr>
              <w:t xml:space="preserve"> Canal.to Ag</w:t>
            </w:r>
          </w:p>
        </w:tc>
      </w:tr>
      <w:tr w:rsidR="00B27604" w14:paraId="5DD801D1"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71BC3F5F" w14:textId="77777777" w:rsidR="00B27604" w:rsidRDefault="00B27604" w:rsidP="005679BB">
            <w:pPr>
              <w:pStyle w:val="TCellBody"/>
              <w:rPr>
                <w:color w:val="000000" w:themeColor="dark1"/>
              </w:rPr>
            </w:pPr>
            <w:proofErr w:type="spellStart"/>
            <w:r>
              <w:rPr>
                <w:color w:val="000000" w:themeColor="dark1"/>
              </w:rPr>
              <w:t>UKL.Link</w:t>
            </w:r>
            <w:proofErr w:type="spellEnd"/>
            <w:r>
              <w:rPr>
                <w:color w:val="000000" w:themeColor="dark1"/>
              </w:rPr>
              <w:t xml:space="preserve"> River</w:t>
            </w:r>
          </w:p>
        </w:tc>
      </w:tr>
      <w:tr w:rsidR="00B27604" w14:paraId="70B9842E"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42CA94C1" w14:textId="77777777" w:rsidR="00B27604" w:rsidRDefault="00B27604" w:rsidP="005679BB">
            <w:pPr>
              <w:pStyle w:val="TCellBody"/>
              <w:rPr>
                <w:color w:val="000000" w:themeColor="dark1"/>
              </w:rPr>
            </w:pPr>
            <w:proofErr w:type="spellStart"/>
            <w:r>
              <w:rPr>
                <w:color w:val="000000" w:themeColor="dark1"/>
              </w:rPr>
              <w:t>UKL.Keno</w:t>
            </w:r>
            <w:proofErr w:type="spellEnd"/>
            <w:r>
              <w:rPr>
                <w:color w:val="000000" w:themeColor="dark1"/>
              </w:rPr>
              <w:t xml:space="preserve"> Power </w:t>
            </w:r>
            <w:proofErr w:type="spellStart"/>
            <w:r>
              <w:rPr>
                <w:color w:val="000000" w:themeColor="dark1"/>
              </w:rPr>
              <w:t>Canal.Outflow</w:t>
            </w:r>
            <w:proofErr w:type="spellEnd"/>
          </w:p>
        </w:tc>
      </w:tr>
      <w:tr w:rsidR="00B27604" w14:paraId="583927F2"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1810D146" w14:textId="77777777" w:rsidR="00B27604" w:rsidRDefault="00B27604" w:rsidP="005679BB">
            <w:pPr>
              <w:pStyle w:val="TCellBody"/>
              <w:rPr>
                <w:color w:val="000000" w:themeColor="dark1"/>
              </w:rPr>
            </w:pPr>
            <w:r>
              <w:t xml:space="preserve">11509500 Klamath at </w:t>
            </w:r>
            <w:proofErr w:type="spellStart"/>
            <w:r>
              <w:t>Keno.Gage</w:t>
            </w:r>
            <w:proofErr w:type="spellEnd"/>
            <w:r>
              <w:t xml:space="preserve"> Inflow</w:t>
            </w:r>
          </w:p>
        </w:tc>
      </w:tr>
      <w:tr w:rsidR="00B27604" w14:paraId="56B4BD61"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23BE4DA0" w14:textId="77777777" w:rsidR="00B27604" w:rsidRDefault="00B27604" w:rsidP="005679BB">
            <w:pPr>
              <w:pStyle w:val="TCellBody"/>
              <w:rPr>
                <w:color w:val="000000" w:themeColor="dark1"/>
              </w:rPr>
            </w:pPr>
            <w:r>
              <w:rPr>
                <w:color w:val="000000" w:themeColor="dark1"/>
              </w:rPr>
              <w:t xml:space="preserve">11516530 Klamath </w:t>
            </w:r>
            <w:proofErr w:type="spellStart"/>
            <w:r>
              <w:rPr>
                <w:color w:val="000000" w:themeColor="dark1"/>
              </w:rPr>
              <w:t>bl</w:t>
            </w:r>
            <w:proofErr w:type="spellEnd"/>
            <w:r>
              <w:rPr>
                <w:color w:val="000000" w:themeColor="dark1"/>
              </w:rPr>
              <w:t xml:space="preserve"> Iron </w:t>
            </w:r>
            <w:proofErr w:type="spellStart"/>
            <w:r>
              <w:rPr>
                <w:color w:val="000000" w:themeColor="dark1"/>
              </w:rPr>
              <w:t>Gate.Gage</w:t>
            </w:r>
            <w:proofErr w:type="spellEnd"/>
            <w:r>
              <w:rPr>
                <w:color w:val="000000" w:themeColor="dark1"/>
              </w:rPr>
              <w:t xml:space="preserve"> Inflow</w:t>
            </w:r>
          </w:p>
        </w:tc>
      </w:tr>
      <w:tr w:rsidR="00B27604" w14:paraId="0B2ECC8E"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6ED20C4D" w14:textId="77777777" w:rsidR="00B27604" w:rsidRDefault="00B27604" w:rsidP="005679BB">
            <w:pPr>
              <w:pStyle w:val="TCellBody"/>
              <w:rPr>
                <w:color w:val="000000" w:themeColor="dark1"/>
              </w:rPr>
            </w:pPr>
            <w:r w:rsidRPr="00E74DA4">
              <w:rPr>
                <w:color w:val="000000" w:themeColor="dark1"/>
              </w:rPr>
              <w:t xml:space="preserve">Miller Hill </w:t>
            </w:r>
            <w:proofErr w:type="spellStart"/>
            <w:r w:rsidRPr="00E74DA4">
              <w:rPr>
                <w:color w:val="000000" w:themeColor="dark1"/>
              </w:rPr>
              <w:t>Pump.Spill</w:t>
            </w:r>
            <w:proofErr w:type="spellEnd"/>
          </w:p>
        </w:tc>
      </w:tr>
      <w:tr w:rsidR="00B27604" w14:paraId="081AE879"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1D6A0A54" w14:textId="77777777" w:rsidR="00B27604" w:rsidRPr="00E74DA4" w:rsidRDefault="00B27604" w:rsidP="005679BB">
            <w:pPr>
              <w:pStyle w:val="TCellBody"/>
              <w:rPr>
                <w:color w:val="000000" w:themeColor="dark1"/>
              </w:rPr>
            </w:pPr>
            <w:proofErr w:type="spellStart"/>
            <w:r>
              <w:rPr>
                <w:color w:val="000000" w:themeColor="dark1"/>
              </w:rPr>
              <w:t>Dashboard.Sukraw</w:t>
            </w:r>
            <w:proofErr w:type="spellEnd"/>
            <w:r>
              <w:rPr>
                <w:color w:val="000000" w:themeColor="dark1"/>
              </w:rPr>
              <w:t xml:space="preserve"> Well</w:t>
            </w:r>
          </w:p>
        </w:tc>
      </w:tr>
    </w:tbl>
    <w:p w14:paraId="74CD6843" w14:textId="05C991F5" w:rsidR="008769EF" w:rsidRDefault="008769EF" w:rsidP="0030367C">
      <w:pPr>
        <w:pStyle w:val="Heading4"/>
      </w:pPr>
      <w:bookmarkStart w:id="102" w:name="_heading=h.w3wklewjd4ux" w:colFirst="0" w:colLast="0"/>
      <w:bookmarkStart w:id="103" w:name="_heading=h.2o0dxv8l011y" w:colFirst="0" w:colLast="0"/>
      <w:bookmarkEnd w:id="102"/>
      <w:bookmarkEnd w:id="103"/>
      <w:r>
        <w:t xml:space="preserve">Import </w:t>
      </w:r>
      <w:r w:rsidR="001F48DA">
        <w:t>data from the Backup sheet</w:t>
      </w:r>
    </w:p>
    <w:p w14:paraId="3490F26D" w14:textId="7AA1BD49" w:rsidR="00016998" w:rsidRDefault="008769EF" w:rsidP="00016998">
      <w:r>
        <w:t xml:space="preserve">This section of the </w:t>
      </w:r>
      <w:r w:rsidR="001F48DA">
        <w:t>sc</w:t>
      </w:r>
      <w:r>
        <w:t xml:space="preserve">ript has the action that imports basin hydrology based on the timestep parameters. </w:t>
      </w:r>
      <w:r w:rsidR="001F48DA">
        <w:t xml:space="preserve">The Execute DMI action executes the “Input Hydrology” DMI which imports data from the Backup Excel sheet.  </w:t>
      </w:r>
      <w:r>
        <w:t>The DMI is configured to import the following slot values:</w:t>
      </w:r>
    </w:p>
    <w:p w14:paraId="37B11DC9" w14:textId="49F1CCDC" w:rsidR="00016998" w:rsidRDefault="00016998" w:rsidP="00016998">
      <w:pPr>
        <w:pStyle w:val="TableTitle"/>
        <w:rPr>
          <w:szCs w:val="20"/>
        </w:rPr>
      </w:pPr>
      <w:r>
        <w:rPr>
          <w:szCs w:val="20"/>
        </w:rPr>
        <w:t>Slots imported</w:t>
      </w:r>
    </w:p>
    <w:tbl>
      <w:tblPr>
        <w:tblStyle w:val="GridTable1Light-Accent2"/>
        <w:tblW w:w="0" w:type="auto"/>
        <w:tblLook w:val="04A0" w:firstRow="1" w:lastRow="0" w:firstColumn="1" w:lastColumn="0" w:noHBand="0" w:noVBand="1"/>
      </w:tblPr>
      <w:tblGrid>
        <w:gridCol w:w="3510"/>
      </w:tblGrid>
      <w:tr w:rsidR="00016998" w14:paraId="3F96EEB0" w14:textId="77777777" w:rsidTr="00567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62D3378" w14:textId="77777777" w:rsidR="00016998" w:rsidRDefault="00016998" w:rsidP="005679BB">
            <w:r>
              <w:t>Slot Name</w:t>
            </w:r>
          </w:p>
        </w:tc>
      </w:tr>
      <w:tr w:rsidR="00016998" w14:paraId="5C2002DF"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3739E0EC" w14:textId="77777777" w:rsidR="00016998" w:rsidRDefault="00016998" w:rsidP="005679BB">
            <w:pPr>
              <w:pStyle w:val="TCellBody"/>
            </w:pPr>
            <w:r w:rsidRPr="00E74DA4">
              <w:t xml:space="preserve">11502500 Williamson River </w:t>
            </w:r>
            <w:proofErr w:type="spellStart"/>
            <w:r w:rsidRPr="00E74DA4">
              <w:t>nr</w:t>
            </w:r>
            <w:proofErr w:type="spellEnd"/>
            <w:r w:rsidRPr="00E74DA4">
              <w:t xml:space="preserve"> </w:t>
            </w:r>
            <w:proofErr w:type="spellStart"/>
            <w:r w:rsidRPr="00E74DA4">
              <w:t>Chiloquin.Gage</w:t>
            </w:r>
            <w:proofErr w:type="spellEnd"/>
            <w:r w:rsidRPr="00E74DA4">
              <w:t xml:space="preserve"> Inflow</w:t>
            </w:r>
          </w:p>
        </w:tc>
      </w:tr>
      <w:tr w:rsidR="00016998" w14:paraId="7280FEA6"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51B7B470" w14:textId="77777777" w:rsidR="00016998" w:rsidRDefault="00016998" w:rsidP="005679BB">
            <w:pPr>
              <w:pStyle w:val="TCellBody"/>
            </w:pPr>
            <w:proofErr w:type="spellStart"/>
            <w:r w:rsidRPr="00E74DA4">
              <w:t>UKL.Pool</w:t>
            </w:r>
            <w:proofErr w:type="spellEnd"/>
            <w:r w:rsidRPr="00E74DA4">
              <w:t xml:space="preserve"> Elevation</w:t>
            </w:r>
          </w:p>
        </w:tc>
      </w:tr>
      <w:tr w:rsidR="00016998" w14:paraId="7654AE76"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3A15D063" w14:textId="77777777" w:rsidR="00016998" w:rsidRDefault="00016998" w:rsidP="005679BB">
            <w:pPr>
              <w:pStyle w:val="TCellBody"/>
            </w:pPr>
            <w:r>
              <w:t>Lost River Diversion Channel. Inflow</w:t>
            </w:r>
          </w:p>
        </w:tc>
      </w:tr>
      <w:tr w:rsidR="00016998" w14:paraId="05653A2A"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40FC827A" w14:textId="77777777" w:rsidR="00016998" w:rsidRDefault="00016998" w:rsidP="005679BB">
            <w:pPr>
              <w:pStyle w:val="TCellBody"/>
            </w:pPr>
            <w:r>
              <w:rPr>
                <w:color w:val="000000" w:themeColor="dark1"/>
              </w:rPr>
              <w:lastRenderedPageBreak/>
              <w:t xml:space="preserve">F and FF </w:t>
            </w:r>
            <w:proofErr w:type="spellStart"/>
            <w:r>
              <w:rPr>
                <w:color w:val="000000" w:themeColor="dark1"/>
              </w:rPr>
              <w:t>Pump.Inflow</w:t>
            </w:r>
            <w:proofErr w:type="spellEnd"/>
          </w:p>
        </w:tc>
      </w:tr>
      <w:tr w:rsidR="00016998" w14:paraId="65625FE1"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01186D96" w14:textId="77777777" w:rsidR="00016998" w:rsidRDefault="00016998" w:rsidP="005679BB">
            <w:pPr>
              <w:pStyle w:val="TCellBody"/>
            </w:pPr>
            <w:r>
              <w:rPr>
                <w:color w:val="000000" w:themeColor="dark1"/>
              </w:rPr>
              <w:t xml:space="preserve">Keno to </w:t>
            </w:r>
            <w:proofErr w:type="spellStart"/>
            <w:r>
              <w:rPr>
                <w:color w:val="000000" w:themeColor="dark1"/>
              </w:rPr>
              <w:t>IGD.Local</w:t>
            </w:r>
            <w:proofErr w:type="spellEnd"/>
            <w:r>
              <w:rPr>
                <w:color w:val="000000" w:themeColor="dark1"/>
              </w:rPr>
              <w:t xml:space="preserve"> Inflow</w:t>
            </w:r>
          </w:p>
        </w:tc>
      </w:tr>
      <w:tr w:rsidR="00016998" w14:paraId="450279C7"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03BA87E3" w14:textId="77777777" w:rsidR="00016998" w:rsidRDefault="00016998" w:rsidP="005679BB">
            <w:pPr>
              <w:pStyle w:val="TCellBody"/>
            </w:pPr>
            <w:r>
              <w:t xml:space="preserve">A </w:t>
            </w:r>
            <w:proofErr w:type="spellStart"/>
            <w:r>
              <w:t>Canal.Diversion</w:t>
            </w:r>
            <w:proofErr w:type="spellEnd"/>
            <w:r>
              <w:t xml:space="preserve"> Request</w:t>
            </w:r>
          </w:p>
        </w:tc>
      </w:tr>
      <w:tr w:rsidR="00016998" w14:paraId="6844F617"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16DF385B" w14:textId="77777777" w:rsidR="00016998" w:rsidRDefault="00016998" w:rsidP="005679BB">
            <w:pPr>
              <w:pStyle w:val="TCellBody"/>
            </w:pPr>
            <w:r>
              <w:rPr>
                <w:color w:val="000000" w:themeColor="dark1"/>
              </w:rPr>
              <w:t>Station 48.Diversion</w:t>
            </w:r>
            <w:r>
              <w:t xml:space="preserve"> Request</w:t>
            </w:r>
          </w:p>
        </w:tc>
      </w:tr>
      <w:tr w:rsidR="00016998" w14:paraId="06005F81"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32691405" w14:textId="77777777" w:rsidR="00016998" w:rsidRDefault="00016998" w:rsidP="005679BB">
            <w:pPr>
              <w:pStyle w:val="TCellBody"/>
            </w:pPr>
            <w:r>
              <w:rPr>
                <w:color w:val="000000" w:themeColor="dark1"/>
              </w:rPr>
              <w:t xml:space="preserve">Miller Hill </w:t>
            </w:r>
            <w:proofErr w:type="spellStart"/>
            <w:r>
              <w:rPr>
                <w:color w:val="000000" w:themeColor="dark1"/>
              </w:rPr>
              <w:t>Pump.Diversion</w:t>
            </w:r>
            <w:proofErr w:type="spellEnd"/>
            <w:r>
              <w:t xml:space="preserve"> Request</w:t>
            </w:r>
          </w:p>
        </w:tc>
      </w:tr>
      <w:tr w:rsidR="00016998" w14:paraId="24FD72C1"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12F02A93" w14:textId="77777777" w:rsidR="00016998" w:rsidRDefault="00016998" w:rsidP="005679BB">
            <w:pPr>
              <w:pStyle w:val="TCellBody"/>
            </w:pPr>
            <w:proofErr w:type="spellStart"/>
            <w:r>
              <w:rPr>
                <w:color w:val="000000" w:themeColor="dark1"/>
              </w:rPr>
              <w:t>Ady</w:t>
            </w:r>
            <w:proofErr w:type="spellEnd"/>
            <w:r>
              <w:rPr>
                <w:color w:val="000000" w:themeColor="dark1"/>
              </w:rPr>
              <w:t xml:space="preserve"> </w:t>
            </w:r>
            <w:proofErr w:type="spellStart"/>
            <w:r>
              <w:rPr>
                <w:color w:val="000000" w:themeColor="dark1"/>
              </w:rPr>
              <w:t>Canal.Diversion</w:t>
            </w:r>
            <w:proofErr w:type="spellEnd"/>
            <w:r>
              <w:t xml:space="preserve"> Request</w:t>
            </w:r>
          </w:p>
        </w:tc>
      </w:tr>
      <w:tr w:rsidR="00016998" w14:paraId="3C50583B"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5E29EA56" w14:textId="77777777" w:rsidR="00016998" w:rsidRDefault="00016998" w:rsidP="005679BB">
            <w:pPr>
              <w:pStyle w:val="TCellBody"/>
            </w:pPr>
            <w:r>
              <w:rPr>
                <w:color w:val="000000" w:themeColor="dark1"/>
              </w:rPr>
              <w:t xml:space="preserve">North </w:t>
            </w:r>
            <w:proofErr w:type="spellStart"/>
            <w:r>
              <w:rPr>
                <w:color w:val="000000" w:themeColor="dark1"/>
              </w:rPr>
              <w:t>Canal.Diversion</w:t>
            </w:r>
            <w:proofErr w:type="spellEnd"/>
            <w:r>
              <w:t xml:space="preserve"> Request</w:t>
            </w:r>
          </w:p>
        </w:tc>
      </w:tr>
      <w:tr w:rsidR="00016998" w14:paraId="0CED7607"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7FD86240" w14:textId="77777777" w:rsidR="00016998" w:rsidRDefault="00016998" w:rsidP="005679BB">
            <w:pPr>
              <w:pStyle w:val="TCellBody"/>
            </w:pPr>
            <w:proofErr w:type="spellStart"/>
            <w:r>
              <w:rPr>
                <w:color w:val="000000" w:themeColor="dark1"/>
              </w:rPr>
              <w:t>Ady</w:t>
            </w:r>
            <w:proofErr w:type="spellEnd"/>
            <w:r>
              <w:rPr>
                <w:color w:val="000000" w:themeColor="dark1"/>
              </w:rPr>
              <w:t xml:space="preserve"> to </w:t>
            </w:r>
            <w:proofErr w:type="spellStart"/>
            <w:r>
              <w:rPr>
                <w:color w:val="000000" w:themeColor="dark1"/>
              </w:rPr>
              <w:t>Refuge.Diversion</w:t>
            </w:r>
            <w:proofErr w:type="spellEnd"/>
            <w:r>
              <w:t xml:space="preserve"> Request</w:t>
            </w:r>
          </w:p>
        </w:tc>
      </w:tr>
      <w:tr w:rsidR="00016998" w14:paraId="6731E9E0"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0C3EFB0D" w14:textId="1A52C2BE" w:rsidR="00016998" w:rsidRDefault="00016998" w:rsidP="005679BB">
            <w:pPr>
              <w:pStyle w:val="TCellBody"/>
              <w:rPr>
                <w:color w:val="000000" w:themeColor="dark1"/>
              </w:rPr>
            </w:pPr>
            <w:proofErr w:type="spellStart"/>
            <w:r>
              <w:rPr>
                <w:color w:val="000000" w:themeColor="dark1"/>
              </w:rPr>
              <w:t>Ady</w:t>
            </w:r>
            <w:proofErr w:type="spellEnd"/>
            <w:r>
              <w:rPr>
                <w:color w:val="000000" w:themeColor="dark1"/>
              </w:rPr>
              <w:t xml:space="preserve"> Canal.to Ag</w:t>
            </w:r>
          </w:p>
        </w:tc>
      </w:tr>
      <w:tr w:rsidR="00016998" w14:paraId="6B47B8E7"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7AF38DC9" w14:textId="77777777" w:rsidR="00016998" w:rsidRDefault="00016998" w:rsidP="005679BB">
            <w:pPr>
              <w:pStyle w:val="TCellBody"/>
              <w:rPr>
                <w:color w:val="000000" w:themeColor="dark1"/>
              </w:rPr>
            </w:pPr>
            <w:proofErr w:type="spellStart"/>
            <w:r>
              <w:rPr>
                <w:color w:val="000000" w:themeColor="dark1"/>
              </w:rPr>
              <w:t>UKL.Link</w:t>
            </w:r>
            <w:proofErr w:type="spellEnd"/>
            <w:r>
              <w:rPr>
                <w:color w:val="000000" w:themeColor="dark1"/>
              </w:rPr>
              <w:t xml:space="preserve"> River</w:t>
            </w:r>
          </w:p>
        </w:tc>
      </w:tr>
      <w:tr w:rsidR="00016998" w14:paraId="11E41225"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01896591" w14:textId="77777777" w:rsidR="00016998" w:rsidRDefault="00016998" w:rsidP="005679BB">
            <w:pPr>
              <w:pStyle w:val="TCellBody"/>
              <w:rPr>
                <w:color w:val="000000" w:themeColor="dark1"/>
              </w:rPr>
            </w:pPr>
            <w:proofErr w:type="spellStart"/>
            <w:r>
              <w:rPr>
                <w:color w:val="000000" w:themeColor="dark1"/>
              </w:rPr>
              <w:t>UKL.Keno</w:t>
            </w:r>
            <w:proofErr w:type="spellEnd"/>
            <w:r>
              <w:rPr>
                <w:color w:val="000000" w:themeColor="dark1"/>
              </w:rPr>
              <w:t xml:space="preserve"> Power </w:t>
            </w:r>
            <w:proofErr w:type="spellStart"/>
            <w:r>
              <w:rPr>
                <w:color w:val="000000" w:themeColor="dark1"/>
              </w:rPr>
              <w:t>Canal.Outflow</w:t>
            </w:r>
            <w:proofErr w:type="spellEnd"/>
          </w:p>
        </w:tc>
      </w:tr>
      <w:tr w:rsidR="00016998" w14:paraId="6E031FE0"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055BB333" w14:textId="77777777" w:rsidR="00016998" w:rsidRDefault="00016998" w:rsidP="005679BB">
            <w:pPr>
              <w:pStyle w:val="TCellBody"/>
              <w:rPr>
                <w:color w:val="000000" w:themeColor="dark1"/>
              </w:rPr>
            </w:pPr>
            <w:r>
              <w:t xml:space="preserve">11509500 Klamath at </w:t>
            </w:r>
            <w:proofErr w:type="spellStart"/>
            <w:r>
              <w:t>Keno.Gage</w:t>
            </w:r>
            <w:proofErr w:type="spellEnd"/>
            <w:r>
              <w:t xml:space="preserve"> Inflow</w:t>
            </w:r>
          </w:p>
        </w:tc>
      </w:tr>
      <w:tr w:rsidR="00016998" w14:paraId="4A0DF12C"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30A2A947" w14:textId="77777777" w:rsidR="00016998" w:rsidRDefault="00016998" w:rsidP="005679BB">
            <w:pPr>
              <w:pStyle w:val="TCellBody"/>
              <w:rPr>
                <w:color w:val="000000" w:themeColor="dark1"/>
              </w:rPr>
            </w:pPr>
            <w:r>
              <w:rPr>
                <w:color w:val="000000" w:themeColor="dark1"/>
              </w:rPr>
              <w:t xml:space="preserve">11516530 Klamath </w:t>
            </w:r>
            <w:proofErr w:type="spellStart"/>
            <w:r>
              <w:rPr>
                <w:color w:val="000000" w:themeColor="dark1"/>
              </w:rPr>
              <w:t>bl</w:t>
            </w:r>
            <w:proofErr w:type="spellEnd"/>
            <w:r>
              <w:rPr>
                <w:color w:val="000000" w:themeColor="dark1"/>
              </w:rPr>
              <w:t xml:space="preserve"> Iron </w:t>
            </w:r>
            <w:proofErr w:type="spellStart"/>
            <w:r>
              <w:rPr>
                <w:color w:val="000000" w:themeColor="dark1"/>
              </w:rPr>
              <w:t>Gate.Gage</w:t>
            </w:r>
            <w:proofErr w:type="spellEnd"/>
            <w:r>
              <w:rPr>
                <w:color w:val="000000" w:themeColor="dark1"/>
              </w:rPr>
              <w:t xml:space="preserve"> Inflow</w:t>
            </w:r>
          </w:p>
        </w:tc>
      </w:tr>
      <w:tr w:rsidR="00016998" w14:paraId="6B4D1C5B"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1576D895" w14:textId="77777777" w:rsidR="00016998" w:rsidRDefault="00016998" w:rsidP="005679BB">
            <w:pPr>
              <w:pStyle w:val="TCellBody"/>
              <w:rPr>
                <w:color w:val="000000" w:themeColor="dark1"/>
              </w:rPr>
            </w:pPr>
            <w:r w:rsidRPr="00E74DA4">
              <w:rPr>
                <w:color w:val="000000" w:themeColor="dark1"/>
              </w:rPr>
              <w:t xml:space="preserve">Miller Hill </w:t>
            </w:r>
            <w:proofErr w:type="spellStart"/>
            <w:r w:rsidRPr="00E74DA4">
              <w:rPr>
                <w:color w:val="000000" w:themeColor="dark1"/>
              </w:rPr>
              <w:t>Pump.Spill</w:t>
            </w:r>
            <w:proofErr w:type="spellEnd"/>
          </w:p>
        </w:tc>
      </w:tr>
      <w:tr w:rsidR="00016998" w14:paraId="44A0F7EB" w14:textId="77777777" w:rsidTr="005679BB">
        <w:tc>
          <w:tcPr>
            <w:cnfStyle w:val="001000000000" w:firstRow="0" w:lastRow="0" w:firstColumn="1" w:lastColumn="0" w:oddVBand="0" w:evenVBand="0" w:oddHBand="0" w:evenHBand="0" w:firstRowFirstColumn="0" w:firstRowLastColumn="0" w:lastRowFirstColumn="0" w:lastRowLastColumn="0"/>
            <w:tcW w:w="3510" w:type="dxa"/>
          </w:tcPr>
          <w:p w14:paraId="7669EEE6" w14:textId="77777777" w:rsidR="00016998" w:rsidRPr="00E74DA4" w:rsidRDefault="00016998" w:rsidP="005679BB">
            <w:pPr>
              <w:pStyle w:val="TCellBody"/>
              <w:rPr>
                <w:color w:val="000000" w:themeColor="dark1"/>
              </w:rPr>
            </w:pPr>
            <w:proofErr w:type="spellStart"/>
            <w:r>
              <w:rPr>
                <w:color w:val="000000" w:themeColor="dark1"/>
              </w:rPr>
              <w:t>Dashboard.Sukraw</w:t>
            </w:r>
            <w:proofErr w:type="spellEnd"/>
            <w:r>
              <w:rPr>
                <w:color w:val="000000" w:themeColor="dark1"/>
              </w:rPr>
              <w:t xml:space="preserve"> Well</w:t>
            </w:r>
          </w:p>
        </w:tc>
      </w:tr>
    </w:tbl>
    <w:p w14:paraId="61E0F792" w14:textId="10A67FDD" w:rsidR="008769EF" w:rsidRDefault="008769EF" w:rsidP="008769EF">
      <w:r>
        <w:t xml:space="preserve">For most slots, the DMI imports values in the range of three timesteps prior to the Start Timestep until the timestep prior to the </w:t>
      </w:r>
      <w:r w:rsidR="005679BB">
        <w:t>operation start timestep</w:t>
      </w:r>
      <w:r>
        <w:t>. There are a few exceptions. The UKL Inflow</w:t>
      </w:r>
      <w:r w:rsidR="001F48DA">
        <w:t xml:space="preserve"> </w:t>
      </w:r>
      <w:r>
        <w:t xml:space="preserve">is pulled starting at 60 timesteps prior to the Operation Start Date. </w:t>
      </w:r>
      <w:r w:rsidR="001F48DA">
        <w:t>T</w:t>
      </w:r>
      <w:r>
        <w:t xml:space="preserve">he Keno to IGD Accretion is pulled until the timestep that no data is available. </w:t>
      </w:r>
    </w:p>
    <w:p w14:paraId="496DD032" w14:textId="77777777" w:rsidR="008769EF" w:rsidRDefault="008769EF" w:rsidP="0030367C">
      <w:pPr>
        <w:pStyle w:val="Heading3"/>
      </w:pPr>
      <w:bookmarkStart w:id="104" w:name="_heading=h.xatgisfhbvjd" w:colFirst="0" w:colLast="0"/>
      <w:bookmarkStart w:id="105" w:name="_Toc48817222"/>
      <w:bookmarkEnd w:id="104"/>
      <w:r>
        <w:t>Enter New Setup Data Required for the Run</w:t>
      </w:r>
      <w:bookmarkEnd w:id="105"/>
    </w:p>
    <w:p w14:paraId="14D8F87E" w14:textId="553A82F0" w:rsidR="008769EF" w:rsidRDefault="008769EF" w:rsidP="008769EF">
      <w:r>
        <w:t>Next, the operator will likely need to specify some data manually. For manual inputs, it can be tedious to ope</w:t>
      </w:r>
      <w:r w:rsidR="00C4394A">
        <w:t>n multiple slots from the objects</w:t>
      </w:r>
      <w:r>
        <w:t xml:space="preserve">. The System Control Table (SCT) is a useful and efficient tool to present and organize multiple slots that the operator commonly interacts. </w:t>
      </w:r>
      <w:r w:rsidR="001F48DA">
        <w:t>The SCT</w:t>
      </w:r>
      <w:r>
        <w:t xml:space="preserve"> present the slots that require daily or per run manual inputs from the operator.</w:t>
      </w:r>
    </w:p>
    <w:p w14:paraId="39AD729B" w14:textId="2EA9C93B" w:rsidR="008769EF" w:rsidRDefault="001F48DA" w:rsidP="008769EF">
      <w:r w:rsidRPr="001F48DA">
        <w:t xml:space="preserve">The </w:t>
      </w:r>
      <w:r>
        <w:rPr>
          <w:b/>
        </w:rPr>
        <w:t>KlamathOps2019PA.sct</w:t>
      </w:r>
      <w:r w:rsidR="008769EF">
        <w:t xml:space="preserve"> presents an organized view of the slots requiring manual inputs from the operator. The top-level of organization is done by slot type. Separate tabs conta</w:t>
      </w:r>
      <w:r w:rsidR="00C4394A">
        <w:t>in either the series, scalar, or</w:t>
      </w:r>
      <w:r w:rsidR="008769EF">
        <w:t xml:space="preserve"> other slots. The next level of organization varies. The series slots are grouped by operational objective, which are labeled on the slot dividers. Whereas, the scalar, periodic, and table slots are organized by naming conventions. The operator inputs values for multiple purposes. Series slots are generally overrides or reported values from collaborating agencies. Thus, the operator enters values based on availability of information. The scalar, periodic, and table slots are typically the adjustment factors or dates that control hydrologic or demand forecasts. The operator sets values that produce seasonal volumes they expect to occur. Each subsection is broken down by the top-level organization method, slot type. </w:t>
      </w:r>
    </w:p>
    <w:p w14:paraId="4E12783A" w14:textId="77777777" w:rsidR="008769EF" w:rsidRDefault="008769EF" w:rsidP="0030367C">
      <w:pPr>
        <w:pStyle w:val="Heading4"/>
      </w:pPr>
      <w:bookmarkStart w:id="106" w:name="_heading=h.ioqw8z2oub1e" w:colFirst="0" w:colLast="0"/>
      <w:bookmarkEnd w:id="106"/>
      <w:r>
        <w:t>Set Series Slots</w:t>
      </w:r>
    </w:p>
    <w:p w14:paraId="359B33B2" w14:textId="01E508AC" w:rsidR="008769EF" w:rsidRDefault="0052345F" w:rsidP="008769EF">
      <w:r>
        <w:t>Edit</w:t>
      </w:r>
      <w:r w:rsidR="008769EF">
        <w:t xml:space="preserve"> the following slots</w:t>
      </w:r>
      <w:r w:rsidR="00D917D3">
        <w:t xml:space="preserve"> as desired</w:t>
      </w:r>
      <w:r w:rsidR="008769EF">
        <w:t xml:space="preserve"> on the </w:t>
      </w:r>
      <w:r w:rsidR="00D917D3">
        <w:t>Per Run Settings worksheet</w:t>
      </w:r>
      <w:r w:rsidR="008769EF">
        <w:t xml:space="preserve"> tab of the SCT:</w:t>
      </w:r>
    </w:p>
    <w:p w14:paraId="10BDDBCE" w14:textId="0696D6EC" w:rsidR="00D917D3" w:rsidRDefault="00D917D3" w:rsidP="00D917D3">
      <w:pPr>
        <w:pStyle w:val="ListBullet"/>
      </w:pPr>
      <w:proofErr w:type="spellStart"/>
      <w:r>
        <w:t>UKL.Ag</w:t>
      </w:r>
      <w:proofErr w:type="spellEnd"/>
      <w:r>
        <w:t xml:space="preserve"> Override: </w:t>
      </w:r>
      <w:r w:rsidRPr="00533FA2">
        <w:rPr>
          <w:rFonts w:eastAsia="Calibri" w:cs="Times New Roman"/>
          <w:color w:val="000000"/>
        </w:rPr>
        <w:t xml:space="preserve">sets </w:t>
      </w:r>
      <w:r>
        <w:rPr>
          <w:rFonts w:eastAsia="Calibri" w:cs="Times New Roman"/>
          <w:color w:val="000000"/>
        </w:rPr>
        <w:t>o</w:t>
      </w:r>
      <w:r w:rsidRPr="00533FA2">
        <w:rPr>
          <w:rFonts w:eastAsia="Calibri" w:cs="Times New Roman"/>
          <w:color w:val="000000"/>
        </w:rPr>
        <w:t xml:space="preserve">verrides when the forecasted values fail to match up with expected demands/hydrology in the basin based on recent field observations. Thus, they are usually set in the range of a week or two after the </w:t>
      </w:r>
      <w:r w:rsidR="005679BB">
        <w:rPr>
          <w:rFonts w:eastAsia="Calibri" w:cs="Times New Roman"/>
          <w:color w:val="000000"/>
        </w:rPr>
        <w:t>operation start timestep</w:t>
      </w:r>
      <w:r w:rsidRPr="00533FA2">
        <w:rPr>
          <w:rFonts w:eastAsia="Calibri" w:cs="Times New Roman"/>
          <w:color w:val="000000"/>
        </w:rPr>
        <w:t>.</w:t>
      </w:r>
    </w:p>
    <w:p w14:paraId="0C0193CA" w14:textId="77777777" w:rsidR="00D917D3" w:rsidRDefault="00D917D3" w:rsidP="00D917D3">
      <w:pPr>
        <w:pStyle w:val="ListBullet"/>
      </w:pPr>
      <w:r>
        <w:t xml:space="preserve">Keno to IGD </w:t>
      </w:r>
      <w:proofErr w:type="spellStart"/>
      <w:r>
        <w:t>Gain.Accretion</w:t>
      </w:r>
      <w:proofErr w:type="spellEnd"/>
      <w:r>
        <w:t xml:space="preserve"> Override</w:t>
      </w:r>
    </w:p>
    <w:p w14:paraId="1B5888D3" w14:textId="18EE1BB6" w:rsidR="00D917D3" w:rsidRDefault="00D917D3" w:rsidP="00D917D3">
      <w:pPr>
        <w:pStyle w:val="ListBullet"/>
      </w:pPr>
      <w:r>
        <w:t xml:space="preserve">Lost River Diversion </w:t>
      </w:r>
      <w:proofErr w:type="spellStart"/>
      <w:r>
        <w:t>Channel.Accretion</w:t>
      </w:r>
      <w:proofErr w:type="spellEnd"/>
      <w:r>
        <w:t xml:space="preserve"> Override</w:t>
      </w:r>
    </w:p>
    <w:p w14:paraId="51226307" w14:textId="184C6283" w:rsidR="00D917D3" w:rsidRDefault="00D917D3" w:rsidP="00D917D3">
      <w:pPr>
        <w:pStyle w:val="ListBullet"/>
      </w:pPr>
      <w:proofErr w:type="spellStart"/>
      <w:r>
        <w:lastRenderedPageBreak/>
        <w:t>UKL.Inflow</w:t>
      </w:r>
      <w:proofErr w:type="spellEnd"/>
      <w:r>
        <w:t xml:space="preserve"> Exceedance: </w:t>
      </w:r>
      <w:r w:rsidRPr="00533FA2">
        <w:rPr>
          <w:rFonts w:eastAsia="Calibri" w:cs="Times New Roman"/>
          <w:color w:val="000000"/>
        </w:rPr>
        <w:t xml:space="preserve">make the model forecast UKL inflows consistent with the NRCS Inflow Forecast. </w:t>
      </w:r>
      <w:r w:rsidRPr="00533FA2">
        <w:rPr>
          <w:rFonts w:cs="Times New Roman"/>
        </w:rPr>
        <w:t>They</w:t>
      </w:r>
      <w:r w:rsidRPr="00533FA2">
        <w:rPr>
          <w:rFonts w:eastAsia="Calibri" w:cs="Times New Roman"/>
          <w:color w:val="000000"/>
        </w:rPr>
        <w:t xml:space="preserve"> input a value for each month.</w:t>
      </w:r>
    </w:p>
    <w:p w14:paraId="204323E2" w14:textId="6957BC3A" w:rsidR="00D917D3" w:rsidRDefault="00D917D3" w:rsidP="00D917D3">
      <w:pPr>
        <w:pStyle w:val="ListBullet"/>
      </w:pPr>
      <w:proofErr w:type="spellStart"/>
      <w:r>
        <w:t>Dashboard.Pacificorp</w:t>
      </w:r>
      <w:proofErr w:type="spellEnd"/>
      <w:r>
        <w:t xml:space="preserve"> Borrow: </w:t>
      </w:r>
      <w:r w:rsidRPr="00533FA2">
        <w:rPr>
          <w:rFonts w:eastAsia="Calibri" w:cs="Times New Roman"/>
          <w:color w:val="000000"/>
        </w:rPr>
        <w:t xml:space="preserve">sets the PAC Balance or Flow Requirements from reports from PacifiCorp and Fish and Wildlife Services (FWS), respectively. Reports are commonly available </w:t>
      </w:r>
      <w:sdt>
        <w:sdtPr>
          <w:rPr>
            <w:rFonts w:cs="Times New Roman"/>
          </w:rPr>
          <w:tag w:val="goog_rdk_5"/>
          <w:id w:val="1995677742"/>
        </w:sdtPr>
        <w:sdtEndPr/>
        <w:sdtContent/>
      </w:sdt>
      <w:r w:rsidRPr="00533FA2">
        <w:rPr>
          <w:rFonts w:eastAsia="Calibri" w:cs="Times New Roman"/>
          <w:color w:val="000000"/>
        </w:rPr>
        <w:t>in this range.</w:t>
      </w:r>
    </w:p>
    <w:p w14:paraId="50D85364" w14:textId="387F667B" w:rsidR="00D917D3" w:rsidRDefault="00D917D3" w:rsidP="00D917D3">
      <w:pPr>
        <w:pStyle w:val="ListBullet"/>
      </w:pPr>
      <w:proofErr w:type="spellStart"/>
      <w:r>
        <w:t>Dashboard.Pacificorp</w:t>
      </w:r>
      <w:proofErr w:type="spellEnd"/>
      <w:r>
        <w:t xml:space="preserve"> Payback</w:t>
      </w:r>
    </w:p>
    <w:p w14:paraId="65E8F93D" w14:textId="77777777" w:rsidR="00D917D3" w:rsidRDefault="00D917D3" w:rsidP="00D917D3">
      <w:pPr>
        <w:pStyle w:val="ListBullet"/>
      </w:pPr>
      <w:proofErr w:type="spellStart"/>
      <w:r>
        <w:t>Dashboard.May</w:t>
      </w:r>
      <w:proofErr w:type="spellEnd"/>
      <w:r>
        <w:t xml:space="preserve"> June Augment</w:t>
      </w:r>
    </w:p>
    <w:p w14:paraId="745E6FAE" w14:textId="77777777" w:rsidR="00D917D3" w:rsidRDefault="00D917D3" w:rsidP="00D917D3">
      <w:pPr>
        <w:pStyle w:val="ListBullet"/>
      </w:pPr>
      <w:proofErr w:type="spellStart"/>
      <w:r>
        <w:t>Dashboard.Flex</w:t>
      </w:r>
      <w:proofErr w:type="spellEnd"/>
      <w:r>
        <w:t xml:space="preserve"> Release</w:t>
      </w:r>
    </w:p>
    <w:p w14:paraId="6DEAEE10" w14:textId="540B3DA8" w:rsidR="00D917D3" w:rsidRDefault="00D917D3" w:rsidP="00D917D3">
      <w:pPr>
        <w:pStyle w:val="ListBullet"/>
      </w:pPr>
      <w:proofErr w:type="spellStart"/>
      <w:r>
        <w:t>IGD.Flood</w:t>
      </w:r>
      <w:proofErr w:type="spellEnd"/>
      <w:r>
        <w:t xml:space="preserve"> Accounting Switch</w:t>
      </w:r>
    </w:p>
    <w:p w14:paraId="21780F1D" w14:textId="7C00AADD" w:rsidR="00D917D3" w:rsidRDefault="00D917D3" w:rsidP="00D917D3">
      <w:pPr>
        <w:pStyle w:val="ListBullet"/>
      </w:pPr>
      <w:proofErr w:type="spellStart"/>
      <w:r>
        <w:t>UKL.Flood</w:t>
      </w:r>
      <w:proofErr w:type="spellEnd"/>
      <w:r>
        <w:t xml:space="preserve"> Accounting Switch: </w:t>
      </w:r>
      <w:r>
        <w:rPr>
          <w:rFonts w:eastAsia="Calibri" w:cs="Times New Roman"/>
          <w:color w:val="000000"/>
        </w:rPr>
        <w:t>activate</w:t>
      </w:r>
      <w:r w:rsidRPr="00533FA2">
        <w:rPr>
          <w:rFonts w:eastAsia="Calibri" w:cs="Times New Roman"/>
          <w:color w:val="000000"/>
        </w:rPr>
        <w:t xml:space="preserve"> when </w:t>
      </w:r>
      <w:r w:rsidR="00C4394A">
        <w:rPr>
          <w:rFonts w:cs="Times New Roman"/>
        </w:rPr>
        <w:t>you</w:t>
      </w:r>
      <w:r w:rsidRPr="00533FA2">
        <w:rPr>
          <w:rFonts w:eastAsia="Calibri" w:cs="Times New Roman"/>
          <w:color w:val="000000"/>
        </w:rPr>
        <w:t xml:space="preserve"> want the UKL Credit account to accrue the portion of release assigned for flooding. This is done when the operator expects flooding, which spans from a week to a few months out depending on the year’s hydrology.</w:t>
      </w:r>
    </w:p>
    <w:p w14:paraId="010410B0" w14:textId="0FFAEFB6" w:rsidR="00D917D3" w:rsidRDefault="00D917D3" w:rsidP="00D917D3">
      <w:pPr>
        <w:pStyle w:val="ListBullet"/>
      </w:pPr>
      <w:r>
        <w:t xml:space="preserve">Refuge </w:t>
      </w:r>
      <w:proofErr w:type="spellStart"/>
      <w:r>
        <w:t>Supply.Local</w:t>
      </w:r>
      <w:proofErr w:type="spellEnd"/>
      <w:r>
        <w:t xml:space="preserve"> Inflow:  </w:t>
      </w:r>
      <w:r w:rsidRPr="00D917D3">
        <w:rPr>
          <w:rFonts w:eastAsia="Calibri" w:cs="Times New Roman"/>
          <w:color w:val="000000"/>
        </w:rPr>
        <w:t>This represents the reported pumping from the Tule Irrigation District. The operator inputs these in the observed period since KBAO gets their reports after the pumping has occurred.</w:t>
      </w:r>
    </w:p>
    <w:p w14:paraId="2D735D6B" w14:textId="77777777" w:rsidR="008769EF" w:rsidRDefault="008769EF" w:rsidP="0030367C">
      <w:pPr>
        <w:pStyle w:val="Heading4"/>
      </w:pPr>
      <w:bookmarkStart w:id="107" w:name="_heading=h.3s1bvk5trcsi" w:colFirst="0" w:colLast="0"/>
      <w:bookmarkEnd w:id="107"/>
      <w:r>
        <w:t>Set Scalar Slots</w:t>
      </w:r>
    </w:p>
    <w:p w14:paraId="2212AEF0" w14:textId="5F04876F" w:rsidR="00D917D3" w:rsidRDefault="0052345F" w:rsidP="008769EF">
      <w:r>
        <w:t>Edit</w:t>
      </w:r>
      <w:r w:rsidR="008769EF">
        <w:t xml:space="preserve"> the following slots on the Scalar Slots tab of the SCT:</w:t>
      </w:r>
    </w:p>
    <w:p w14:paraId="29A7A5B5" w14:textId="01449E1B" w:rsidR="00382855" w:rsidRDefault="00D917D3" w:rsidP="00382855">
      <w:pPr>
        <w:pStyle w:val="TableTitle"/>
      </w:pPr>
      <w:r>
        <w:t>Scalar Slots to consider setting</w:t>
      </w:r>
    </w:p>
    <w:p w14:paraId="1F8CD1DE" w14:textId="77777777" w:rsidR="00382855" w:rsidRPr="00382855" w:rsidRDefault="00382855" w:rsidP="00382855">
      <w:pPr>
        <w:pStyle w:val="TableAnchor"/>
      </w:pPr>
    </w:p>
    <w:tbl>
      <w:tblPr>
        <w:tblStyle w:val="GridTable1Light-Accent2"/>
        <w:tblW w:w="7375" w:type="dxa"/>
        <w:tblLayout w:type="fixed"/>
        <w:tblLook w:val="0400" w:firstRow="0" w:lastRow="0" w:firstColumn="0" w:lastColumn="0" w:noHBand="0" w:noVBand="1"/>
      </w:tblPr>
      <w:tblGrid>
        <w:gridCol w:w="2965"/>
        <w:gridCol w:w="4410"/>
      </w:tblGrid>
      <w:tr w:rsidR="008769EF" w14:paraId="1D95B363" w14:textId="77777777" w:rsidTr="00D917D3">
        <w:tc>
          <w:tcPr>
            <w:tcW w:w="2965" w:type="dxa"/>
          </w:tcPr>
          <w:p w14:paraId="737F5C3F" w14:textId="77777777" w:rsidR="008769EF" w:rsidRDefault="008769EF" w:rsidP="004949B0">
            <w:pPr>
              <w:jc w:val="center"/>
              <w:rPr>
                <w:b/>
              </w:rPr>
            </w:pPr>
            <w:r>
              <w:rPr>
                <w:b/>
              </w:rPr>
              <w:t>Initial Value Slots</w:t>
            </w:r>
          </w:p>
        </w:tc>
        <w:tc>
          <w:tcPr>
            <w:tcW w:w="4410" w:type="dxa"/>
          </w:tcPr>
          <w:p w14:paraId="7802C6E8" w14:textId="77777777" w:rsidR="008769EF" w:rsidRDefault="008769EF" w:rsidP="004949B0">
            <w:pPr>
              <w:jc w:val="center"/>
              <w:rPr>
                <w:b/>
              </w:rPr>
            </w:pPr>
            <w:r>
              <w:rPr>
                <w:b/>
              </w:rPr>
              <w:t>Logic Switches</w:t>
            </w:r>
          </w:p>
        </w:tc>
      </w:tr>
      <w:tr w:rsidR="008769EF" w14:paraId="5F98C458" w14:textId="77777777" w:rsidTr="00D917D3">
        <w:tc>
          <w:tcPr>
            <w:tcW w:w="2965" w:type="dxa"/>
          </w:tcPr>
          <w:p w14:paraId="130F8F3F" w14:textId="77777777" w:rsidR="008769EF" w:rsidRDefault="008769EF" w:rsidP="004949B0">
            <w:proofErr w:type="spellStart"/>
            <w:r>
              <w:t>UKL.Initial</w:t>
            </w:r>
            <w:proofErr w:type="spellEnd"/>
            <w:r>
              <w:t xml:space="preserve"> Credit</w:t>
            </w:r>
          </w:p>
        </w:tc>
        <w:tc>
          <w:tcPr>
            <w:tcW w:w="4410" w:type="dxa"/>
          </w:tcPr>
          <w:p w14:paraId="56F712CA" w14:textId="77777777" w:rsidR="008769EF" w:rsidRDefault="008769EF" w:rsidP="004949B0">
            <w:r>
              <w:t xml:space="preserve">F and FF </w:t>
            </w:r>
            <w:proofErr w:type="spellStart"/>
            <w:r>
              <w:t>Pump.Average</w:t>
            </w:r>
            <w:proofErr w:type="spellEnd"/>
            <w:r>
              <w:t xml:space="preserve"> Switch</w:t>
            </w:r>
          </w:p>
        </w:tc>
      </w:tr>
      <w:tr w:rsidR="008769EF" w14:paraId="48417B1E" w14:textId="77777777" w:rsidTr="00D917D3">
        <w:tc>
          <w:tcPr>
            <w:tcW w:w="2965" w:type="dxa"/>
          </w:tcPr>
          <w:p w14:paraId="02B15291" w14:textId="77777777" w:rsidR="008769EF" w:rsidRDefault="008769EF" w:rsidP="004949B0">
            <w:proofErr w:type="spellStart"/>
            <w:r>
              <w:t>UKL.Initial</w:t>
            </w:r>
            <w:proofErr w:type="spellEnd"/>
            <w:r>
              <w:t xml:space="preserve"> Difference Ratio</w:t>
            </w:r>
          </w:p>
        </w:tc>
        <w:tc>
          <w:tcPr>
            <w:tcW w:w="4410" w:type="dxa"/>
          </w:tcPr>
          <w:p w14:paraId="67B93C0C" w14:textId="77777777" w:rsidR="008769EF" w:rsidRDefault="008769EF" w:rsidP="004949B0">
            <w:r>
              <w:t xml:space="preserve">Lake </w:t>
            </w:r>
            <w:proofErr w:type="spellStart"/>
            <w:r>
              <w:t>Ewuana</w:t>
            </w:r>
            <w:proofErr w:type="spellEnd"/>
            <w:r>
              <w:t xml:space="preserve"> </w:t>
            </w:r>
            <w:proofErr w:type="spellStart"/>
            <w:r>
              <w:t>Gain.Average</w:t>
            </w:r>
            <w:proofErr w:type="spellEnd"/>
            <w:r>
              <w:t xml:space="preserve"> Switch</w:t>
            </w:r>
          </w:p>
        </w:tc>
      </w:tr>
      <w:tr w:rsidR="008769EF" w14:paraId="2B9F9329" w14:textId="77777777" w:rsidTr="00D917D3">
        <w:tc>
          <w:tcPr>
            <w:tcW w:w="2965" w:type="dxa"/>
          </w:tcPr>
          <w:p w14:paraId="131D07D1" w14:textId="77777777" w:rsidR="008769EF" w:rsidRDefault="008769EF" w:rsidP="004949B0">
            <w:pPr>
              <w:rPr>
                <w:b/>
              </w:rPr>
            </w:pPr>
          </w:p>
        </w:tc>
        <w:tc>
          <w:tcPr>
            <w:tcW w:w="4410" w:type="dxa"/>
          </w:tcPr>
          <w:p w14:paraId="5BC18F34" w14:textId="77777777" w:rsidR="008769EF" w:rsidRDefault="008769EF" w:rsidP="004949B0">
            <w:r>
              <w:t xml:space="preserve">Lost River Diversion </w:t>
            </w:r>
            <w:proofErr w:type="spellStart"/>
            <w:r>
              <w:t>Channel.Average</w:t>
            </w:r>
            <w:proofErr w:type="spellEnd"/>
            <w:r>
              <w:t xml:space="preserve"> Switch</w:t>
            </w:r>
          </w:p>
        </w:tc>
      </w:tr>
      <w:tr w:rsidR="008769EF" w14:paraId="68C72DE2" w14:textId="77777777" w:rsidTr="00D917D3">
        <w:tc>
          <w:tcPr>
            <w:tcW w:w="2965" w:type="dxa"/>
          </w:tcPr>
          <w:p w14:paraId="23DD5A7F" w14:textId="77777777" w:rsidR="008769EF" w:rsidRDefault="008769EF" w:rsidP="004949B0">
            <w:pPr>
              <w:rPr>
                <w:b/>
              </w:rPr>
            </w:pPr>
          </w:p>
        </w:tc>
        <w:tc>
          <w:tcPr>
            <w:tcW w:w="4410" w:type="dxa"/>
          </w:tcPr>
          <w:p w14:paraId="7DE5825D" w14:textId="77777777" w:rsidR="008769EF" w:rsidRDefault="008769EF" w:rsidP="004949B0">
            <w:r>
              <w:t xml:space="preserve">Keno to IGD </w:t>
            </w:r>
            <w:proofErr w:type="spellStart"/>
            <w:r>
              <w:t>Gain.Average</w:t>
            </w:r>
            <w:proofErr w:type="spellEnd"/>
            <w:r>
              <w:t xml:space="preserve"> Switch</w:t>
            </w:r>
          </w:p>
        </w:tc>
      </w:tr>
    </w:tbl>
    <w:p w14:paraId="4F47AFB4" w14:textId="30B3B0B6" w:rsidR="008769EF" w:rsidRDefault="0052345F" w:rsidP="008769EF">
      <w:pPr>
        <w:rPr>
          <w:b/>
          <w:u w:val="single"/>
        </w:rPr>
      </w:pPr>
      <w:r w:rsidRPr="0052345F">
        <w:t xml:space="preserve">The following </w:t>
      </w:r>
      <w:r>
        <w:t xml:space="preserve">items </w:t>
      </w:r>
      <w:r w:rsidRPr="0052345F">
        <w:t>are notes on this process:</w:t>
      </w:r>
    </w:p>
    <w:p w14:paraId="0C2C69FB" w14:textId="0CE4399B" w:rsidR="008769EF" w:rsidRPr="00533FA2" w:rsidRDefault="00D917D3" w:rsidP="008769EF">
      <w:pPr>
        <w:numPr>
          <w:ilvl w:val="0"/>
          <w:numId w:val="38"/>
        </w:numPr>
        <w:pBdr>
          <w:top w:val="nil"/>
          <w:left w:val="nil"/>
          <w:bottom w:val="nil"/>
          <w:right w:val="nil"/>
          <w:between w:val="nil"/>
        </w:pBdr>
        <w:spacing w:before="0" w:line="259" w:lineRule="auto"/>
        <w:rPr>
          <w:rFonts w:cs="Times New Roman"/>
          <w:b/>
          <w:color w:val="000000"/>
        </w:rPr>
      </w:pPr>
      <w:r>
        <w:rPr>
          <w:rFonts w:eastAsia="Calibri" w:cs="Times New Roman"/>
          <w:color w:val="000000"/>
        </w:rPr>
        <w:t xml:space="preserve">The Initial Value Slots </w:t>
      </w:r>
      <w:r w:rsidR="008769EF" w:rsidRPr="00533FA2">
        <w:rPr>
          <w:rFonts w:eastAsia="Calibri" w:cs="Times New Roman"/>
          <w:color w:val="000000"/>
        </w:rPr>
        <w:t xml:space="preserve">use the previous </w:t>
      </w:r>
      <w:proofErr w:type="spellStart"/>
      <w:r w:rsidR="008769EF" w:rsidRPr="00533FA2">
        <w:rPr>
          <w:rFonts w:eastAsia="Calibri" w:cs="Times New Roman"/>
          <w:color w:val="000000"/>
        </w:rPr>
        <w:t>timestep’s</w:t>
      </w:r>
      <w:proofErr w:type="spellEnd"/>
      <w:r w:rsidR="008769EF" w:rsidRPr="00533FA2">
        <w:rPr>
          <w:rFonts w:eastAsia="Calibri" w:cs="Times New Roman"/>
          <w:color w:val="000000"/>
        </w:rPr>
        <w:t xml:space="preserve"> value in the current </w:t>
      </w:r>
      <w:proofErr w:type="spellStart"/>
      <w:r w:rsidR="008769EF" w:rsidRPr="00533FA2">
        <w:rPr>
          <w:rFonts w:eastAsia="Calibri" w:cs="Times New Roman"/>
          <w:color w:val="000000"/>
        </w:rPr>
        <w:t>timestep’s</w:t>
      </w:r>
      <w:proofErr w:type="spellEnd"/>
      <w:r w:rsidR="008769EF" w:rsidRPr="00533FA2">
        <w:rPr>
          <w:rFonts w:eastAsia="Calibri" w:cs="Times New Roman"/>
          <w:color w:val="000000"/>
        </w:rPr>
        <w:t xml:space="preserve"> computation. Typically, the operator sets these values to zero. The Initial Value Slots may be changed if it is part </w:t>
      </w:r>
      <w:r w:rsidR="008769EF" w:rsidRPr="00533FA2">
        <w:rPr>
          <w:rFonts w:cs="Times New Roman"/>
        </w:rPr>
        <w:t>of the scenario's</w:t>
      </w:r>
      <w:r w:rsidR="008769EF" w:rsidRPr="00533FA2">
        <w:rPr>
          <w:rFonts w:eastAsia="Calibri" w:cs="Times New Roman"/>
          <w:color w:val="000000"/>
        </w:rPr>
        <w:t xml:space="preserve"> parameters. Otherwise, the operator leaves them as is for subsequent runs.</w:t>
      </w:r>
    </w:p>
    <w:p w14:paraId="1EEA70A4" w14:textId="77777777" w:rsidR="008769EF" w:rsidRDefault="008769EF" w:rsidP="008769EF">
      <w:pPr>
        <w:numPr>
          <w:ilvl w:val="0"/>
          <w:numId w:val="38"/>
        </w:numPr>
        <w:pBdr>
          <w:top w:val="nil"/>
          <w:left w:val="nil"/>
          <w:bottom w:val="nil"/>
          <w:right w:val="nil"/>
          <w:between w:val="nil"/>
        </w:pBdr>
        <w:spacing w:before="0" w:after="160" w:line="259" w:lineRule="auto"/>
        <w:rPr>
          <w:b/>
          <w:color w:val="000000"/>
        </w:rPr>
      </w:pPr>
      <w:r w:rsidRPr="00533FA2">
        <w:rPr>
          <w:rFonts w:eastAsia="Calibri" w:cs="Times New Roman"/>
          <w:color w:val="000000"/>
        </w:rPr>
        <w:t xml:space="preserve">The Logic Switches turn on or off the moving average logic in the Accretion Forecasts initialization rule. By default, these are left on. </w:t>
      </w:r>
      <w:r w:rsidRPr="00533FA2">
        <w:rPr>
          <w:rFonts w:cs="Times New Roman"/>
        </w:rPr>
        <w:t>The purpose of the moving average logic is to smooth the transition from observed to projected accretions. If the values computed by the</w:t>
      </w:r>
      <w:r>
        <w:t xml:space="preserve"> smoothing fail to match what the operator expects to see in the field, they turn off the moving average logic with the Logic Switch</w:t>
      </w:r>
      <w:r>
        <w:rPr>
          <w:rFonts w:ascii="Calibri" w:eastAsia="Calibri" w:hAnsi="Calibri" w:cs="Calibri"/>
          <w:color w:val="000000"/>
        </w:rPr>
        <w:t>.</w:t>
      </w:r>
    </w:p>
    <w:p w14:paraId="22F00EBC" w14:textId="77777777" w:rsidR="008769EF" w:rsidRDefault="008769EF" w:rsidP="0030367C">
      <w:pPr>
        <w:pStyle w:val="Heading4"/>
      </w:pPr>
      <w:bookmarkStart w:id="108" w:name="_heading=h.zher3jsfvrb" w:colFirst="0" w:colLast="0"/>
      <w:bookmarkEnd w:id="108"/>
      <w:r>
        <w:t>Set Periodic and Table Slots</w:t>
      </w:r>
    </w:p>
    <w:p w14:paraId="25FF9251" w14:textId="40517C3B" w:rsidR="008769EF" w:rsidRDefault="008769EF" w:rsidP="008769EF">
      <w:r>
        <w:t>The operator will edit the following slots on the Other Slots tab of the SCT:</w:t>
      </w:r>
    </w:p>
    <w:p w14:paraId="1117C358" w14:textId="70610E0D" w:rsidR="00382855" w:rsidRDefault="00D917D3" w:rsidP="00382855">
      <w:pPr>
        <w:pStyle w:val="TableTitle"/>
      </w:pPr>
      <w:r>
        <w:t xml:space="preserve">Periodic and Table </w:t>
      </w:r>
      <w:r w:rsidR="00382855">
        <w:t>Slots</w:t>
      </w:r>
      <w:r>
        <w:t xml:space="preserve"> to consider modifying</w:t>
      </w:r>
    </w:p>
    <w:p w14:paraId="57ADCDA0" w14:textId="77777777" w:rsidR="00382855" w:rsidRPr="00382855" w:rsidRDefault="00382855" w:rsidP="00382855">
      <w:pPr>
        <w:pStyle w:val="TableAnchor"/>
      </w:pPr>
    </w:p>
    <w:tbl>
      <w:tblPr>
        <w:tblStyle w:val="GridTable1Light-Accent2"/>
        <w:tblW w:w="9350" w:type="dxa"/>
        <w:tblLayout w:type="fixed"/>
        <w:tblLook w:val="0400" w:firstRow="0" w:lastRow="0" w:firstColumn="0" w:lastColumn="0" w:noHBand="0" w:noVBand="1"/>
      </w:tblPr>
      <w:tblGrid>
        <w:gridCol w:w="3235"/>
        <w:gridCol w:w="2998"/>
        <w:gridCol w:w="3117"/>
      </w:tblGrid>
      <w:tr w:rsidR="008769EF" w14:paraId="012D09A1" w14:textId="77777777" w:rsidTr="00D917D3">
        <w:tc>
          <w:tcPr>
            <w:tcW w:w="3235" w:type="dxa"/>
          </w:tcPr>
          <w:p w14:paraId="589CFF06" w14:textId="77777777" w:rsidR="008769EF" w:rsidRDefault="008769EF" w:rsidP="004949B0">
            <w:pPr>
              <w:jc w:val="center"/>
              <w:rPr>
                <w:b/>
              </w:rPr>
            </w:pPr>
            <w:r>
              <w:rPr>
                <w:b/>
              </w:rPr>
              <w:t>Demand Forecasts</w:t>
            </w:r>
          </w:p>
        </w:tc>
        <w:tc>
          <w:tcPr>
            <w:tcW w:w="2998" w:type="dxa"/>
          </w:tcPr>
          <w:p w14:paraId="19F05B9A" w14:textId="77777777" w:rsidR="008769EF" w:rsidRDefault="008769EF" w:rsidP="004949B0">
            <w:pPr>
              <w:jc w:val="center"/>
              <w:rPr>
                <w:b/>
              </w:rPr>
            </w:pPr>
            <w:r>
              <w:rPr>
                <w:b/>
              </w:rPr>
              <w:t>Accretion Forecasts</w:t>
            </w:r>
          </w:p>
        </w:tc>
        <w:tc>
          <w:tcPr>
            <w:tcW w:w="3117" w:type="dxa"/>
          </w:tcPr>
          <w:p w14:paraId="34F6F54B" w14:textId="77777777" w:rsidR="008769EF" w:rsidRDefault="008769EF" w:rsidP="004949B0">
            <w:pPr>
              <w:jc w:val="center"/>
              <w:rPr>
                <w:b/>
              </w:rPr>
            </w:pPr>
            <w:r>
              <w:rPr>
                <w:b/>
              </w:rPr>
              <w:t>Other</w:t>
            </w:r>
          </w:p>
        </w:tc>
      </w:tr>
      <w:tr w:rsidR="008769EF" w14:paraId="5B0B40A8" w14:textId="77777777" w:rsidTr="00D917D3">
        <w:tc>
          <w:tcPr>
            <w:tcW w:w="3235" w:type="dxa"/>
          </w:tcPr>
          <w:p w14:paraId="37D70EA0" w14:textId="77777777" w:rsidR="008769EF" w:rsidRDefault="008769EF" w:rsidP="004949B0">
            <w:r>
              <w:lastRenderedPageBreak/>
              <w:t xml:space="preserve">A </w:t>
            </w:r>
            <w:proofErr w:type="spellStart"/>
            <w:r>
              <w:t>Canal.Seasonal</w:t>
            </w:r>
            <w:proofErr w:type="spellEnd"/>
            <w:r>
              <w:t xml:space="preserve"> Supply and </w:t>
            </w:r>
            <w:proofErr w:type="spellStart"/>
            <w:r>
              <w:t>Adj</w:t>
            </w:r>
            <w:proofErr w:type="spellEnd"/>
          </w:p>
        </w:tc>
        <w:tc>
          <w:tcPr>
            <w:tcW w:w="2998" w:type="dxa"/>
          </w:tcPr>
          <w:p w14:paraId="5058DF40" w14:textId="77777777" w:rsidR="008769EF" w:rsidRDefault="008769EF" w:rsidP="004949B0">
            <w:r>
              <w:t xml:space="preserve">F and FF </w:t>
            </w:r>
            <w:proofErr w:type="spellStart"/>
            <w:r>
              <w:t>Pump.Exceedance</w:t>
            </w:r>
            <w:proofErr w:type="spellEnd"/>
            <w:r>
              <w:t xml:space="preserve"> and </w:t>
            </w:r>
            <w:proofErr w:type="spellStart"/>
            <w:r>
              <w:t>Adj</w:t>
            </w:r>
            <w:proofErr w:type="spellEnd"/>
          </w:p>
        </w:tc>
        <w:tc>
          <w:tcPr>
            <w:tcW w:w="3117" w:type="dxa"/>
          </w:tcPr>
          <w:p w14:paraId="7C79785B" w14:textId="77777777" w:rsidR="008769EF" w:rsidRDefault="008769EF" w:rsidP="004949B0">
            <w:proofErr w:type="spellStart"/>
            <w:r>
              <w:t>Dashboard.Climate</w:t>
            </w:r>
            <w:proofErr w:type="spellEnd"/>
          </w:p>
        </w:tc>
      </w:tr>
      <w:tr w:rsidR="008769EF" w14:paraId="2BC0882B" w14:textId="77777777" w:rsidTr="00D917D3">
        <w:tc>
          <w:tcPr>
            <w:tcW w:w="3235" w:type="dxa"/>
          </w:tcPr>
          <w:p w14:paraId="59BC41C6" w14:textId="77777777" w:rsidR="008769EF" w:rsidRDefault="008769EF" w:rsidP="004949B0">
            <w:r>
              <w:t xml:space="preserve">Station 48.Seasonal Supply and </w:t>
            </w:r>
            <w:proofErr w:type="spellStart"/>
            <w:r>
              <w:t>Adj</w:t>
            </w:r>
            <w:proofErr w:type="spellEnd"/>
          </w:p>
        </w:tc>
        <w:tc>
          <w:tcPr>
            <w:tcW w:w="2998" w:type="dxa"/>
          </w:tcPr>
          <w:p w14:paraId="2634337B" w14:textId="77777777" w:rsidR="008769EF" w:rsidRDefault="008769EF" w:rsidP="004949B0">
            <w:r>
              <w:t xml:space="preserve">Lost River Diversion </w:t>
            </w:r>
            <w:proofErr w:type="spellStart"/>
            <w:r>
              <w:t>Channel.Exceedance</w:t>
            </w:r>
            <w:proofErr w:type="spellEnd"/>
            <w:r>
              <w:t xml:space="preserve"> and </w:t>
            </w:r>
            <w:proofErr w:type="spellStart"/>
            <w:r>
              <w:t>Adj</w:t>
            </w:r>
            <w:proofErr w:type="spellEnd"/>
          </w:p>
        </w:tc>
        <w:tc>
          <w:tcPr>
            <w:tcW w:w="3117" w:type="dxa"/>
          </w:tcPr>
          <w:p w14:paraId="3BA7B466" w14:textId="77777777" w:rsidR="008769EF" w:rsidRDefault="008769EF" w:rsidP="004949B0">
            <w:proofErr w:type="spellStart"/>
            <w:r>
              <w:t>UKL.Inflow</w:t>
            </w:r>
            <w:proofErr w:type="spellEnd"/>
            <w:r>
              <w:t xml:space="preserve"> </w:t>
            </w:r>
            <w:proofErr w:type="spellStart"/>
            <w:r>
              <w:t>Adj</w:t>
            </w:r>
            <w:proofErr w:type="spellEnd"/>
          </w:p>
        </w:tc>
      </w:tr>
      <w:tr w:rsidR="008769EF" w14:paraId="0696DFEE" w14:textId="77777777" w:rsidTr="00D917D3">
        <w:tc>
          <w:tcPr>
            <w:tcW w:w="3235" w:type="dxa"/>
          </w:tcPr>
          <w:p w14:paraId="1434AEAB" w14:textId="77777777" w:rsidR="008769EF" w:rsidRDefault="008769EF" w:rsidP="004949B0">
            <w:r>
              <w:t xml:space="preserve">Miller Hill </w:t>
            </w:r>
            <w:proofErr w:type="spellStart"/>
            <w:r>
              <w:t>Pump.Seasonal</w:t>
            </w:r>
            <w:proofErr w:type="spellEnd"/>
            <w:r>
              <w:t xml:space="preserve"> Supply and </w:t>
            </w:r>
            <w:proofErr w:type="spellStart"/>
            <w:r>
              <w:t>Adj</w:t>
            </w:r>
            <w:proofErr w:type="spellEnd"/>
          </w:p>
        </w:tc>
        <w:tc>
          <w:tcPr>
            <w:tcW w:w="2998" w:type="dxa"/>
          </w:tcPr>
          <w:p w14:paraId="441D8FD1" w14:textId="77777777" w:rsidR="008769EF" w:rsidRDefault="008769EF" w:rsidP="004949B0">
            <w:r>
              <w:t xml:space="preserve">Lake </w:t>
            </w:r>
            <w:proofErr w:type="spellStart"/>
            <w:r>
              <w:t>Ewuana</w:t>
            </w:r>
            <w:proofErr w:type="spellEnd"/>
            <w:r>
              <w:t xml:space="preserve"> </w:t>
            </w:r>
            <w:proofErr w:type="spellStart"/>
            <w:r>
              <w:t>Gain.Exceedance</w:t>
            </w:r>
            <w:proofErr w:type="spellEnd"/>
            <w:r>
              <w:t xml:space="preserve"> and </w:t>
            </w:r>
            <w:proofErr w:type="spellStart"/>
            <w:r>
              <w:t>Adj</w:t>
            </w:r>
            <w:proofErr w:type="spellEnd"/>
          </w:p>
        </w:tc>
        <w:tc>
          <w:tcPr>
            <w:tcW w:w="3117" w:type="dxa"/>
          </w:tcPr>
          <w:p w14:paraId="3D231985" w14:textId="77777777" w:rsidR="008769EF" w:rsidRDefault="008769EF" w:rsidP="004949B0">
            <w:r>
              <w:t xml:space="preserve">F and FF </w:t>
            </w:r>
            <w:proofErr w:type="spellStart"/>
            <w:r>
              <w:t>Pump.Contribution</w:t>
            </w:r>
            <w:proofErr w:type="spellEnd"/>
            <w:r>
              <w:t xml:space="preserve"> Percent</w:t>
            </w:r>
          </w:p>
        </w:tc>
      </w:tr>
      <w:tr w:rsidR="008769EF" w14:paraId="22B91502" w14:textId="77777777" w:rsidTr="00D917D3">
        <w:tc>
          <w:tcPr>
            <w:tcW w:w="3235" w:type="dxa"/>
          </w:tcPr>
          <w:p w14:paraId="6519746B" w14:textId="77777777" w:rsidR="008769EF" w:rsidRDefault="008769EF" w:rsidP="004949B0">
            <w:proofErr w:type="spellStart"/>
            <w:r>
              <w:t>Ady</w:t>
            </w:r>
            <w:proofErr w:type="spellEnd"/>
            <w:r>
              <w:t xml:space="preserve"> </w:t>
            </w:r>
            <w:proofErr w:type="spellStart"/>
            <w:r>
              <w:t>Canal.Seasonal</w:t>
            </w:r>
            <w:proofErr w:type="spellEnd"/>
            <w:r>
              <w:t xml:space="preserve"> Supply and </w:t>
            </w:r>
            <w:proofErr w:type="spellStart"/>
            <w:r>
              <w:t>Adj</w:t>
            </w:r>
            <w:proofErr w:type="spellEnd"/>
          </w:p>
        </w:tc>
        <w:tc>
          <w:tcPr>
            <w:tcW w:w="2998" w:type="dxa"/>
          </w:tcPr>
          <w:p w14:paraId="1C94073D" w14:textId="77777777" w:rsidR="008769EF" w:rsidRDefault="008769EF" w:rsidP="004949B0">
            <w:r>
              <w:t xml:space="preserve">Keno to IGD </w:t>
            </w:r>
            <w:proofErr w:type="spellStart"/>
            <w:r>
              <w:t>Gain.Exceedance</w:t>
            </w:r>
            <w:proofErr w:type="spellEnd"/>
            <w:r>
              <w:t xml:space="preserve"> and </w:t>
            </w:r>
            <w:proofErr w:type="spellStart"/>
            <w:r>
              <w:t>Adj</w:t>
            </w:r>
            <w:proofErr w:type="spellEnd"/>
          </w:p>
        </w:tc>
        <w:tc>
          <w:tcPr>
            <w:tcW w:w="3117" w:type="dxa"/>
          </w:tcPr>
          <w:p w14:paraId="75E664E1" w14:textId="77777777" w:rsidR="008769EF" w:rsidRDefault="008769EF" w:rsidP="004949B0">
            <w:r>
              <w:t xml:space="preserve">Lost River Diversion </w:t>
            </w:r>
            <w:proofErr w:type="spellStart"/>
            <w:r>
              <w:t>Channel.Contribution</w:t>
            </w:r>
            <w:proofErr w:type="spellEnd"/>
            <w:r>
              <w:t xml:space="preserve"> Percent</w:t>
            </w:r>
          </w:p>
        </w:tc>
      </w:tr>
      <w:tr w:rsidR="008769EF" w14:paraId="1DDAD12D" w14:textId="77777777" w:rsidTr="00D917D3">
        <w:tc>
          <w:tcPr>
            <w:tcW w:w="3235" w:type="dxa"/>
          </w:tcPr>
          <w:p w14:paraId="3167BE93" w14:textId="77777777" w:rsidR="008769EF" w:rsidRDefault="008769EF" w:rsidP="004949B0">
            <w:r>
              <w:t xml:space="preserve">North </w:t>
            </w:r>
            <w:proofErr w:type="spellStart"/>
            <w:r>
              <w:t>Canal.Seasonal</w:t>
            </w:r>
            <w:proofErr w:type="spellEnd"/>
            <w:r>
              <w:t xml:space="preserve"> Supply and </w:t>
            </w:r>
            <w:proofErr w:type="spellStart"/>
            <w:r>
              <w:t>Adj</w:t>
            </w:r>
            <w:proofErr w:type="spellEnd"/>
          </w:p>
        </w:tc>
        <w:tc>
          <w:tcPr>
            <w:tcW w:w="2998" w:type="dxa"/>
          </w:tcPr>
          <w:p w14:paraId="7406E6DD" w14:textId="77777777" w:rsidR="008769EF" w:rsidRDefault="008769EF" w:rsidP="004949B0"/>
        </w:tc>
        <w:tc>
          <w:tcPr>
            <w:tcW w:w="3117" w:type="dxa"/>
          </w:tcPr>
          <w:p w14:paraId="47D3A7D7" w14:textId="77777777" w:rsidR="008769EF" w:rsidRDefault="008769EF" w:rsidP="004949B0">
            <w:proofErr w:type="spellStart"/>
            <w:r>
              <w:t>Dashboard.NRCS</w:t>
            </w:r>
            <w:proofErr w:type="spellEnd"/>
            <w:r>
              <w:t xml:space="preserve"> Forecast Table</w:t>
            </w:r>
          </w:p>
        </w:tc>
      </w:tr>
      <w:tr w:rsidR="008769EF" w14:paraId="46D3F3C4" w14:textId="77777777" w:rsidTr="00D917D3">
        <w:tc>
          <w:tcPr>
            <w:tcW w:w="3235" w:type="dxa"/>
          </w:tcPr>
          <w:p w14:paraId="6E977EAA" w14:textId="77777777" w:rsidR="008769EF" w:rsidRDefault="008769EF" w:rsidP="004949B0">
            <w:r>
              <w:t xml:space="preserve">F and FF </w:t>
            </w:r>
            <w:proofErr w:type="spellStart"/>
            <w:r>
              <w:t>Pump.Seasonal</w:t>
            </w:r>
            <w:proofErr w:type="spellEnd"/>
            <w:r>
              <w:t xml:space="preserve"> Supply and </w:t>
            </w:r>
            <w:proofErr w:type="spellStart"/>
            <w:r>
              <w:t>Adj</w:t>
            </w:r>
            <w:proofErr w:type="spellEnd"/>
          </w:p>
        </w:tc>
        <w:tc>
          <w:tcPr>
            <w:tcW w:w="2998" w:type="dxa"/>
          </w:tcPr>
          <w:p w14:paraId="44E33F5C" w14:textId="77777777" w:rsidR="008769EF" w:rsidRDefault="008769EF" w:rsidP="004949B0"/>
        </w:tc>
        <w:tc>
          <w:tcPr>
            <w:tcW w:w="3117" w:type="dxa"/>
          </w:tcPr>
          <w:p w14:paraId="5D029326" w14:textId="77777777" w:rsidR="008769EF" w:rsidRDefault="008769EF" w:rsidP="004949B0">
            <w:proofErr w:type="spellStart"/>
            <w:r>
              <w:t>Dashboard.Supply</w:t>
            </w:r>
            <w:proofErr w:type="spellEnd"/>
            <w:r>
              <w:t xml:space="preserve"> Considerations</w:t>
            </w:r>
          </w:p>
        </w:tc>
      </w:tr>
      <w:tr w:rsidR="008769EF" w14:paraId="3C8A68F1" w14:textId="77777777" w:rsidTr="00D917D3">
        <w:tc>
          <w:tcPr>
            <w:tcW w:w="3235" w:type="dxa"/>
          </w:tcPr>
          <w:p w14:paraId="4C3B93AC" w14:textId="77777777" w:rsidR="008769EF" w:rsidRDefault="008769EF" w:rsidP="004949B0">
            <w:r>
              <w:t xml:space="preserve">Lost River Diversion </w:t>
            </w:r>
            <w:proofErr w:type="spellStart"/>
            <w:r>
              <w:t>Channel.Seasonal</w:t>
            </w:r>
            <w:proofErr w:type="spellEnd"/>
            <w:r>
              <w:t xml:space="preserve"> Supply and </w:t>
            </w:r>
            <w:proofErr w:type="spellStart"/>
            <w:r>
              <w:t>Adj</w:t>
            </w:r>
            <w:proofErr w:type="spellEnd"/>
          </w:p>
        </w:tc>
        <w:tc>
          <w:tcPr>
            <w:tcW w:w="2998" w:type="dxa"/>
          </w:tcPr>
          <w:p w14:paraId="249D15C9" w14:textId="77777777" w:rsidR="008769EF" w:rsidRDefault="008769EF" w:rsidP="004949B0"/>
        </w:tc>
        <w:tc>
          <w:tcPr>
            <w:tcW w:w="3117" w:type="dxa"/>
          </w:tcPr>
          <w:p w14:paraId="395993DD" w14:textId="77777777" w:rsidR="008769EF" w:rsidRDefault="008769EF" w:rsidP="004949B0">
            <w:pPr>
              <w:rPr>
                <w:b/>
              </w:rPr>
            </w:pPr>
          </w:p>
        </w:tc>
      </w:tr>
      <w:tr w:rsidR="008769EF" w14:paraId="11E00D2A" w14:textId="77777777" w:rsidTr="00D917D3">
        <w:tc>
          <w:tcPr>
            <w:tcW w:w="3235" w:type="dxa"/>
          </w:tcPr>
          <w:p w14:paraId="24E8AF5B" w14:textId="77777777" w:rsidR="008769EF" w:rsidRDefault="008769EF" w:rsidP="004949B0">
            <w:proofErr w:type="spellStart"/>
            <w:r>
              <w:t>Dashboard.Agricultural</w:t>
            </w:r>
            <w:proofErr w:type="spellEnd"/>
            <w:r>
              <w:t xml:space="preserve"> </w:t>
            </w:r>
            <w:proofErr w:type="spellStart"/>
            <w:r>
              <w:t>Adj</w:t>
            </w:r>
            <w:proofErr w:type="spellEnd"/>
          </w:p>
        </w:tc>
        <w:tc>
          <w:tcPr>
            <w:tcW w:w="2998" w:type="dxa"/>
          </w:tcPr>
          <w:p w14:paraId="0D9C0CAE" w14:textId="77777777" w:rsidR="008769EF" w:rsidRDefault="008769EF" w:rsidP="004949B0"/>
        </w:tc>
        <w:tc>
          <w:tcPr>
            <w:tcW w:w="3117" w:type="dxa"/>
          </w:tcPr>
          <w:p w14:paraId="369F21CA" w14:textId="77777777" w:rsidR="008769EF" w:rsidRDefault="008769EF" w:rsidP="004949B0">
            <w:pPr>
              <w:rPr>
                <w:b/>
              </w:rPr>
            </w:pPr>
          </w:p>
        </w:tc>
      </w:tr>
    </w:tbl>
    <w:p w14:paraId="69DEA69A" w14:textId="4208CC32" w:rsidR="008769EF" w:rsidRPr="0052345F" w:rsidRDefault="0052345F" w:rsidP="008769EF">
      <w:pPr>
        <w:rPr>
          <w:b/>
        </w:rPr>
      </w:pPr>
      <w:r w:rsidRPr="0052345F">
        <w:t xml:space="preserve">The following </w:t>
      </w:r>
      <w:r>
        <w:t xml:space="preserve">items </w:t>
      </w:r>
      <w:r w:rsidRPr="0052345F">
        <w:t>are notes on this process:</w:t>
      </w:r>
    </w:p>
    <w:p w14:paraId="1DAA57F6" w14:textId="77777777" w:rsidR="008769EF" w:rsidRPr="00533FA2" w:rsidRDefault="008769EF" w:rsidP="008769EF">
      <w:pPr>
        <w:numPr>
          <w:ilvl w:val="0"/>
          <w:numId w:val="27"/>
        </w:numPr>
        <w:pBdr>
          <w:top w:val="nil"/>
          <w:left w:val="nil"/>
          <w:bottom w:val="nil"/>
          <w:right w:val="nil"/>
          <w:between w:val="nil"/>
        </w:pBdr>
        <w:spacing w:before="0" w:line="259" w:lineRule="auto"/>
        <w:rPr>
          <w:rFonts w:cs="Times New Roman"/>
          <w:b/>
          <w:color w:val="000000"/>
        </w:rPr>
      </w:pPr>
      <w:r w:rsidRPr="00533FA2">
        <w:rPr>
          <w:rFonts w:eastAsia="Calibri" w:cs="Times New Roman"/>
          <w:color w:val="000000"/>
        </w:rPr>
        <w:t xml:space="preserve">Demand Forecasts have two tiers for adjustments. The first tier adjusts canals or offsets individually, which are available in the Seasonal Supply and </w:t>
      </w:r>
      <w:proofErr w:type="spellStart"/>
      <w:r w:rsidRPr="00533FA2">
        <w:rPr>
          <w:rFonts w:eastAsia="Calibri" w:cs="Times New Roman"/>
          <w:color w:val="000000"/>
        </w:rPr>
        <w:t>Adj</w:t>
      </w:r>
      <w:proofErr w:type="spellEnd"/>
      <w:r w:rsidRPr="00533FA2">
        <w:rPr>
          <w:rFonts w:eastAsia="Calibri" w:cs="Times New Roman"/>
          <w:color w:val="000000"/>
        </w:rPr>
        <w:t xml:space="preserve"> slots. The operator sets the seasonal volume to distribute in the first column and the adjustment to the distribution volume in the second. The second tier adjusts the distribution from UKL for all canals, which is available in the Dashboard’s Agricultural </w:t>
      </w:r>
      <w:proofErr w:type="spellStart"/>
      <w:r w:rsidRPr="00533FA2">
        <w:rPr>
          <w:rFonts w:eastAsia="Calibri" w:cs="Times New Roman"/>
          <w:color w:val="000000"/>
        </w:rPr>
        <w:t>Adj</w:t>
      </w:r>
      <w:proofErr w:type="spellEnd"/>
      <w:r w:rsidRPr="00533FA2">
        <w:rPr>
          <w:rFonts w:eastAsia="Calibri" w:cs="Times New Roman"/>
          <w:color w:val="000000"/>
        </w:rPr>
        <w:t xml:space="preserve"> slot. The operator sets the adjustment in the first column and the last date of application in the second column. By default, there are six rows for six adjustments and dates. The operator considers historical demands, current hydrology, and their own judgement to set these slots. </w:t>
      </w:r>
    </w:p>
    <w:p w14:paraId="2AFD2F11" w14:textId="77777777" w:rsidR="008769EF" w:rsidRPr="00533FA2" w:rsidRDefault="008769EF" w:rsidP="008769EF">
      <w:pPr>
        <w:numPr>
          <w:ilvl w:val="0"/>
          <w:numId w:val="27"/>
        </w:numPr>
        <w:pBdr>
          <w:top w:val="nil"/>
          <w:left w:val="nil"/>
          <w:bottom w:val="nil"/>
          <w:right w:val="nil"/>
          <w:between w:val="nil"/>
        </w:pBdr>
        <w:spacing w:before="0" w:line="259" w:lineRule="auto"/>
        <w:rPr>
          <w:rFonts w:cs="Times New Roman"/>
          <w:b/>
          <w:color w:val="000000"/>
        </w:rPr>
      </w:pPr>
      <w:r w:rsidRPr="00533FA2">
        <w:rPr>
          <w:rFonts w:eastAsia="Calibri" w:cs="Times New Roman"/>
          <w:color w:val="000000"/>
        </w:rPr>
        <w:t xml:space="preserve">Accretion Forecasts only have local adjustments, which are available in the Exceedance and </w:t>
      </w:r>
      <w:proofErr w:type="spellStart"/>
      <w:r w:rsidRPr="00533FA2">
        <w:rPr>
          <w:rFonts w:eastAsia="Calibri" w:cs="Times New Roman"/>
          <w:color w:val="000000"/>
        </w:rPr>
        <w:t>Adj</w:t>
      </w:r>
      <w:proofErr w:type="spellEnd"/>
      <w:r w:rsidRPr="00533FA2">
        <w:rPr>
          <w:rFonts w:eastAsia="Calibri" w:cs="Times New Roman"/>
          <w:color w:val="000000"/>
        </w:rPr>
        <w:t xml:space="preserve"> slots. The operator sets the exceedance percent in the first column, adjustment factor in the second column, and duration in the third column. These are set for short and long periods, which are also the names of the rows. Additionally, there is a row named default. For this row, the operator only sets the exceedance percent. The operator considers historical accretions, current hydrology, and their own judgement to set these slots.</w:t>
      </w:r>
    </w:p>
    <w:p w14:paraId="4E036994" w14:textId="77777777" w:rsidR="008769EF" w:rsidRPr="00533FA2" w:rsidRDefault="008769EF" w:rsidP="008769EF">
      <w:pPr>
        <w:numPr>
          <w:ilvl w:val="0"/>
          <w:numId w:val="27"/>
        </w:numPr>
        <w:pBdr>
          <w:top w:val="nil"/>
          <w:left w:val="nil"/>
          <w:bottom w:val="nil"/>
          <w:right w:val="nil"/>
          <w:between w:val="nil"/>
        </w:pBdr>
        <w:spacing w:before="0" w:line="259" w:lineRule="auto"/>
        <w:rPr>
          <w:rFonts w:cs="Times New Roman"/>
          <w:b/>
          <w:color w:val="000000"/>
        </w:rPr>
      </w:pPr>
      <w:r w:rsidRPr="00533FA2">
        <w:rPr>
          <w:rFonts w:eastAsia="Calibri" w:cs="Times New Roman"/>
          <w:color w:val="000000"/>
        </w:rPr>
        <w:t xml:space="preserve">The operator sets Dashboard’s Climate slot to either “Dry” or “Wet” for each month in the run period. For January through September, </w:t>
      </w:r>
      <w:r w:rsidRPr="00533FA2">
        <w:rPr>
          <w:rFonts w:cs="Times New Roman"/>
        </w:rPr>
        <w:t>they</w:t>
      </w:r>
      <w:r w:rsidRPr="00533FA2">
        <w:rPr>
          <w:rFonts w:eastAsia="Calibri" w:cs="Times New Roman"/>
          <w:color w:val="000000"/>
        </w:rPr>
        <w:t xml:space="preserve"> choose the condition based on the NRCS Inflow Forecast. For November thru December, the operator uses personal judgement based on recent observations and other available forecasts.</w:t>
      </w:r>
    </w:p>
    <w:p w14:paraId="25553EED" w14:textId="77777777" w:rsidR="00533FA2" w:rsidRDefault="008769EF" w:rsidP="00533FA2">
      <w:pPr>
        <w:numPr>
          <w:ilvl w:val="0"/>
          <w:numId w:val="27"/>
        </w:numPr>
        <w:pBdr>
          <w:top w:val="nil"/>
          <w:left w:val="nil"/>
          <w:bottom w:val="nil"/>
          <w:right w:val="nil"/>
          <w:between w:val="nil"/>
        </w:pBdr>
        <w:spacing w:before="0" w:line="259" w:lineRule="auto"/>
        <w:rPr>
          <w:rFonts w:cs="Times New Roman"/>
        </w:rPr>
      </w:pPr>
      <w:r w:rsidRPr="00533FA2">
        <w:rPr>
          <w:rFonts w:eastAsia="Calibri" w:cs="Times New Roman"/>
          <w:color w:val="000000"/>
        </w:rPr>
        <w:t xml:space="preserve">UKL’s Inflow Adjustment slot has two columns, one for the adjustment factor and the other for the duration. The operator sets these for five periods, which are specified by the row names. The NRCS Inflow Forecast, recent hydrology, and personal judgement are factors the operator considers to set these values. </w:t>
      </w:r>
    </w:p>
    <w:p w14:paraId="457EEC3C" w14:textId="525BE390" w:rsidR="00533FA2" w:rsidRPr="00533FA2" w:rsidRDefault="008769EF" w:rsidP="00533FA2">
      <w:pPr>
        <w:numPr>
          <w:ilvl w:val="0"/>
          <w:numId w:val="27"/>
        </w:numPr>
        <w:pBdr>
          <w:top w:val="nil"/>
          <w:left w:val="nil"/>
          <w:bottom w:val="nil"/>
          <w:right w:val="nil"/>
          <w:between w:val="nil"/>
        </w:pBdr>
        <w:spacing w:before="0" w:line="259" w:lineRule="auto"/>
        <w:rPr>
          <w:rFonts w:cs="Times New Roman"/>
        </w:rPr>
      </w:pPr>
      <w:r w:rsidRPr="00533FA2">
        <w:rPr>
          <w:rFonts w:eastAsia="Calibri" w:cs="Times New Roman"/>
          <w:color w:val="000000"/>
        </w:rPr>
        <w:t xml:space="preserve">The operator sets the Contribution Percent from F/FF Pump and LRDC for each month from March thru November. Based on expected water availability and demands, the operator selects fractions that represent the portion of the accretions will reach IGD from the two locations. </w:t>
      </w:r>
    </w:p>
    <w:p w14:paraId="59AD2EFB" w14:textId="2503B0C5" w:rsidR="008769EF" w:rsidRDefault="008769EF" w:rsidP="00D52031">
      <w:pPr>
        <w:numPr>
          <w:ilvl w:val="0"/>
          <w:numId w:val="27"/>
        </w:numPr>
        <w:pBdr>
          <w:top w:val="nil"/>
          <w:left w:val="nil"/>
          <w:bottom w:val="nil"/>
          <w:right w:val="nil"/>
          <w:between w:val="nil"/>
        </w:pBdr>
        <w:spacing w:before="0" w:after="160" w:line="259" w:lineRule="auto"/>
      </w:pPr>
      <w:r>
        <w:t xml:space="preserve">The operator sets the columns in NRCS Forecast Table and Supply Considerations slots based on the availability of forecast products from the NRCS. The NRCS release forecasts from January thru June, usually on a bi-monthly basis. Each forecast is input to a separate row. For each </w:t>
      </w:r>
      <w:r>
        <w:lastRenderedPageBreak/>
        <w:t>forecast the operator inputs, they also input the date and other column values in the same row. The operator uses personal judgement based on the forecasts or recent hydrology to determine the other inputs. No rows should have empty values. Thus, the operator can delete or add rows with Delete or Append Rows respectively. The column values the operator needs to input are as follows</w:t>
      </w:r>
      <w:r w:rsidR="00C4394A">
        <w:t xml:space="preserve"> in </w:t>
      </w:r>
      <w:r w:rsidR="00C4394A">
        <w:fldChar w:fldCharType="begin"/>
      </w:r>
      <w:r w:rsidR="00C4394A">
        <w:instrText xml:space="preserve"> REF _Ref50957031 \r \h </w:instrText>
      </w:r>
      <w:r w:rsidR="00C4394A">
        <w:fldChar w:fldCharType="separate"/>
      </w:r>
      <w:r w:rsidR="00170C2A">
        <w:t xml:space="preserve">Table 9. </w:t>
      </w:r>
      <w:r w:rsidR="00C4394A">
        <w:fldChar w:fldCharType="end"/>
      </w:r>
      <w:r>
        <w:t>:</w:t>
      </w:r>
    </w:p>
    <w:p w14:paraId="63F048D2" w14:textId="171AF2CE" w:rsidR="008769EF" w:rsidRDefault="00C4394A" w:rsidP="00382855">
      <w:pPr>
        <w:pStyle w:val="TableTitle"/>
      </w:pPr>
      <w:bookmarkStart w:id="109" w:name="_Ref50957031"/>
      <w:r>
        <w:t>Columns and values to input in the NRCS Forecast Table and Supply Considerations slots</w:t>
      </w:r>
    </w:p>
    <w:bookmarkEnd w:id="109"/>
    <w:p w14:paraId="0B59FE65" w14:textId="77777777" w:rsidR="00382855" w:rsidRPr="00382855" w:rsidRDefault="00382855" w:rsidP="00382855">
      <w:pPr>
        <w:pStyle w:val="TableAnchor"/>
      </w:pPr>
    </w:p>
    <w:tbl>
      <w:tblPr>
        <w:tblStyle w:val="GridTable1Light-Accent2"/>
        <w:tblW w:w="8640" w:type="dxa"/>
        <w:tblLayout w:type="fixed"/>
        <w:tblLook w:val="0600" w:firstRow="0" w:lastRow="0" w:firstColumn="0" w:lastColumn="0" w:noHBand="1" w:noVBand="1"/>
      </w:tblPr>
      <w:tblGrid>
        <w:gridCol w:w="4320"/>
        <w:gridCol w:w="4320"/>
      </w:tblGrid>
      <w:tr w:rsidR="008769EF" w14:paraId="189507F2" w14:textId="77777777" w:rsidTr="00D917D3">
        <w:tc>
          <w:tcPr>
            <w:tcW w:w="4320" w:type="dxa"/>
          </w:tcPr>
          <w:p w14:paraId="142680E0" w14:textId="77777777" w:rsidR="008769EF" w:rsidRDefault="008769EF" w:rsidP="004949B0">
            <w:pPr>
              <w:widowControl w:val="0"/>
              <w:pBdr>
                <w:top w:val="nil"/>
                <w:left w:val="nil"/>
                <w:bottom w:val="nil"/>
                <w:right w:val="nil"/>
                <w:between w:val="nil"/>
              </w:pBdr>
              <w:jc w:val="center"/>
              <w:rPr>
                <w:b/>
              </w:rPr>
            </w:pPr>
            <w:r>
              <w:rPr>
                <w:b/>
              </w:rPr>
              <w:t>NRCS Forecast Table</w:t>
            </w:r>
          </w:p>
        </w:tc>
        <w:tc>
          <w:tcPr>
            <w:tcW w:w="4320" w:type="dxa"/>
          </w:tcPr>
          <w:p w14:paraId="242ACA06" w14:textId="77777777" w:rsidR="008769EF" w:rsidRDefault="008769EF" w:rsidP="004949B0">
            <w:pPr>
              <w:widowControl w:val="0"/>
              <w:pBdr>
                <w:top w:val="nil"/>
                <w:left w:val="nil"/>
                <w:bottom w:val="nil"/>
                <w:right w:val="nil"/>
                <w:between w:val="nil"/>
              </w:pBdr>
              <w:jc w:val="center"/>
              <w:rPr>
                <w:b/>
              </w:rPr>
            </w:pPr>
            <w:r>
              <w:rPr>
                <w:b/>
              </w:rPr>
              <w:t>Supply Considerations</w:t>
            </w:r>
          </w:p>
        </w:tc>
      </w:tr>
      <w:tr w:rsidR="008769EF" w14:paraId="1E0CC723" w14:textId="77777777" w:rsidTr="00D917D3">
        <w:tc>
          <w:tcPr>
            <w:tcW w:w="4320" w:type="dxa"/>
          </w:tcPr>
          <w:p w14:paraId="285E987F" w14:textId="77777777" w:rsidR="008769EF" w:rsidRDefault="008769EF" w:rsidP="004949B0">
            <w:pPr>
              <w:widowControl w:val="0"/>
              <w:pBdr>
                <w:top w:val="nil"/>
                <w:left w:val="nil"/>
                <w:bottom w:val="nil"/>
                <w:right w:val="nil"/>
                <w:between w:val="nil"/>
              </w:pBdr>
              <w:jc w:val="center"/>
            </w:pPr>
            <w:r>
              <w:t>Iron Gate Target Date</w:t>
            </w:r>
          </w:p>
        </w:tc>
        <w:tc>
          <w:tcPr>
            <w:tcW w:w="4320" w:type="dxa"/>
          </w:tcPr>
          <w:p w14:paraId="500D01D9" w14:textId="77777777" w:rsidR="008769EF" w:rsidRDefault="008769EF" w:rsidP="004949B0">
            <w:pPr>
              <w:widowControl w:val="0"/>
              <w:pBdr>
                <w:top w:val="nil"/>
                <w:left w:val="nil"/>
                <w:bottom w:val="nil"/>
                <w:right w:val="nil"/>
                <w:between w:val="nil"/>
              </w:pBdr>
              <w:jc w:val="center"/>
            </w:pPr>
            <w:r>
              <w:t>Iron Gate Target Date</w:t>
            </w:r>
          </w:p>
        </w:tc>
      </w:tr>
      <w:tr w:rsidR="008769EF" w14:paraId="166B3523" w14:textId="77777777" w:rsidTr="00D917D3">
        <w:tc>
          <w:tcPr>
            <w:tcW w:w="4320" w:type="dxa"/>
          </w:tcPr>
          <w:p w14:paraId="6B40535E" w14:textId="77777777" w:rsidR="008769EF" w:rsidRDefault="008769EF" w:rsidP="004949B0">
            <w:pPr>
              <w:widowControl w:val="0"/>
              <w:pBdr>
                <w:top w:val="nil"/>
                <w:left w:val="nil"/>
                <w:bottom w:val="nil"/>
                <w:right w:val="nil"/>
                <w:between w:val="nil"/>
              </w:pBdr>
              <w:jc w:val="center"/>
            </w:pPr>
            <w:r>
              <w:t>End of Feb Elevation</w:t>
            </w:r>
          </w:p>
        </w:tc>
        <w:tc>
          <w:tcPr>
            <w:tcW w:w="4320" w:type="dxa"/>
          </w:tcPr>
          <w:p w14:paraId="1DCB2C32" w14:textId="77777777" w:rsidR="008769EF" w:rsidRDefault="008769EF" w:rsidP="004949B0">
            <w:pPr>
              <w:widowControl w:val="0"/>
              <w:pBdr>
                <w:top w:val="nil"/>
                <w:left w:val="nil"/>
                <w:bottom w:val="nil"/>
                <w:right w:val="nil"/>
                <w:between w:val="nil"/>
              </w:pBdr>
              <w:jc w:val="center"/>
            </w:pPr>
            <w:r>
              <w:t>Boat Dance Supply</w:t>
            </w:r>
          </w:p>
        </w:tc>
      </w:tr>
      <w:tr w:rsidR="008769EF" w14:paraId="19E89415" w14:textId="77777777" w:rsidTr="00D917D3">
        <w:tc>
          <w:tcPr>
            <w:tcW w:w="4320" w:type="dxa"/>
          </w:tcPr>
          <w:p w14:paraId="29E23152" w14:textId="77777777" w:rsidR="008769EF" w:rsidRDefault="008769EF" w:rsidP="004949B0">
            <w:pPr>
              <w:widowControl w:val="0"/>
              <w:pBdr>
                <w:top w:val="nil"/>
                <w:left w:val="nil"/>
                <w:bottom w:val="nil"/>
                <w:right w:val="nil"/>
                <w:between w:val="nil"/>
              </w:pBdr>
              <w:jc w:val="center"/>
            </w:pPr>
            <w:r>
              <w:t>NRCS Inflow Forecast</w:t>
            </w:r>
          </w:p>
        </w:tc>
        <w:tc>
          <w:tcPr>
            <w:tcW w:w="4320" w:type="dxa"/>
          </w:tcPr>
          <w:p w14:paraId="658AD3B4" w14:textId="77777777" w:rsidR="008769EF" w:rsidRDefault="008769EF" w:rsidP="004949B0">
            <w:pPr>
              <w:widowControl w:val="0"/>
              <w:pBdr>
                <w:top w:val="nil"/>
                <w:left w:val="nil"/>
                <w:bottom w:val="nil"/>
                <w:right w:val="nil"/>
                <w:between w:val="nil"/>
              </w:pBdr>
              <w:jc w:val="center"/>
            </w:pPr>
            <w:r>
              <w:t>EWA Augment</w:t>
            </w:r>
          </w:p>
        </w:tc>
      </w:tr>
      <w:tr w:rsidR="008769EF" w14:paraId="6BAECCB4" w14:textId="77777777" w:rsidTr="00D917D3">
        <w:tc>
          <w:tcPr>
            <w:tcW w:w="4320" w:type="dxa"/>
          </w:tcPr>
          <w:p w14:paraId="0A85AE7E" w14:textId="77777777" w:rsidR="008769EF" w:rsidRDefault="008769EF" w:rsidP="004949B0">
            <w:pPr>
              <w:widowControl w:val="0"/>
              <w:pBdr>
                <w:top w:val="nil"/>
                <w:left w:val="nil"/>
                <w:bottom w:val="nil"/>
                <w:right w:val="nil"/>
                <w:between w:val="nil"/>
              </w:pBdr>
              <w:jc w:val="center"/>
            </w:pPr>
            <w:r>
              <w:t xml:space="preserve">Forecast </w:t>
            </w:r>
            <w:proofErr w:type="spellStart"/>
            <w:r>
              <w:t>Adj</w:t>
            </w:r>
            <w:proofErr w:type="spellEnd"/>
          </w:p>
        </w:tc>
        <w:tc>
          <w:tcPr>
            <w:tcW w:w="4320" w:type="dxa"/>
          </w:tcPr>
          <w:p w14:paraId="4583C87A" w14:textId="77777777" w:rsidR="008769EF" w:rsidRDefault="008769EF" w:rsidP="004949B0">
            <w:pPr>
              <w:widowControl w:val="0"/>
              <w:pBdr>
                <w:top w:val="nil"/>
                <w:left w:val="nil"/>
                <w:bottom w:val="nil"/>
                <w:right w:val="nil"/>
                <w:between w:val="nil"/>
              </w:pBdr>
              <w:jc w:val="center"/>
            </w:pPr>
            <w:r>
              <w:t>Project Supply Reduction</w:t>
            </w:r>
          </w:p>
        </w:tc>
      </w:tr>
      <w:tr w:rsidR="008769EF" w14:paraId="7A74DD4B" w14:textId="77777777" w:rsidTr="00D917D3">
        <w:tc>
          <w:tcPr>
            <w:tcW w:w="4320" w:type="dxa"/>
          </w:tcPr>
          <w:p w14:paraId="2BF0142C" w14:textId="77777777" w:rsidR="008769EF" w:rsidRDefault="008769EF" w:rsidP="004949B0">
            <w:pPr>
              <w:widowControl w:val="0"/>
              <w:pBdr>
                <w:top w:val="nil"/>
                <w:left w:val="nil"/>
                <w:bottom w:val="nil"/>
                <w:right w:val="nil"/>
                <w:between w:val="nil"/>
              </w:pBdr>
              <w:jc w:val="center"/>
            </w:pPr>
          </w:p>
        </w:tc>
        <w:tc>
          <w:tcPr>
            <w:tcW w:w="4320" w:type="dxa"/>
          </w:tcPr>
          <w:p w14:paraId="34429C59" w14:textId="37F4629A" w:rsidR="008769EF" w:rsidRDefault="00D917D3" w:rsidP="004949B0">
            <w:pPr>
              <w:widowControl w:val="0"/>
              <w:pBdr>
                <w:top w:val="nil"/>
                <w:left w:val="nil"/>
                <w:bottom w:val="nil"/>
                <w:right w:val="nil"/>
                <w:between w:val="nil"/>
              </w:pBdr>
              <w:jc w:val="center"/>
            </w:pPr>
            <w:proofErr w:type="spellStart"/>
            <w:r>
              <w:t>Unga</w:t>
            </w:r>
            <w:r w:rsidR="008769EF">
              <w:t>ged</w:t>
            </w:r>
            <w:proofErr w:type="spellEnd"/>
            <w:r w:rsidR="008769EF">
              <w:t xml:space="preserve"> Diversions</w:t>
            </w:r>
          </w:p>
        </w:tc>
      </w:tr>
      <w:tr w:rsidR="008769EF" w14:paraId="40377B72" w14:textId="77777777" w:rsidTr="00D917D3">
        <w:tc>
          <w:tcPr>
            <w:tcW w:w="4320" w:type="dxa"/>
          </w:tcPr>
          <w:p w14:paraId="705A73B7" w14:textId="77777777" w:rsidR="008769EF" w:rsidRDefault="008769EF" w:rsidP="004949B0">
            <w:pPr>
              <w:widowControl w:val="0"/>
              <w:pBdr>
                <w:top w:val="nil"/>
                <w:left w:val="nil"/>
                <w:bottom w:val="nil"/>
                <w:right w:val="nil"/>
                <w:between w:val="nil"/>
              </w:pBdr>
              <w:jc w:val="center"/>
            </w:pPr>
          </w:p>
        </w:tc>
        <w:tc>
          <w:tcPr>
            <w:tcW w:w="4320" w:type="dxa"/>
          </w:tcPr>
          <w:p w14:paraId="59161BDB" w14:textId="77777777" w:rsidR="008769EF" w:rsidRDefault="008769EF" w:rsidP="004949B0">
            <w:pPr>
              <w:widowControl w:val="0"/>
              <w:pBdr>
                <w:top w:val="nil"/>
                <w:left w:val="nil"/>
                <w:bottom w:val="nil"/>
                <w:right w:val="nil"/>
                <w:between w:val="nil"/>
              </w:pBdr>
              <w:jc w:val="center"/>
            </w:pPr>
            <w:r>
              <w:t>April Lock Switch</w:t>
            </w:r>
          </w:p>
        </w:tc>
      </w:tr>
      <w:tr w:rsidR="008769EF" w14:paraId="4720B26E" w14:textId="77777777" w:rsidTr="00D917D3">
        <w:trPr>
          <w:trHeight w:val="22"/>
        </w:trPr>
        <w:tc>
          <w:tcPr>
            <w:tcW w:w="4320" w:type="dxa"/>
          </w:tcPr>
          <w:p w14:paraId="2B87AAEB" w14:textId="77777777" w:rsidR="008769EF" w:rsidRDefault="008769EF" w:rsidP="004949B0">
            <w:pPr>
              <w:widowControl w:val="0"/>
              <w:pBdr>
                <w:top w:val="nil"/>
                <w:left w:val="nil"/>
                <w:bottom w:val="nil"/>
                <w:right w:val="nil"/>
                <w:between w:val="nil"/>
              </w:pBdr>
              <w:jc w:val="center"/>
            </w:pPr>
          </w:p>
        </w:tc>
        <w:tc>
          <w:tcPr>
            <w:tcW w:w="4320" w:type="dxa"/>
          </w:tcPr>
          <w:p w14:paraId="0EB4BF6F" w14:textId="77777777" w:rsidR="008769EF" w:rsidRDefault="008769EF" w:rsidP="004949B0">
            <w:pPr>
              <w:widowControl w:val="0"/>
              <w:pBdr>
                <w:top w:val="nil"/>
                <w:left w:val="nil"/>
                <w:bottom w:val="nil"/>
                <w:right w:val="nil"/>
                <w:between w:val="nil"/>
              </w:pBdr>
              <w:jc w:val="center"/>
            </w:pPr>
            <w:r>
              <w:t>April Lock Limit</w:t>
            </w:r>
          </w:p>
        </w:tc>
      </w:tr>
    </w:tbl>
    <w:p w14:paraId="4C6A0D23" w14:textId="77777777" w:rsidR="008769EF" w:rsidRDefault="008769EF" w:rsidP="00EA565B">
      <w:pPr>
        <w:pStyle w:val="Heading2"/>
      </w:pPr>
      <w:bookmarkStart w:id="110" w:name="_Toc48817223"/>
      <w:bookmarkStart w:id="111" w:name="_Toc48817261"/>
      <w:r>
        <w:t>3) Operate and Plan for Season based on Observations and Projections, Respectively</w:t>
      </w:r>
      <w:bookmarkEnd w:id="110"/>
      <w:bookmarkEnd w:id="111"/>
    </w:p>
    <w:p w14:paraId="1B86D621" w14:textId="0CD8D69E" w:rsidR="008769EF" w:rsidRDefault="008769EF" w:rsidP="008769EF">
      <w:r>
        <w:t>To run the model for daily operations and seasonal planning, perform the following steps:</w:t>
      </w:r>
    </w:p>
    <w:p w14:paraId="1ED15E5F" w14:textId="77777777" w:rsidR="008769EF" w:rsidRDefault="008769EF" w:rsidP="008769EF">
      <w:pPr>
        <w:numPr>
          <w:ilvl w:val="0"/>
          <w:numId w:val="28"/>
        </w:numPr>
        <w:spacing w:before="0" w:line="259" w:lineRule="auto"/>
      </w:pPr>
      <w:r>
        <w:t>Run the KROM</w:t>
      </w:r>
    </w:p>
    <w:p w14:paraId="611E26B2" w14:textId="7462789D" w:rsidR="008769EF" w:rsidRDefault="00533FA2" w:rsidP="008769EF">
      <w:pPr>
        <w:numPr>
          <w:ilvl w:val="0"/>
          <w:numId w:val="28"/>
        </w:numPr>
        <w:spacing w:before="0" w:line="259" w:lineRule="auto"/>
      </w:pPr>
      <w:r>
        <w:t>View results: key dates and p</w:t>
      </w:r>
      <w:r w:rsidR="008769EF">
        <w:t>eriods</w:t>
      </w:r>
    </w:p>
    <w:p w14:paraId="5CBF5FBE" w14:textId="108D5AFE" w:rsidR="008769EF" w:rsidRDefault="00533FA2" w:rsidP="008769EF">
      <w:pPr>
        <w:numPr>
          <w:ilvl w:val="0"/>
          <w:numId w:val="28"/>
        </w:numPr>
        <w:spacing w:before="0" w:line="259" w:lineRule="auto"/>
      </w:pPr>
      <w:r>
        <w:t>View results: run r</w:t>
      </w:r>
      <w:r w:rsidR="008769EF">
        <w:t>ange</w:t>
      </w:r>
    </w:p>
    <w:p w14:paraId="34C8D723" w14:textId="16D3511C" w:rsidR="008769EF" w:rsidRDefault="00533FA2" w:rsidP="008769EF">
      <w:pPr>
        <w:numPr>
          <w:ilvl w:val="0"/>
          <w:numId w:val="28"/>
        </w:numPr>
        <w:spacing w:before="0" w:after="160" w:line="259" w:lineRule="auto"/>
      </w:pPr>
      <w:r>
        <w:t>Record results or r</w:t>
      </w:r>
      <w:r w:rsidR="008769EF">
        <w:t xml:space="preserve">un </w:t>
      </w:r>
      <w:r>
        <w:t>the n</w:t>
      </w:r>
      <w:r w:rsidR="008769EF">
        <w:t xml:space="preserve">ext </w:t>
      </w:r>
      <w:r>
        <w:t>i</w:t>
      </w:r>
      <w:r w:rsidR="008769EF">
        <w:t>teration</w:t>
      </w:r>
    </w:p>
    <w:p w14:paraId="17F22EC3" w14:textId="29AA46E0" w:rsidR="008769EF" w:rsidRDefault="008769EF" w:rsidP="008769EF">
      <w:r>
        <w:t xml:space="preserve">The current setup uses an iterative approach; the operator may perform the steps multiple times before assigning the official operational and planning results. We describe these steps in the </w:t>
      </w:r>
      <w:r w:rsidR="00C4394A">
        <w:t>next</w:t>
      </w:r>
      <w:r>
        <w:t xml:space="preserve"> subsections. </w:t>
      </w:r>
    </w:p>
    <w:p w14:paraId="40F8A889" w14:textId="3B8BCED0" w:rsidR="008769EF" w:rsidRDefault="008769EF" w:rsidP="008769EF">
      <w:r>
        <w:t>As an alternative to running these iterative steps manually, we also propose an approach using Iterative Multiple Run Management (MRM) that automates the iteration. This is described in “Alternative: Run the KROM with MRM”</w:t>
      </w:r>
      <w:r w:rsidR="00533FA2">
        <w:t xml:space="preserve"> on page </w:t>
      </w:r>
      <w:r w:rsidR="00533FA2">
        <w:fldChar w:fldCharType="begin"/>
      </w:r>
      <w:r w:rsidR="00533FA2">
        <w:instrText xml:space="preserve"> PAGEREF _Ref50834363 \h </w:instrText>
      </w:r>
      <w:r w:rsidR="00533FA2">
        <w:fldChar w:fldCharType="separate"/>
      </w:r>
      <w:r w:rsidR="00170C2A">
        <w:rPr>
          <w:noProof/>
        </w:rPr>
        <w:t>30</w:t>
      </w:r>
      <w:r w:rsidR="00533FA2">
        <w:fldChar w:fldCharType="end"/>
      </w:r>
      <w:r>
        <w:t xml:space="preserve">. </w:t>
      </w:r>
    </w:p>
    <w:p w14:paraId="1E66645E" w14:textId="77777777" w:rsidR="008769EF" w:rsidRDefault="008769EF" w:rsidP="008769EF">
      <w:r>
        <w:t>Once complete, the official results are set and alternative scenario analysis can be performed.</w:t>
      </w:r>
    </w:p>
    <w:p w14:paraId="7D89D5B4" w14:textId="0428C84F" w:rsidR="00533FA2" w:rsidRDefault="00533FA2" w:rsidP="008769EF">
      <w:r>
        <w:t>The following sections describe the process:</w:t>
      </w:r>
    </w:p>
    <w:p w14:paraId="59252065" w14:textId="77777777" w:rsidR="008769EF" w:rsidRDefault="008769EF" w:rsidP="0030367C">
      <w:pPr>
        <w:pStyle w:val="Heading3"/>
      </w:pPr>
      <w:bookmarkStart w:id="112" w:name="_heading=h.57qf8nhwzblu" w:colFirst="0" w:colLast="0"/>
      <w:bookmarkStart w:id="113" w:name="_Toc48817224"/>
      <w:bookmarkEnd w:id="112"/>
      <w:r>
        <w:t>Run the KROM</w:t>
      </w:r>
      <w:bookmarkEnd w:id="113"/>
    </w:p>
    <w:p w14:paraId="0058B004" w14:textId="72240617" w:rsidR="008769EF" w:rsidRDefault="008769EF" w:rsidP="008769EF">
      <w:r>
        <w:t xml:space="preserve">Upon opening the Run Control Panel, click the start button and the run proceeds. </w:t>
      </w:r>
      <w:r w:rsidR="00533FA2">
        <w:t>Alternatively, use the start run button on the SCT to make a run.</w:t>
      </w:r>
    </w:p>
    <w:p w14:paraId="65653D74" w14:textId="7077833F" w:rsidR="008769EF" w:rsidRDefault="008769EF" w:rsidP="0030367C">
      <w:pPr>
        <w:pStyle w:val="Heading3"/>
      </w:pPr>
      <w:bookmarkStart w:id="114" w:name="_heading=h.en43rm5cq6hr" w:colFirst="0" w:colLast="0"/>
      <w:bookmarkStart w:id="115" w:name="_Toc48817225"/>
      <w:bookmarkStart w:id="116" w:name="_Ref50794402"/>
      <w:bookmarkStart w:id="117" w:name="_Ref50794410"/>
      <w:bookmarkEnd w:id="114"/>
      <w:r>
        <w:t xml:space="preserve">View Results: Key </w:t>
      </w:r>
      <w:r w:rsidR="00412778">
        <w:t>Metrics</w:t>
      </w:r>
      <w:bookmarkEnd w:id="115"/>
      <w:bookmarkEnd w:id="116"/>
      <w:bookmarkEnd w:id="117"/>
    </w:p>
    <w:p w14:paraId="77F3673A" w14:textId="0C119CF9" w:rsidR="008769EF" w:rsidRDefault="008769EF" w:rsidP="008769EF">
      <w:r>
        <w:t xml:space="preserve">One way to see the important results of a run is through a table of metrics. In the KROM, the metrics are stored in user-defined expression </w:t>
      </w:r>
      <w:r w:rsidR="00412778">
        <w:t>slots and other types of slots and displayed on an Output Canvas.</w:t>
      </w:r>
    </w:p>
    <w:p w14:paraId="622974D6" w14:textId="1DDA6CCF" w:rsidR="008769EF" w:rsidRDefault="00533FA2" w:rsidP="008769EF">
      <w:r w:rsidRPr="00533FA2">
        <w:t>The</w:t>
      </w:r>
      <w:r>
        <w:rPr>
          <w:b/>
        </w:rPr>
        <w:t xml:space="preserve"> </w:t>
      </w:r>
      <w:r w:rsidR="008769EF">
        <w:rPr>
          <w:b/>
        </w:rPr>
        <w:t>Metric Canvas</w:t>
      </w:r>
      <w:r>
        <w:rPr>
          <w:b/>
        </w:rPr>
        <w:t xml:space="preserve"> </w:t>
      </w:r>
      <w:r w:rsidR="008769EF">
        <w:t xml:space="preserve">Output Canvas presents a summary of the model’s observed and projected results in the form of cumulative volumes or a specific date’s value. The operator views these results in tables that </w:t>
      </w:r>
      <w:r w:rsidR="008769EF">
        <w:lastRenderedPageBreak/>
        <w:t>mimic those on the “</w:t>
      </w:r>
      <w:proofErr w:type="spellStart"/>
      <w:r w:rsidR="008769EF">
        <w:t>UKL_SurfaceElevation_Chart</w:t>
      </w:r>
      <w:proofErr w:type="spellEnd"/>
      <w:r w:rsidR="008769EF">
        <w:t xml:space="preserve">” sheet in the PA Calculator. Result tables available to the operator are as follows: </w:t>
      </w:r>
    </w:p>
    <w:p w14:paraId="6B741D97" w14:textId="77777777" w:rsidR="008769EF" w:rsidRDefault="008769EF" w:rsidP="008769EF">
      <w:pPr>
        <w:numPr>
          <w:ilvl w:val="0"/>
          <w:numId w:val="29"/>
        </w:numPr>
        <w:spacing w:before="0" w:line="259" w:lineRule="auto"/>
      </w:pPr>
      <w:r>
        <w:t>Seasonal Elevation Thresholds</w:t>
      </w:r>
    </w:p>
    <w:p w14:paraId="60A0209D" w14:textId="77777777" w:rsidR="008769EF" w:rsidRDefault="008769EF" w:rsidP="008769EF">
      <w:pPr>
        <w:numPr>
          <w:ilvl w:val="0"/>
          <w:numId w:val="29"/>
        </w:numPr>
        <w:spacing w:before="0" w:line="259" w:lineRule="auto"/>
      </w:pPr>
      <w:r>
        <w:t>EWA Spent, Observed and Projected</w:t>
      </w:r>
    </w:p>
    <w:p w14:paraId="7A10237D" w14:textId="77777777" w:rsidR="008769EF" w:rsidRDefault="008769EF" w:rsidP="008769EF">
      <w:pPr>
        <w:numPr>
          <w:ilvl w:val="0"/>
          <w:numId w:val="29"/>
        </w:numPr>
        <w:spacing w:before="0" w:line="259" w:lineRule="auto"/>
      </w:pPr>
      <w:r>
        <w:t>AG from UKL</w:t>
      </w:r>
    </w:p>
    <w:p w14:paraId="582E674C" w14:textId="77777777" w:rsidR="008769EF" w:rsidRDefault="008769EF" w:rsidP="008769EF">
      <w:pPr>
        <w:numPr>
          <w:ilvl w:val="0"/>
          <w:numId w:val="29"/>
        </w:numPr>
        <w:spacing w:before="0" w:line="259" w:lineRule="auto"/>
      </w:pPr>
      <w:r>
        <w:t>Project Spent</w:t>
      </w:r>
    </w:p>
    <w:p w14:paraId="073DB63D" w14:textId="77777777" w:rsidR="008769EF" w:rsidRDefault="008769EF" w:rsidP="008769EF">
      <w:pPr>
        <w:numPr>
          <w:ilvl w:val="0"/>
          <w:numId w:val="29"/>
        </w:numPr>
        <w:spacing w:before="0" w:line="259" w:lineRule="auto"/>
      </w:pPr>
      <w:r>
        <w:t>Upper Klamath Lake Inflow Forecast</w:t>
      </w:r>
    </w:p>
    <w:p w14:paraId="6584FDA7" w14:textId="77777777" w:rsidR="008769EF" w:rsidRDefault="008769EF" w:rsidP="008769EF">
      <w:pPr>
        <w:numPr>
          <w:ilvl w:val="0"/>
          <w:numId w:val="29"/>
        </w:numPr>
        <w:spacing w:before="0" w:after="160" w:line="259" w:lineRule="auto"/>
      </w:pPr>
      <w:r>
        <w:t>UKL Net Inflow</w:t>
      </w:r>
    </w:p>
    <w:p w14:paraId="49CC5F40" w14:textId="7EAD6476" w:rsidR="003E1FF3" w:rsidRDefault="003E1FF3" w:rsidP="003E1FF3">
      <w:pPr>
        <w:pStyle w:val="FigCaption"/>
      </w:pPr>
      <w:r>
        <w:t>Sample Metric Output Canvas</w:t>
      </w:r>
    </w:p>
    <w:p w14:paraId="406F08B2" w14:textId="77777777" w:rsidR="003E1FF3" w:rsidRPr="003E1FF3" w:rsidRDefault="003E1FF3" w:rsidP="003E1FF3">
      <w:pPr>
        <w:pStyle w:val="FigAnchor"/>
      </w:pPr>
    </w:p>
    <w:p w14:paraId="3A2A2C9F" w14:textId="6DA027F0" w:rsidR="003E1FF3" w:rsidRDefault="003E1FF3" w:rsidP="008769EF">
      <w:r>
        <w:rPr>
          <w:noProof/>
        </w:rPr>
        <w:drawing>
          <wp:inline distT="0" distB="0" distL="0" distR="0" wp14:anchorId="342913DB" wp14:editId="00726B13">
            <wp:extent cx="5557962" cy="431395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1795" cy="4316927"/>
                    </a:xfrm>
                    <a:prstGeom prst="rect">
                      <a:avLst/>
                    </a:prstGeom>
                  </pic:spPr>
                </pic:pic>
              </a:graphicData>
            </a:graphic>
          </wp:inline>
        </w:drawing>
      </w:r>
    </w:p>
    <w:p w14:paraId="3F9E0328" w14:textId="2F51A4A1" w:rsidR="008769EF" w:rsidRDefault="008769EF" w:rsidP="008769EF">
      <w:r>
        <w:t xml:space="preserve">After </w:t>
      </w:r>
      <w:r w:rsidR="005821F3">
        <w:t>a run is completed,</w:t>
      </w:r>
      <w:r>
        <w:t xml:space="preserve"> open the Output Manager from the Utilities menu from the workspace. Fr</w:t>
      </w:r>
      <w:r w:rsidR="005821F3">
        <w:t>om the listed outputs,</w:t>
      </w:r>
      <w:r>
        <w:t xml:space="preserve"> select the Metric Canvas and click Generate to create the Output C</w:t>
      </w:r>
      <w:sdt>
        <w:sdtPr>
          <w:tag w:val="goog_rdk_10"/>
          <w:id w:val="-1442288956"/>
        </w:sdtPr>
        <w:sdtEndPr/>
        <w:sdtContent/>
      </w:sdt>
      <w:sdt>
        <w:sdtPr>
          <w:tag w:val="goog_rdk_11"/>
          <w:id w:val="1157801473"/>
        </w:sdtPr>
        <w:sdtEndPr/>
        <w:sdtContent/>
      </w:sdt>
      <w:sdt>
        <w:sdtPr>
          <w:tag w:val="goog_rdk_12"/>
          <w:id w:val="-461509087"/>
        </w:sdtPr>
        <w:sdtEndPr/>
        <w:sdtContent/>
      </w:sdt>
      <w:r w:rsidR="005821F3">
        <w:t xml:space="preserve">anvas. Here is a </w:t>
      </w:r>
      <w:r>
        <w:t>brief summary for each here.</w:t>
      </w:r>
    </w:p>
    <w:p w14:paraId="2BEBE57B" w14:textId="2E2ED85D" w:rsidR="008769EF" w:rsidRDefault="008769EF" w:rsidP="008769EF">
      <w:pPr>
        <w:numPr>
          <w:ilvl w:val="0"/>
          <w:numId w:val="31"/>
        </w:numPr>
        <w:spacing w:before="0" w:line="259" w:lineRule="auto"/>
      </w:pPr>
      <w:r>
        <w:t>Seasonal Elev</w:t>
      </w:r>
      <w:r w:rsidR="005821F3">
        <w:t>ation Thresholds: Confirm</w:t>
      </w:r>
      <w:r>
        <w:t xml:space="preserve"> the UKL pool elevation for each date exceeds the </w:t>
      </w:r>
      <w:proofErr w:type="spellStart"/>
      <w:r>
        <w:t>BiOp</w:t>
      </w:r>
      <w:proofErr w:type="spellEnd"/>
      <w:r>
        <w:t xml:space="preserve"> specified pool elevation. </w:t>
      </w:r>
      <w:r w:rsidR="005821F3">
        <w:t>Also</w:t>
      </w:r>
      <w:r>
        <w:t xml:space="preserve"> evaluate if the volume above the </w:t>
      </w:r>
      <w:proofErr w:type="spellStart"/>
      <w:r>
        <w:t>BiOp</w:t>
      </w:r>
      <w:proofErr w:type="spellEnd"/>
      <w:r>
        <w:t xml:space="preserve"> is sufficient enough. </w:t>
      </w:r>
    </w:p>
    <w:p w14:paraId="13CF7242" w14:textId="57CB7BB5" w:rsidR="008769EF" w:rsidRDefault="008769EF" w:rsidP="008769EF">
      <w:pPr>
        <w:numPr>
          <w:ilvl w:val="0"/>
          <w:numId w:val="31"/>
        </w:numPr>
        <w:spacing w:before="0" w:line="259" w:lineRule="auto"/>
      </w:pPr>
      <w:r>
        <w:t xml:space="preserve">EWA Spent, Observed and Projected: </w:t>
      </w:r>
      <w:r w:rsidR="005821F3">
        <w:t>Validate</w:t>
      </w:r>
      <w:r>
        <w:t xml:space="preserve"> the EWA spent by July exceeds 61% and EWA by October 1 exceeds 95%. The corresponding volume for the percentage spent by that date is shown and evaluated as well. </w:t>
      </w:r>
    </w:p>
    <w:p w14:paraId="185F07E6" w14:textId="31A00EE0" w:rsidR="008769EF" w:rsidRDefault="008769EF" w:rsidP="008769EF">
      <w:pPr>
        <w:numPr>
          <w:ilvl w:val="0"/>
          <w:numId w:val="31"/>
        </w:numPr>
        <w:spacing w:before="0" w:line="259" w:lineRule="auto"/>
      </w:pPr>
      <w:r>
        <w:t xml:space="preserve">AG from UKL: </w:t>
      </w:r>
      <w:r w:rsidR="005821F3">
        <w:t>Perform</w:t>
      </w:r>
      <w:r>
        <w:t xml:space="preserve"> a strictly judgement based assessment of the values in this table. </w:t>
      </w:r>
      <w:r w:rsidR="005821F3">
        <w:t>C</w:t>
      </w:r>
      <w:r>
        <w:t>heck if the timing of distribution matches expectations or follows recent observations.</w:t>
      </w:r>
    </w:p>
    <w:p w14:paraId="10BEC5B2" w14:textId="4D6B6BC8" w:rsidR="008769EF" w:rsidRDefault="005821F3" w:rsidP="008769EF">
      <w:pPr>
        <w:numPr>
          <w:ilvl w:val="0"/>
          <w:numId w:val="31"/>
        </w:numPr>
        <w:spacing w:before="0" w:line="259" w:lineRule="auto"/>
      </w:pPr>
      <w:r>
        <w:t>Project Spent: T</w:t>
      </w:r>
      <w:r w:rsidR="008769EF">
        <w:t xml:space="preserve">rack the used and remaining Project Supply in this table. </w:t>
      </w:r>
      <w:r>
        <w:t>Use</w:t>
      </w:r>
      <w:r w:rsidR="008769EF">
        <w:t xml:space="preserve"> it to validate that distribution does not exceed the seasonal allocation for agriculture</w:t>
      </w:r>
      <w:sdt>
        <w:sdtPr>
          <w:tag w:val="goog_rdk_13"/>
          <w:id w:val="2129653250"/>
        </w:sdtPr>
        <w:sdtEndPr/>
        <w:sdtContent/>
      </w:sdt>
      <w:r w:rsidR="008769EF">
        <w:t>.</w:t>
      </w:r>
    </w:p>
    <w:p w14:paraId="01B2E78E" w14:textId="0CCDF268" w:rsidR="008769EF" w:rsidRDefault="008769EF" w:rsidP="008769EF">
      <w:pPr>
        <w:numPr>
          <w:ilvl w:val="0"/>
          <w:numId w:val="31"/>
        </w:numPr>
        <w:spacing w:before="0" w:line="259" w:lineRule="auto"/>
      </w:pPr>
      <w:r>
        <w:lastRenderedPageBreak/>
        <w:t>Upper Klamath Lake Inflow Forecast: This table shows the most recent NRCS and CNRFC Inflow Forecast the operator in</w:t>
      </w:r>
      <w:r w:rsidR="005821F3">
        <w:t>put to the model. C</w:t>
      </w:r>
      <w:r>
        <w:t xml:space="preserve">ompare the Current Ops inflow volume to determine what inflow scenario their settings produced. </w:t>
      </w:r>
    </w:p>
    <w:p w14:paraId="4769D44E" w14:textId="44F87049" w:rsidR="008769EF" w:rsidRDefault="008769EF" w:rsidP="008769EF">
      <w:pPr>
        <w:numPr>
          <w:ilvl w:val="0"/>
          <w:numId w:val="31"/>
        </w:numPr>
        <w:spacing w:before="0" w:after="160" w:line="259" w:lineRule="auto"/>
      </w:pPr>
      <w:r>
        <w:t>UKL Net Inflow: The operator analyzes the timing of observed and projected inflows in this table. Based on external forecasts and recent observations, check if too much or too little supply enters UKL for a given period.</w:t>
      </w:r>
    </w:p>
    <w:p w14:paraId="2410F524" w14:textId="12469EF0" w:rsidR="00412778" w:rsidRDefault="00412778" w:rsidP="00412778">
      <w:r>
        <w:t xml:space="preserve">Additional metrics are stored in the Compliance Metrics Canvas. This shows the key compliance metrics, values, and constraints. </w:t>
      </w:r>
    </w:p>
    <w:p w14:paraId="6314239B" w14:textId="11948CF9" w:rsidR="009B10CB" w:rsidRDefault="009B10CB" w:rsidP="009B10CB">
      <w:r w:rsidRPr="009B10CB">
        <w:rPr>
          <w:b/>
        </w:rPr>
        <w:t>Compliance Metrics Canvas</w:t>
      </w:r>
      <w:r>
        <w:t>:</w:t>
      </w:r>
    </w:p>
    <w:p w14:paraId="16A6D7F7" w14:textId="41301D68" w:rsidR="009B10CB" w:rsidRDefault="009B10CB" w:rsidP="009B10CB">
      <w:r>
        <w:rPr>
          <w:noProof/>
        </w:rPr>
        <w:drawing>
          <wp:inline distT="0" distB="0" distL="0" distR="0" wp14:anchorId="6DE4F9AB" wp14:editId="207708AD">
            <wp:extent cx="5943600" cy="39604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60495"/>
                    </a:xfrm>
                    <a:prstGeom prst="rect">
                      <a:avLst/>
                    </a:prstGeom>
                  </pic:spPr>
                </pic:pic>
              </a:graphicData>
            </a:graphic>
          </wp:inline>
        </w:drawing>
      </w:r>
    </w:p>
    <w:p w14:paraId="42028423" w14:textId="77777777" w:rsidR="008769EF" w:rsidRDefault="008769EF" w:rsidP="0030367C">
      <w:pPr>
        <w:pStyle w:val="Heading3"/>
      </w:pPr>
      <w:bookmarkStart w:id="118" w:name="_heading=h.lb3i0ybeh7ab" w:colFirst="0" w:colLast="0"/>
      <w:bookmarkStart w:id="119" w:name="_Toc48817226"/>
      <w:bookmarkStart w:id="120" w:name="_Ref50794320"/>
      <w:bookmarkStart w:id="121" w:name="_Ref50794331"/>
      <w:bookmarkEnd w:id="118"/>
      <w:r>
        <w:t>View Results: Run Range</w:t>
      </w:r>
      <w:bookmarkEnd w:id="119"/>
      <w:bookmarkEnd w:id="120"/>
      <w:bookmarkEnd w:id="121"/>
    </w:p>
    <w:p w14:paraId="6EE32BE4" w14:textId="38B89DC1" w:rsidR="008769EF" w:rsidRDefault="008769EF" w:rsidP="008769EF">
      <w:r>
        <w:t xml:space="preserve">Another way to view run results is through a plot that shows the time series data over the year.  </w:t>
      </w:r>
      <w:r w:rsidR="00412778">
        <w:t xml:space="preserve">The </w:t>
      </w:r>
      <w:r>
        <w:rPr>
          <w:b/>
        </w:rPr>
        <w:t>UKL S</w:t>
      </w:r>
      <w:r w:rsidR="00412778">
        <w:rPr>
          <w:b/>
        </w:rPr>
        <w:t xml:space="preserve">urface Elevation </w:t>
      </w:r>
      <w:r>
        <w:t>plot presents a visual representation of the UKL Pool Elevation over the run per</w:t>
      </w:r>
      <w:r w:rsidR="005821F3">
        <w:t xml:space="preserve">iod. View </w:t>
      </w:r>
      <w:r>
        <w:t>the observed and projected pool elevations, which the plot distinguishes with separate lines. In addition, the plot shows the operator the following threshold and trend lines/markers for comparison:</w:t>
      </w:r>
    </w:p>
    <w:p w14:paraId="1C17AEFC" w14:textId="77777777" w:rsidR="008769EF" w:rsidRDefault="008769EF" w:rsidP="008769EF">
      <w:pPr>
        <w:numPr>
          <w:ilvl w:val="0"/>
          <w:numId w:val="37"/>
        </w:numPr>
        <w:spacing w:before="0" w:line="259" w:lineRule="auto"/>
      </w:pPr>
      <w:r>
        <w:t>Flood Curve</w:t>
      </w:r>
    </w:p>
    <w:p w14:paraId="53A0B56A" w14:textId="77777777" w:rsidR="008769EF" w:rsidRDefault="008769EF" w:rsidP="008769EF">
      <w:pPr>
        <w:numPr>
          <w:ilvl w:val="0"/>
          <w:numId w:val="37"/>
        </w:numPr>
        <w:spacing w:before="0" w:line="259" w:lineRule="auto"/>
      </w:pPr>
      <w:r>
        <w:t>Central Tendency Elevation</w:t>
      </w:r>
    </w:p>
    <w:p w14:paraId="575C825E" w14:textId="77777777" w:rsidR="008769EF" w:rsidRDefault="008769EF" w:rsidP="008769EF">
      <w:pPr>
        <w:numPr>
          <w:ilvl w:val="0"/>
          <w:numId w:val="37"/>
        </w:numPr>
        <w:spacing w:before="0" w:line="259" w:lineRule="auto"/>
      </w:pPr>
      <w:r>
        <w:t>WY Low Threshold</w:t>
      </w:r>
    </w:p>
    <w:p w14:paraId="13022858" w14:textId="77777777" w:rsidR="008769EF" w:rsidRDefault="008769EF" w:rsidP="008769EF">
      <w:pPr>
        <w:numPr>
          <w:ilvl w:val="0"/>
          <w:numId w:val="37"/>
        </w:numPr>
        <w:spacing w:before="0" w:line="259" w:lineRule="auto"/>
      </w:pPr>
      <w:proofErr w:type="spellStart"/>
      <w:r>
        <w:t>BiOp</w:t>
      </w:r>
      <w:proofErr w:type="spellEnd"/>
      <w:r>
        <w:t xml:space="preserve"> Levels</w:t>
      </w:r>
    </w:p>
    <w:p w14:paraId="54D2636D" w14:textId="77777777" w:rsidR="008769EF" w:rsidRDefault="008769EF" w:rsidP="008769EF">
      <w:pPr>
        <w:numPr>
          <w:ilvl w:val="0"/>
          <w:numId w:val="37"/>
        </w:numPr>
        <w:spacing w:before="0" w:after="160" w:line="259" w:lineRule="auto"/>
      </w:pPr>
      <w:r>
        <w:t>Yesterday’s Elevation</w:t>
      </w:r>
    </w:p>
    <w:p w14:paraId="0B06BFF9" w14:textId="1CFF594C" w:rsidR="005821F3" w:rsidRDefault="005821F3" w:rsidP="005821F3">
      <w:pPr>
        <w:pStyle w:val="FigCaption"/>
      </w:pPr>
      <w:r>
        <w:lastRenderedPageBreak/>
        <w:t>Sample UKL Elevation plot</w:t>
      </w:r>
    </w:p>
    <w:p w14:paraId="7224334B" w14:textId="77777777" w:rsidR="005821F3" w:rsidRPr="005821F3" w:rsidRDefault="005821F3" w:rsidP="005821F3">
      <w:pPr>
        <w:pStyle w:val="FigAnchor"/>
      </w:pPr>
    </w:p>
    <w:p w14:paraId="1C86621E" w14:textId="494848AD" w:rsidR="00363912" w:rsidRDefault="00363912" w:rsidP="00363912">
      <w:pPr>
        <w:spacing w:before="0" w:after="160" w:line="259" w:lineRule="auto"/>
      </w:pPr>
      <w:r>
        <w:rPr>
          <w:noProof/>
        </w:rPr>
        <w:drawing>
          <wp:inline distT="0" distB="0" distL="0" distR="0" wp14:anchorId="7518E2D8" wp14:editId="7C29520A">
            <wp:extent cx="4800600" cy="36484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3648456"/>
                    </a:xfrm>
                    <a:prstGeom prst="rect">
                      <a:avLst/>
                    </a:prstGeom>
                  </pic:spPr>
                </pic:pic>
              </a:graphicData>
            </a:graphic>
          </wp:inline>
        </w:drawing>
      </w:r>
    </w:p>
    <w:p w14:paraId="2062FA4D" w14:textId="71D0A979" w:rsidR="00412778" w:rsidRDefault="00412778" w:rsidP="00412778">
      <w:r>
        <w:t xml:space="preserve">First, </w:t>
      </w:r>
      <w:r w:rsidR="005821F3">
        <w:t>check</w:t>
      </w:r>
      <w:r>
        <w:t xml:space="preserve"> that the projected elevation does not exceed the Flood Curve or fall below the </w:t>
      </w:r>
      <w:proofErr w:type="spellStart"/>
      <w:r>
        <w:t>BiOp</w:t>
      </w:r>
      <w:proofErr w:type="spellEnd"/>
      <w:r>
        <w:t xml:space="preserve"> level. If either are violated, settings need t</w:t>
      </w:r>
      <w:r w:rsidR="005821F3">
        <w:t>o be adjusted. Next, C</w:t>
      </w:r>
      <w:r>
        <w:t>ompar</w:t>
      </w:r>
      <w:r w:rsidR="005821F3">
        <w:t>e</w:t>
      </w:r>
      <w:r>
        <w:t xml:space="preserve"> with the Central Tendency. The operator deems the trajectory suitable based on their own judgement and expected hydrology. </w:t>
      </w:r>
    </w:p>
    <w:p w14:paraId="263D33ED" w14:textId="5371E697" w:rsidR="008769EF" w:rsidRDefault="00412778" w:rsidP="008769EF">
      <w:r w:rsidRPr="00412778">
        <w:t xml:space="preserve">The </w:t>
      </w:r>
      <w:r>
        <w:rPr>
          <w:b/>
        </w:rPr>
        <w:t>UKL Ag Demand</w:t>
      </w:r>
      <w:r w:rsidR="008769EF">
        <w:t xml:space="preserve"> plot presents a visual representation of the UKL Agricultural Demand over the run period. It includes lines and markers that split demands into Observed, Projected, and Yesterday’s Ag Demands for the operator.</w:t>
      </w:r>
    </w:p>
    <w:p w14:paraId="0B118809" w14:textId="2250F15E" w:rsidR="005821F3" w:rsidRDefault="005821F3" w:rsidP="005821F3">
      <w:pPr>
        <w:pStyle w:val="FigCaption"/>
      </w:pPr>
      <w:r>
        <w:t>Sample Ag Demands plot</w:t>
      </w:r>
    </w:p>
    <w:p w14:paraId="164863AA" w14:textId="77777777" w:rsidR="005821F3" w:rsidRPr="005821F3" w:rsidRDefault="005821F3" w:rsidP="005821F3">
      <w:pPr>
        <w:pStyle w:val="FigAnchor"/>
      </w:pPr>
    </w:p>
    <w:p w14:paraId="247A8A57" w14:textId="653D520D" w:rsidR="00363912" w:rsidRDefault="00363912" w:rsidP="008769EF">
      <w:r>
        <w:rPr>
          <w:noProof/>
        </w:rPr>
        <w:drawing>
          <wp:inline distT="0" distB="0" distL="0" distR="0" wp14:anchorId="7C81B2BB" wp14:editId="583D51ED">
            <wp:extent cx="4032504" cy="217627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2504" cy="2176272"/>
                    </a:xfrm>
                    <a:prstGeom prst="rect">
                      <a:avLst/>
                    </a:prstGeom>
                  </pic:spPr>
                </pic:pic>
              </a:graphicData>
            </a:graphic>
          </wp:inline>
        </w:drawing>
      </w:r>
    </w:p>
    <w:p w14:paraId="26D28791" w14:textId="75CE89C3" w:rsidR="00412778" w:rsidRDefault="005821F3" w:rsidP="008769EF">
      <w:r>
        <w:t>A</w:t>
      </w:r>
      <w:r w:rsidR="00412778">
        <w:t>nalyze the projected demands based on judgement and in respect to the recent observed demands. There are no thresholds that the demands need to exceed or stay below. Rather, the operator is concerned about how to balance deliveries to agriculture while distributing supply to other objectives.</w:t>
      </w:r>
    </w:p>
    <w:p w14:paraId="0E90FD8C" w14:textId="0F87ED43" w:rsidR="00363912" w:rsidRPr="00363912" w:rsidRDefault="00412778" w:rsidP="008769EF">
      <w:pPr>
        <w:rPr>
          <w:b/>
        </w:rPr>
      </w:pPr>
      <w:r w:rsidRPr="00412778">
        <w:lastRenderedPageBreak/>
        <w:t xml:space="preserve">The </w:t>
      </w:r>
      <w:r>
        <w:rPr>
          <w:b/>
        </w:rPr>
        <w:t>IGD Flows</w:t>
      </w:r>
      <w:r w:rsidRPr="00412778">
        <w:t xml:space="preserve"> plot shows the </w:t>
      </w:r>
      <w:r>
        <w:t>IGD outflow over the year including the minimum values and UKL smoothed inflows for comparison.</w:t>
      </w:r>
    </w:p>
    <w:p w14:paraId="6CA5DAB6" w14:textId="31C45AE0" w:rsidR="005821F3" w:rsidRDefault="005821F3" w:rsidP="005821F3">
      <w:pPr>
        <w:pStyle w:val="FigCaption"/>
        <w:rPr>
          <w:noProof/>
        </w:rPr>
      </w:pPr>
      <w:r>
        <w:rPr>
          <w:noProof/>
        </w:rPr>
        <w:t>Sample IGD Flows plot</w:t>
      </w:r>
    </w:p>
    <w:p w14:paraId="54DF066F" w14:textId="77777777" w:rsidR="005821F3" w:rsidRPr="005821F3" w:rsidRDefault="005821F3" w:rsidP="005821F3">
      <w:pPr>
        <w:pStyle w:val="FigAnchor"/>
      </w:pPr>
    </w:p>
    <w:p w14:paraId="191BA58B" w14:textId="6987AF0C" w:rsidR="00363912" w:rsidRDefault="00363912" w:rsidP="008769EF">
      <w:r>
        <w:rPr>
          <w:noProof/>
        </w:rPr>
        <w:drawing>
          <wp:inline distT="0" distB="0" distL="0" distR="0" wp14:anchorId="15534F9B" wp14:editId="437CDA86">
            <wp:extent cx="5358384" cy="29900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8384" cy="2990088"/>
                    </a:xfrm>
                    <a:prstGeom prst="rect">
                      <a:avLst/>
                    </a:prstGeom>
                  </pic:spPr>
                </pic:pic>
              </a:graphicData>
            </a:graphic>
          </wp:inline>
        </w:drawing>
      </w:r>
    </w:p>
    <w:p w14:paraId="59CDE4FC" w14:textId="77777777" w:rsidR="008769EF" w:rsidRDefault="008769EF" w:rsidP="0030367C">
      <w:pPr>
        <w:pStyle w:val="Heading3"/>
      </w:pPr>
      <w:bookmarkStart w:id="122" w:name="_heading=h.23g33pz923k" w:colFirst="0" w:colLast="0"/>
      <w:bookmarkStart w:id="123" w:name="_Toc48817227"/>
      <w:bookmarkEnd w:id="122"/>
      <w:r>
        <w:t xml:space="preserve">Record </w:t>
      </w:r>
      <w:r w:rsidRPr="00A70A02">
        <w:t>Results</w:t>
      </w:r>
      <w:r>
        <w:t xml:space="preserve"> or Run Next Iteration</w:t>
      </w:r>
      <w:bookmarkEnd w:id="123"/>
    </w:p>
    <w:p w14:paraId="4AD67AC0" w14:textId="1ADBC40A" w:rsidR="008769EF" w:rsidRDefault="008769EF" w:rsidP="008769EF">
      <w:r>
        <w:t>If the operator is satisfied with the summarized hydrology and demands in the Output Canvas or projected trajectory of demands and elevation in the Plot Page, they record the official results</w:t>
      </w:r>
      <w:r w:rsidR="00F741F7">
        <w:t xml:space="preserve"> or m</w:t>
      </w:r>
      <w:r>
        <w:t>ove on to running alternative scenarios. Otherwise, the operator will perform another run with altered settings until satisfied with the results.</w:t>
      </w:r>
    </w:p>
    <w:p w14:paraId="21300479" w14:textId="77777777" w:rsidR="008769EF" w:rsidRDefault="008769EF" w:rsidP="0030367C">
      <w:pPr>
        <w:pStyle w:val="Heading3"/>
      </w:pPr>
      <w:bookmarkStart w:id="124" w:name="_heading=h.2sb9rs81tmpx" w:colFirst="0" w:colLast="0"/>
      <w:bookmarkStart w:id="125" w:name="_Toc48817228"/>
      <w:bookmarkStart w:id="126" w:name="_Ref50834363"/>
      <w:bookmarkEnd w:id="124"/>
      <w:r>
        <w:t>Alternative: Run the KROM with MRM</w:t>
      </w:r>
      <w:bookmarkEnd w:id="125"/>
      <w:bookmarkEnd w:id="126"/>
    </w:p>
    <w:p w14:paraId="4A285EF0" w14:textId="68F135EC" w:rsidR="008769EF" w:rsidRDefault="008769EF" w:rsidP="008769EF">
      <w:r>
        <w:t xml:space="preserve">As described above, the operations process is </w:t>
      </w:r>
      <w:r w:rsidR="00655014">
        <w:t xml:space="preserve">often </w:t>
      </w:r>
      <w:r>
        <w:t xml:space="preserve">iterative with many trials of different inputs. </w:t>
      </w:r>
      <w:r w:rsidR="00655014">
        <w:t>Although this can be done manually, the KROM also automates this process using</w:t>
      </w:r>
      <w:r>
        <w:t xml:space="preserve"> Iterative Multip</w:t>
      </w:r>
      <w:r w:rsidR="00655014">
        <w:t>le Run Management configuration</w:t>
      </w:r>
      <w:r>
        <w:t xml:space="preserve">. </w:t>
      </w:r>
    </w:p>
    <w:p w14:paraId="636EDEA5" w14:textId="2CF9E184" w:rsidR="008769EF" w:rsidRDefault="00F741F7" w:rsidP="008769EF">
      <w:r>
        <w:t xml:space="preserve">The </w:t>
      </w:r>
      <w:r w:rsidR="00655014">
        <w:t>“</w:t>
      </w:r>
      <w:r w:rsidR="00655014" w:rsidRPr="00655014">
        <w:t>Run trials of different settings</w:t>
      </w:r>
      <w:r w:rsidR="00655014">
        <w:t>”</w:t>
      </w:r>
      <w:r>
        <w:t xml:space="preserve"> configuration uses</w:t>
      </w:r>
      <w:r w:rsidR="008769EF">
        <w:t xml:space="preserve"> Iterative</w:t>
      </w:r>
      <w:r>
        <w:t xml:space="preserve"> </w:t>
      </w:r>
      <w:r w:rsidR="008769EF">
        <w:t>mode</w:t>
      </w:r>
      <w:r w:rsidR="00655014">
        <w:t xml:space="preserve"> and</w:t>
      </w:r>
      <w:r w:rsidR="008769EF">
        <w:t xml:space="preserve"> is designed to automate the process of iterating through multiple runs, each with different settings, until a suita</w:t>
      </w:r>
      <w:r w:rsidR="007B3A15">
        <w:t>ble configuration is found. D</w:t>
      </w:r>
      <w:r w:rsidR="00655014">
        <w:t xml:space="preserve">efines a suitable </w:t>
      </w:r>
      <w:r w:rsidR="008769EF">
        <w:t xml:space="preserve">configuration </w:t>
      </w:r>
      <w:r w:rsidR="00655014">
        <w:t>of settings of the following slots</w:t>
      </w:r>
      <w:r w:rsidR="008769EF">
        <w:t>:</w:t>
      </w:r>
    </w:p>
    <w:p w14:paraId="2F604CF7" w14:textId="77777777" w:rsidR="008769EF" w:rsidRDefault="008769EF" w:rsidP="008769EF">
      <w:pPr>
        <w:numPr>
          <w:ilvl w:val="0"/>
          <w:numId w:val="33"/>
        </w:numPr>
        <w:spacing w:before="0" w:line="259" w:lineRule="auto"/>
      </w:pPr>
      <w:r>
        <w:t>UKL Inflow Adjustments produce forecasted seasonal inflows that match with the NRCS Inflow Forecast</w:t>
      </w:r>
    </w:p>
    <w:p w14:paraId="1C755E39" w14:textId="77777777" w:rsidR="008769EF" w:rsidRDefault="008769EF" w:rsidP="008769EF">
      <w:pPr>
        <w:numPr>
          <w:ilvl w:val="0"/>
          <w:numId w:val="33"/>
        </w:numPr>
        <w:spacing w:before="0" w:line="259" w:lineRule="auto"/>
      </w:pPr>
      <w:r>
        <w:t>UKL Agricultural Adjustments produce the forecasted diversions supplied by UKL that match with the Project Supply</w:t>
      </w:r>
    </w:p>
    <w:p w14:paraId="5DAC76EA" w14:textId="77777777" w:rsidR="008769EF" w:rsidRDefault="008769EF" w:rsidP="008769EF">
      <w:pPr>
        <w:numPr>
          <w:ilvl w:val="0"/>
          <w:numId w:val="33"/>
        </w:numPr>
        <w:spacing w:before="0" w:after="160" w:line="259" w:lineRule="auto"/>
      </w:pPr>
      <w:r>
        <w:t>Accretion Exceedance Percentages and Adjustment Factors produce forecasted accretions that match with expected hydrology</w:t>
      </w:r>
    </w:p>
    <w:p w14:paraId="02FA5172" w14:textId="5073C316" w:rsidR="008769EF" w:rsidRDefault="008769EF" w:rsidP="00655014">
      <w:pPr>
        <w:spacing w:before="0" w:line="259" w:lineRule="auto"/>
      </w:pPr>
      <w:r>
        <w:t xml:space="preserve">For </w:t>
      </w:r>
      <w:r w:rsidR="00655014">
        <w:t>the configuration of</w:t>
      </w:r>
      <w:r>
        <w:t xml:space="preserve"> multiple runs with</w:t>
      </w:r>
      <w:r w:rsidR="00655014">
        <w:t xml:space="preserve"> different adjustments/settings,</w:t>
      </w:r>
      <w:r w:rsidR="007B3A15">
        <w:t xml:space="preserve"> specify</w:t>
      </w:r>
      <w:r>
        <w:t xml:space="preserve"> the sets </w:t>
      </w:r>
      <w:r w:rsidR="00655014">
        <w:t xml:space="preserve">of values to try </w:t>
      </w:r>
      <w:r>
        <w:t xml:space="preserve">since they likely have a good idea of what adjustments/settings create certain hydrological conditions. </w:t>
      </w:r>
      <w:r w:rsidR="007B3A15">
        <w:t>Specify</w:t>
      </w:r>
      <w:r>
        <w:t xml:space="preserve"> in slots, accessible from an SCT, the following:</w:t>
      </w:r>
    </w:p>
    <w:p w14:paraId="23D94B8E" w14:textId="4DD718BD" w:rsidR="00FB5CF8" w:rsidRDefault="008769EF" w:rsidP="007B3A15">
      <w:pPr>
        <w:pStyle w:val="ListBullet"/>
      </w:pPr>
      <w:r>
        <w:t>The number of runs to make</w:t>
      </w:r>
      <w:r w:rsidR="00FB5CF8">
        <w:t xml:space="preserve"> in the MRM </w:t>
      </w:r>
      <w:proofErr w:type="spellStart"/>
      <w:r w:rsidR="00FB5CF8">
        <w:t>Dashboar</w:t>
      </w:r>
      <w:r w:rsidR="001D01AE">
        <w:t>d.</w:t>
      </w:r>
      <w:r w:rsidR="00FB5CF8">
        <w:t>Number</w:t>
      </w:r>
      <w:proofErr w:type="spellEnd"/>
      <w:r w:rsidR="00151AD6">
        <w:t xml:space="preserve"> o</w:t>
      </w:r>
      <w:r w:rsidR="00FB5CF8">
        <w:t>f</w:t>
      </w:r>
      <w:r w:rsidR="00151AD6">
        <w:t xml:space="preserve"> R</w:t>
      </w:r>
      <w:r w:rsidR="00FB5CF8">
        <w:t>uns</w:t>
      </w:r>
      <w:r w:rsidR="00151AD6">
        <w:t xml:space="preserve"> t</w:t>
      </w:r>
      <w:r w:rsidR="00FB5CF8">
        <w:t>o</w:t>
      </w:r>
      <w:r w:rsidR="00151AD6">
        <w:t xml:space="preserve"> </w:t>
      </w:r>
      <w:r w:rsidR="00FB5CF8">
        <w:t>Make</w:t>
      </w:r>
      <w:r w:rsidR="001D01AE">
        <w:t>.</w:t>
      </w:r>
    </w:p>
    <w:p w14:paraId="7344C23A" w14:textId="713B20C0" w:rsidR="00382855" w:rsidRDefault="008769EF" w:rsidP="007B3A15">
      <w:pPr>
        <w:pStyle w:val="ListBullet"/>
      </w:pPr>
      <w:r>
        <w:lastRenderedPageBreak/>
        <w:t>Values for each adjustment factor on integer inde</w:t>
      </w:r>
      <w:r w:rsidR="00382855">
        <w:t xml:space="preserve">xes slots. </w:t>
      </w:r>
      <w:r w:rsidR="001D01AE">
        <w:t xml:space="preserve">A sample is shown.  Each row represents a run to make. In this example, there are 5 rows so 5 sets of setting values. </w:t>
      </w:r>
    </w:p>
    <w:p w14:paraId="1F6D7168" w14:textId="7608C394" w:rsidR="00FB5CF8" w:rsidRDefault="001D01AE" w:rsidP="00FB5CF8">
      <w:pPr>
        <w:pStyle w:val="FigCaption"/>
      </w:pPr>
      <w:r>
        <w:t>Sample integer indexed slot where MRM settings are specified</w:t>
      </w:r>
      <w:r w:rsidR="00151AD6">
        <w:t>, one row per run</w:t>
      </w:r>
    </w:p>
    <w:p w14:paraId="44A45475" w14:textId="77777777" w:rsidR="00FB5CF8" w:rsidRPr="00FB5CF8" w:rsidRDefault="00FB5CF8" w:rsidP="00FB5CF8">
      <w:pPr>
        <w:pStyle w:val="FigAnchor"/>
      </w:pPr>
    </w:p>
    <w:p w14:paraId="3FFAA292" w14:textId="53361A32" w:rsidR="00FB5CF8" w:rsidRDefault="00FB5CF8" w:rsidP="007B3A15">
      <w:r>
        <w:rPr>
          <w:noProof/>
        </w:rPr>
        <w:drawing>
          <wp:inline distT="0" distB="0" distL="0" distR="0" wp14:anchorId="5D97DB4F" wp14:editId="25C55C2A">
            <wp:extent cx="4666667" cy="3790476"/>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6667" cy="3790476"/>
                    </a:xfrm>
                    <a:prstGeom prst="rect">
                      <a:avLst/>
                    </a:prstGeom>
                  </pic:spPr>
                </pic:pic>
              </a:graphicData>
            </a:graphic>
          </wp:inline>
        </w:drawing>
      </w:r>
    </w:p>
    <w:p w14:paraId="46300D31" w14:textId="7FB18EDA" w:rsidR="008769EF" w:rsidRDefault="008769EF" w:rsidP="007B3A15">
      <w:r>
        <w:t>Once the runs are finished, there are certain outputs the operator will w</w:t>
      </w:r>
      <w:r w:rsidR="001D01AE">
        <w:t>ant to view</w:t>
      </w:r>
      <w:r>
        <w:t xml:space="preserve">. As above, the results will be presented in a table where each row represents the values of one run. </w:t>
      </w:r>
      <w:r w:rsidR="001D01AE">
        <w:t xml:space="preserve">See </w:t>
      </w:r>
      <w:r w:rsidR="001D01AE">
        <w:fldChar w:fldCharType="begin"/>
      </w:r>
      <w:r w:rsidR="001D01AE">
        <w:instrText xml:space="preserve"> REF _Ref50920509 \r \h </w:instrText>
      </w:r>
      <w:r w:rsidR="001D01AE">
        <w:fldChar w:fldCharType="separate"/>
      </w:r>
      <w:r w:rsidR="00170C2A">
        <w:t xml:space="preserve">Figure 13. </w:t>
      </w:r>
      <w:r w:rsidR="001D01AE">
        <w:fldChar w:fldCharType="end"/>
      </w:r>
      <w:r w:rsidR="001D01AE">
        <w:t xml:space="preserve"> </w:t>
      </w:r>
      <w:r>
        <w:t xml:space="preserve">These results can be shown on the same or a different SCT. </w:t>
      </w:r>
    </w:p>
    <w:p w14:paraId="1EC55A04" w14:textId="6ACF80D6" w:rsidR="001D01AE" w:rsidRDefault="001D01AE" w:rsidP="001D01AE">
      <w:pPr>
        <w:pStyle w:val="FigCaption"/>
      </w:pPr>
      <w:bookmarkStart w:id="127" w:name="_Ref50920509"/>
      <w:r>
        <w:lastRenderedPageBreak/>
        <w:t>Sample Integer Index Slot showing a metric for 5 MRM runs.</w:t>
      </w:r>
      <w:bookmarkEnd w:id="127"/>
      <w:r>
        <w:t xml:space="preserve"> </w:t>
      </w:r>
    </w:p>
    <w:p w14:paraId="141AFFAE" w14:textId="77777777" w:rsidR="001D01AE" w:rsidRPr="001D01AE" w:rsidRDefault="001D01AE" w:rsidP="001D01AE">
      <w:pPr>
        <w:pStyle w:val="FigAnchor"/>
      </w:pPr>
    </w:p>
    <w:p w14:paraId="00B1D626" w14:textId="59C24F42" w:rsidR="00382855" w:rsidRPr="00382855" w:rsidRDefault="001D01AE" w:rsidP="001D01AE">
      <w:pPr>
        <w:spacing w:before="0" w:after="160" w:line="259" w:lineRule="auto"/>
        <w:ind w:left="720"/>
      </w:pPr>
      <w:r>
        <w:rPr>
          <w:noProof/>
        </w:rPr>
        <w:drawing>
          <wp:inline distT="0" distB="0" distL="0" distR="0" wp14:anchorId="279B68A5" wp14:editId="100A3DBD">
            <wp:extent cx="2533333" cy="364761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333" cy="3647619"/>
                    </a:xfrm>
                    <a:prstGeom prst="rect">
                      <a:avLst/>
                    </a:prstGeom>
                  </pic:spPr>
                </pic:pic>
              </a:graphicData>
            </a:graphic>
          </wp:inline>
        </w:drawing>
      </w:r>
    </w:p>
    <w:p w14:paraId="39662320" w14:textId="77777777" w:rsidR="008769EF" w:rsidRDefault="008769EF" w:rsidP="001D01AE">
      <w:r>
        <w:t>The key metrics are the following:</w:t>
      </w:r>
    </w:p>
    <w:p w14:paraId="1E5E5486" w14:textId="6C6622AF" w:rsidR="008769EF" w:rsidRDefault="008769EF" w:rsidP="001D01AE">
      <w:pPr>
        <w:pStyle w:val="ListBullet"/>
      </w:pPr>
      <w:r>
        <w:t xml:space="preserve">Cumulative UKL Inflow: For each iteration, how </w:t>
      </w:r>
      <w:r w:rsidR="007B3A15">
        <w:t xml:space="preserve">does </w:t>
      </w:r>
      <w:r>
        <w:t>the cumulative volum</w:t>
      </w:r>
      <w:r w:rsidR="007B3A15">
        <w:t>e progresses over the season?</w:t>
      </w:r>
      <w:r>
        <w:t xml:space="preserve"> </w:t>
      </w:r>
      <w:r w:rsidR="007B3A15">
        <w:t xml:space="preserve"> C</w:t>
      </w:r>
      <w:r>
        <w:t>heck that the cumulative Mar-Sep volume is similar to the NRCS Inflow Volume for the same period</w:t>
      </w:r>
    </w:p>
    <w:p w14:paraId="23DD609D" w14:textId="66F89F06" w:rsidR="008769EF" w:rsidRDefault="008769EF" w:rsidP="001D01AE">
      <w:pPr>
        <w:pStyle w:val="ListBullet"/>
      </w:pPr>
      <w:r>
        <w:t>Project Supply: For each iteration, see how the Project Supply is distributed over the seasons and check that the cumulative distribution is similar to the total Project Supply allocation.</w:t>
      </w:r>
    </w:p>
    <w:p w14:paraId="7ED028E5" w14:textId="04C10BCE" w:rsidR="008769EF" w:rsidRDefault="008769EF" w:rsidP="001D01AE">
      <w:pPr>
        <w:pStyle w:val="ListBullet"/>
      </w:pPr>
      <w:r>
        <w:t>Compliance Metrics: For each iteration, check if all the compliance metric minimum conditions are met. Metrics include UKL pool elevation and EWA use requirements at various points through the water year.</w:t>
      </w:r>
    </w:p>
    <w:p w14:paraId="0A93002E" w14:textId="0763BFB4" w:rsidR="001D01AE" w:rsidRDefault="008769EF" w:rsidP="001D01AE">
      <w:pPr>
        <w:spacing w:before="0" w:after="160" w:line="259" w:lineRule="auto"/>
      </w:pPr>
      <w:r>
        <w:t>After analyzing the iterative run outputs and choosing the desired adjustments/settings configuration. The operator will run that setup in a single run to compute the official release at Iron Gate Dam and the hydrological fore</w:t>
      </w:r>
      <w:r w:rsidR="001D01AE">
        <w:t>casts they will report.</w:t>
      </w:r>
      <w:r w:rsidR="00ED5534">
        <w:t xml:space="preserve"> </w:t>
      </w:r>
      <w:r w:rsidR="007B3A15">
        <w:t>To do this, o</w:t>
      </w:r>
      <w:r w:rsidR="00ED5534">
        <w:t>pen the script n</w:t>
      </w:r>
      <w:r w:rsidR="001D01AE">
        <w:t>amed “</w:t>
      </w:r>
      <w:r w:rsidR="001D01AE" w:rsidRPr="001D01AE">
        <w:t>Choose desired MRM Run # and Start next Single Run</w:t>
      </w:r>
      <w:r w:rsidR="001D01AE">
        <w:t>”</w:t>
      </w:r>
      <w:r w:rsidR="00ED5534">
        <w:t xml:space="preserve"> </w:t>
      </w:r>
      <w:r w:rsidR="007B3A15">
        <w:t xml:space="preserve">and </w:t>
      </w:r>
      <w:r w:rsidR="001D01AE">
        <w:t xml:space="preserve">choose the desired run </w:t>
      </w:r>
      <w:r w:rsidR="00ED5534">
        <w:t>to use. Then execute the script. It transfers the values to the single run slots and starts a run</w:t>
      </w:r>
      <w:r w:rsidR="001D01AE">
        <w:t xml:space="preserve">. </w:t>
      </w:r>
    </w:p>
    <w:p w14:paraId="21810C69" w14:textId="4B9513EB" w:rsidR="00300F8F" w:rsidRDefault="001D01AE" w:rsidP="00300F8F">
      <w:pPr>
        <w:pStyle w:val="FigCaption"/>
      </w:pPr>
      <w:r>
        <w:lastRenderedPageBreak/>
        <w:t>Script dashboar</w:t>
      </w:r>
      <w:r w:rsidR="00300F8F">
        <w:t>d for choosing the desired MRM</w:t>
      </w:r>
    </w:p>
    <w:p w14:paraId="2B9699C0" w14:textId="77777777" w:rsidR="00300F8F" w:rsidRPr="00300F8F" w:rsidRDefault="00300F8F" w:rsidP="00300F8F">
      <w:pPr>
        <w:pStyle w:val="FigAnchor"/>
      </w:pPr>
    </w:p>
    <w:p w14:paraId="7FD9ED17" w14:textId="12CB218C" w:rsidR="001D01AE" w:rsidRDefault="004E0A28" w:rsidP="00300F8F">
      <w:r>
        <w:rPr>
          <w:noProof/>
        </w:rPr>
        <w:drawing>
          <wp:inline distT="0" distB="0" distL="0" distR="0" wp14:anchorId="2EBA69C8" wp14:editId="4078FA91">
            <wp:extent cx="4714286" cy="3095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4286" cy="3095238"/>
                    </a:xfrm>
                    <a:prstGeom prst="rect">
                      <a:avLst/>
                    </a:prstGeom>
                  </pic:spPr>
                </pic:pic>
              </a:graphicData>
            </a:graphic>
          </wp:inline>
        </w:drawing>
      </w:r>
    </w:p>
    <w:p w14:paraId="3BB01672" w14:textId="58AC9003" w:rsidR="0056441A" w:rsidRDefault="0056441A" w:rsidP="0056441A">
      <w:pPr>
        <w:pStyle w:val="InlineNote"/>
      </w:pPr>
      <w:r>
        <w:t>After running this MRM configurations and then choosing a single run using the above script, the model may have different input data than before the MRM. If you select this as the official run, then likely you will want to save the model. There is currently no way to go back to the single run setting you had before the MRM.</w:t>
      </w:r>
    </w:p>
    <w:p w14:paraId="16587FE4" w14:textId="20CE62F2" w:rsidR="008769EF" w:rsidRDefault="008769EF" w:rsidP="00EA565B">
      <w:pPr>
        <w:pStyle w:val="Heading2"/>
      </w:pPr>
      <w:bookmarkStart w:id="128" w:name="_heading=h.pswgd1byz49w" w:colFirst="0" w:colLast="0"/>
      <w:bookmarkStart w:id="129" w:name="_Toc48817229"/>
      <w:bookmarkStart w:id="130" w:name="_Toc48817262"/>
      <w:bookmarkEnd w:id="128"/>
      <w:r>
        <w:t>4) Run Scenarios to Analyze Possibilities</w:t>
      </w:r>
      <w:bookmarkEnd w:id="129"/>
      <w:bookmarkEnd w:id="130"/>
      <w:r>
        <w:t xml:space="preserve"> </w:t>
      </w:r>
    </w:p>
    <w:p w14:paraId="11F30347" w14:textId="4A21AE56" w:rsidR="008769EF" w:rsidRPr="00F741F7" w:rsidRDefault="008769EF" w:rsidP="008769EF">
      <w:pPr>
        <w:rPr>
          <w:b/>
          <w:u w:val="single"/>
        </w:rPr>
      </w:pPr>
      <w:r>
        <w:t xml:space="preserve">With the chosen adjustments/settings in the configuration run, the operator may want to run other scenarios that utilize previous year’s hydrology to see what would occur under different conditions. </w:t>
      </w:r>
      <w:r w:rsidR="00ED5534">
        <w:t>A</w:t>
      </w:r>
      <w:r>
        <w:t xml:space="preserve"> second iterative </w:t>
      </w:r>
      <w:r w:rsidR="00FB6F0E">
        <w:t>configuration</w:t>
      </w:r>
      <w:r w:rsidR="00ED5534">
        <w:t xml:space="preserve"> allows this option</w:t>
      </w:r>
      <w:r>
        <w:t>.</w:t>
      </w:r>
    </w:p>
    <w:p w14:paraId="32D182BA" w14:textId="56F85055" w:rsidR="008769EF" w:rsidRDefault="00F741F7" w:rsidP="008769EF">
      <w:r w:rsidRPr="00F741F7">
        <w:t xml:space="preserve">The </w:t>
      </w:r>
      <w:r w:rsidR="00ED5534" w:rsidRPr="00ED5534">
        <w:rPr>
          <w:b/>
        </w:rPr>
        <w:t>Run historical hydrology scenarios</w:t>
      </w:r>
      <w:r w:rsidR="00ED5534">
        <w:rPr>
          <w:b/>
        </w:rPr>
        <w:t xml:space="preserve"> </w:t>
      </w:r>
      <w:r>
        <w:t xml:space="preserve">MRM configuration uses </w:t>
      </w:r>
      <w:r w:rsidR="008769EF">
        <w:t xml:space="preserve">Iterative mode. It is designed to run scenarios with various alternative physical inputs. The </w:t>
      </w:r>
      <w:r w:rsidR="00BF273C">
        <w:t>two</w:t>
      </w:r>
      <w:r w:rsidR="008769EF">
        <w:t xml:space="preserve"> types of alternative input configurations that this MRM uses are as follows:</w:t>
      </w:r>
    </w:p>
    <w:p w14:paraId="2A90DB6F" w14:textId="77777777" w:rsidR="008769EF" w:rsidRDefault="008769EF" w:rsidP="008769EF">
      <w:pPr>
        <w:numPr>
          <w:ilvl w:val="0"/>
          <w:numId w:val="32"/>
        </w:numPr>
        <w:spacing w:before="0" w:line="259" w:lineRule="auto"/>
      </w:pPr>
      <w:r>
        <w:t>Historical UKL Inflows instead of UKL Inflow Forecast logic: Commonly, the historical years the operator selects are similar to the current year’s conditions. It may be any year from 1981 through the present.</w:t>
      </w:r>
    </w:p>
    <w:p w14:paraId="123EFE34" w14:textId="0929F422" w:rsidR="008769EF" w:rsidRDefault="008769EF" w:rsidP="008769EF">
      <w:pPr>
        <w:numPr>
          <w:ilvl w:val="0"/>
          <w:numId w:val="32"/>
        </w:numPr>
        <w:spacing w:before="0" w:line="259" w:lineRule="auto"/>
      </w:pPr>
      <w:r>
        <w:t xml:space="preserve">Historical accretions instead of Accretion Forecast logic: In the PA Calculator, the operator only has the capability to import hydrology from 2014 through the present. </w:t>
      </w:r>
    </w:p>
    <w:p w14:paraId="632D1057" w14:textId="471C26E7" w:rsidR="008769EF" w:rsidRDefault="008769EF" w:rsidP="008769EF">
      <w:r>
        <w:t xml:space="preserve">The key to running these scenarios is selectively shutting off certain forecasting logic and utilizing the correct historical hydrology instead. </w:t>
      </w:r>
      <w:r w:rsidR="00BF273C">
        <w:t>The rules</w:t>
      </w:r>
      <w:r>
        <w:t xml:space="preserve"> use one or more switches to accomplish t</w:t>
      </w:r>
      <w:r w:rsidR="00BF273C">
        <w:t>his goal. For example, a switch is</w:t>
      </w:r>
      <w:r>
        <w:t xml:space="preserve"> a slot value of zero or one, set by an Iterative MRM </w:t>
      </w:r>
      <w:r w:rsidR="00FB6F0E">
        <w:t>rule and accessed by a function</w:t>
      </w:r>
      <w:r>
        <w:t>. Thus, if the switch is active, the respective initialization rule for forecasting will not execute and alternative rules will instead reference the historical hydrology that is coordinated to the switch value. The initialization rules will copy the selected year’s data to the simulation slots, accounting for leap years as necessary. Like in the MRM configuration to run alternative configurations, a table of input values represent</w:t>
      </w:r>
      <w:r w:rsidR="00BF273C">
        <w:t>s</w:t>
      </w:r>
      <w:r>
        <w:t xml:space="preserve"> runs to make. Then the user can create and run as many scenarios as desired using the desired years and/or settings. In addition, after the runs are finished, the operator will want to see the same </w:t>
      </w:r>
      <w:r>
        <w:lastRenderedPageBreak/>
        <w:t xml:space="preserve">outputs as from the Configure Settings MRM runs. These </w:t>
      </w:r>
      <w:r w:rsidR="00FB6F0E">
        <w:t>are</w:t>
      </w:r>
      <w:r>
        <w:t xml:space="preserve"> presented on integer indexed series slots and shown on an SCT.</w:t>
      </w:r>
    </w:p>
    <w:p w14:paraId="5C20869B" w14:textId="185F580B" w:rsidR="00BF273C" w:rsidRDefault="00BF273C" w:rsidP="008769EF">
      <w:r>
        <w:t>There is an additional MRM configuration, t</w:t>
      </w:r>
      <w:r w:rsidRPr="00F741F7">
        <w:t xml:space="preserve">he </w:t>
      </w:r>
      <w:r w:rsidRPr="00BF273C">
        <w:rPr>
          <w:b/>
        </w:rPr>
        <w:t>Run with and without Agricultural Deliveries</w:t>
      </w:r>
      <w:r>
        <w:rPr>
          <w:b/>
        </w:rPr>
        <w:t xml:space="preserve">, </w:t>
      </w:r>
      <w:r w:rsidR="007E4129">
        <w:t xml:space="preserve">where </w:t>
      </w:r>
      <w:r>
        <w:t>agricultural diversions are set to zero. Therefore, the Project Supply remains as UKL storage. The operator uses this to estimate the portion of storage UKL holds for agricultural demands throughout the rest of the year.</w:t>
      </w:r>
    </w:p>
    <w:p w14:paraId="4AA36333" w14:textId="5126AB4A" w:rsidR="00D32534" w:rsidRDefault="00D32534" w:rsidP="00D32534">
      <w:pPr>
        <w:pStyle w:val="InlineWarning"/>
      </w:pPr>
      <w:r>
        <w:t>After running either of these MRM configurations to look at alternative scenarios (“</w:t>
      </w:r>
      <w:r w:rsidRPr="00ED5534">
        <w:t>Run historical hydrology</w:t>
      </w:r>
      <w:r>
        <w:t>” or “</w:t>
      </w:r>
      <w:r w:rsidRPr="00BF273C">
        <w:t>Run with and without Agricultural Deliveries</w:t>
      </w:r>
      <w:r>
        <w:t>”), you should NOT save the model as the official model. The original input data has been affected.</w:t>
      </w:r>
    </w:p>
    <w:p w14:paraId="52D8C726" w14:textId="77777777" w:rsidR="008769EF" w:rsidRDefault="008769EF" w:rsidP="00EA565B">
      <w:pPr>
        <w:pStyle w:val="Heading2"/>
      </w:pPr>
      <w:bookmarkStart w:id="131" w:name="_heading=h.a596421tjvws" w:colFirst="0" w:colLast="0"/>
      <w:bookmarkStart w:id="132" w:name="_Toc48817230"/>
      <w:bookmarkStart w:id="133" w:name="_Toc48817263"/>
      <w:bookmarkStart w:id="134" w:name="_Ref51142317"/>
      <w:bookmarkStart w:id="135" w:name="_Ref51142442"/>
      <w:bookmarkEnd w:id="131"/>
      <w:r>
        <w:t>5) Generate Reports and Output Products</w:t>
      </w:r>
      <w:bookmarkEnd w:id="132"/>
      <w:bookmarkEnd w:id="133"/>
      <w:bookmarkEnd w:id="134"/>
      <w:bookmarkEnd w:id="135"/>
    </w:p>
    <w:p w14:paraId="615CEC12" w14:textId="778A4230" w:rsidR="008769EF" w:rsidRDefault="00F741F7" w:rsidP="008769EF">
      <w:r>
        <w:t>The operator will still use m</w:t>
      </w:r>
      <w:r w:rsidR="008769EF">
        <w:t>any of the existing Excel-based reports and output products. Commonly, these tools serve a dual purpose:</w:t>
      </w:r>
    </w:p>
    <w:p w14:paraId="44D964A0" w14:textId="77777777" w:rsidR="008769EF" w:rsidRDefault="008769EF" w:rsidP="008769EF">
      <w:pPr>
        <w:numPr>
          <w:ilvl w:val="0"/>
          <w:numId w:val="30"/>
        </w:numPr>
        <w:spacing w:before="0" w:line="259" w:lineRule="auto"/>
      </w:pPr>
      <w:r>
        <w:t xml:space="preserve">Generate reports and output products for stakeholders. </w:t>
      </w:r>
    </w:p>
    <w:p w14:paraId="62F63227" w14:textId="77777777" w:rsidR="008769EF" w:rsidRDefault="008769EF" w:rsidP="008769EF">
      <w:pPr>
        <w:numPr>
          <w:ilvl w:val="0"/>
          <w:numId w:val="30"/>
        </w:numPr>
        <w:spacing w:before="0" w:after="160" w:line="259" w:lineRule="auto"/>
      </w:pPr>
      <w:r>
        <w:t>Serve as an archive for the recorded history of select hydrology and demands.</w:t>
      </w:r>
    </w:p>
    <w:p w14:paraId="19EEEED1" w14:textId="67187991" w:rsidR="008769EF" w:rsidRDefault="008769EF" w:rsidP="008769EF">
      <w:r>
        <w:t xml:space="preserve">Since </w:t>
      </w:r>
      <w:r w:rsidR="00FB6F0E">
        <w:t>the</w:t>
      </w:r>
      <w:r>
        <w:t xml:space="preserve"> outputs are based solely on historical hydrology, they do not require data from the modeling tool. This is reflected by the tools linking cells to the Daily Data Import WY 2020 workbook rather than the PA Calculator. The workbooks are as follows including the corresponding tasks or type of data reported:</w:t>
      </w:r>
    </w:p>
    <w:p w14:paraId="7E4C89EF" w14:textId="77777777" w:rsidR="008769EF" w:rsidRDefault="008769EF" w:rsidP="008769EF">
      <w:pPr>
        <w:numPr>
          <w:ilvl w:val="0"/>
          <w:numId w:val="41"/>
        </w:numPr>
        <w:spacing w:before="0" w:line="259" w:lineRule="auto"/>
      </w:pPr>
      <w:r>
        <w:t>Klamath Project Deliveries and Demands_Rev#.xlsx: Report the basin’s cumulative agricultural deliveries for various periods</w:t>
      </w:r>
    </w:p>
    <w:p w14:paraId="59549700" w14:textId="77777777" w:rsidR="008769EF" w:rsidRDefault="008769EF" w:rsidP="008769EF">
      <w:pPr>
        <w:numPr>
          <w:ilvl w:val="0"/>
          <w:numId w:val="41"/>
        </w:numPr>
        <w:spacing w:before="0" w:line="259" w:lineRule="auto"/>
      </w:pPr>
      <w:r>
        <w:t>Daily UKL net Inflow Cumulative Year#.xlsx: Report UKL’s cumulative inflow compared to previous years in the recorded history</w:t>
      </w:r>
    </w:p>
    <w:p w14:paraId="1D31BA89" w14:textId="77777777" w:rsidR="008769EF" w:rsidRDefault="008769EF" w:rsidP="008769EF">
      <w:pPr>
        <w:numPr>
          <w:ilvl w:val="0"/>
          <w:numId w:val="41"/>
        </w:numPr>
        <w:spacing w:before="0" w:line="259" w:lineRule="auto"/>
      </w:pPr>
      <w:r>
        <w:t>Daily UKL net inflow LOESS all WY: Report UKL’s smoothed daily inflow compared to previous years in the recorded history</w:t>
      </w:r>
    </w:p>
    <w:p w14:paraId="17CDE3F4" w14:textId="77777777" w:rsidR="008769EF" w:rsidRDefault="008769EF" w:rsidP="008769EF">
      <w:pPr>
        <w:numPr>
          <w:ilvl w:val="0"/>
          <w:numId w:val="41"/>
        </w:numPr>
        <w:spacing w:before="0" w:after="160" w:line="259" w:lineRule="auto"/>
      </w:pPr>
      <w:r>
        <w:t>UKL_WY20##-Year#_wormtrails.xlsx : Report UKL’s daily pool elevation compared to the previous ten years</w:t>
      </w:r>
    </w:p>
    <w:p w14:paraId="50AEB45F" w14:textId="77777777" w:rsidR="008769EF" w:rsidRDefault="008769EF" w:rsidP="008769EF">
      <w:r>
        <w:t xml:space="preserve">Preserving the use of these four workbooks maintains most of the operator’s reporting workflow. </w:t>
      </w:r>
    </w:p>
    <w:p w14:paraId="594A8B35" w14:textId="77777777" w:rsidR="008769EF" w:rsidRDefault="008769EF" w:rsidP="008769EF">
      <w:r>
        <w:t>As an exception, the workbook that produces the “Hydrology” outputs described in the KBAO Operation Workflow report does not serve as an archive. Rather, it only produces a report of the past week’s hydrology to stakeholders. This is replicated in the KROM with the Model Report feature, which is discussed in the following subsection.</w:t>
      </w:r>
    </w:p>
    <w:p w14:paraId="38F9B233" w14:textId="408DE0FC" w:rsidR="008769EF" w:rsidRDefault="008769EF" w:rsidP="008769EF">
      <w:bookmarkStart w:id="136" w:name="_heading=h.8ktz4rdyd7zi" w:colFirst="0" w:colLast="0"/>
      <w:bookmarkEnd w:id="136"/>
      <w:r>
        <w:t xml:space="preserve">To communicate basin conditions to stakeholders, the operator will send a report of the past week’s hydrology at select locations to stakeholders. </w:t>
      </w:r>
      <w:r w:rsidR="003B24E6">
        <w:t xml:space="preserve">The </w:t>
      </w:r>
      <w:r w:rsidR="003B24E6">
        <w:rPr>
          <w:b/>
        </w:rPr>
        <w:t xml:space="preserve">USBR Daily Numbers </w:t>
      </w:r>
      <w:r w:rsidR="007274D8">
        <w:t>m</w:t>
      </w:r>
      <w:r w:rsidR="003B24E6">
        <w:t>odel</w:t>
      </w:r>
      <w:r w:rsidR="007274D8">
        <w:t xml:space="preserve"> report</w:t>
      </w:r>
      <w:r w:rsidR="003B24E6">
        <w:t xml:space="preserve"> </w:t>
      </w:r>
      <w:r>
        <w:t xml:space="preserve">displays the basin’s hydrology over the past week in a tabular </w:t>
      </w:r>
      <w:r w:rsidR="003B24E6">
        <w:t xml:space="preserve">HTML </w:t>
      </w:r>
      <w:r>
        <w:t xml:space="preserve">format. The range of the past week is determined by the Operation Start </w:t>
      </w:r>
      <w:r w:rsidR="007274D8">
        <w:t>Timestep</w:t>
      </w:r>
      <w:r>
        <w:t xml:space="preserve">. For example, if the Operation Start Date is </w:t>
      </w:r>
      <w:r w:rsidR="007274D8">
        <w:t>July 22</w:t>
      </w:r>
      <w:r>
        <w:t>, 2020, th</w:t>
      </w:r>
      <w:r w:rsidR="007274D8">
        <w:t>e range of data goes from July 15</w:t>
      </w:r>
      <w:r>
        <w:t xml:space="preserve"> thr</w:t>
      </w:r>
      <w:r w:rsidR="007274D8">
        <w:t>o</w:t>
      </w:r>
      <w:r>
        <w:t>u</w:t>
      </w:r>
      <w:r w:rsidR="007274D8">
        <w:t>gh</w:t>
      </w:r>
      <w:r>
        <w:t xml:space="preserve"> </w:t>
      </w:r>
      <w:r w:rsidR="007274D8">
        <w:t>July 21</w:t>
      </w:r>
      <w:r>
        <w:t xml:space="preserve"> of 2020. The operator accesses and generates the Model Report from the Output Manager. The reported slots correspond to the hydrological variables in the USBR Daily </w:t>
      </w:r>
      <w:r w:rsidR="007274D8">
        <w:t>tab of the KlamathOps2019PA SCT</w:t>
      </w:r>
      <w:r>
        <w:t xml:space="preserve">. </w:t>
      </w:r>
    </w:p>
    <w:p w14:paraId="5E362046" w14:textId="7CFB649C" w:rsidR="008769EF" w:rsidRDefault="008769EF" w:rsidP="008769EF">
      <w:r>
        <w:t xml:space="preserve">After a run is completed, the operator opens the Output Manager from the Utilities menu from the workspace. From the listed outputs, they will select the UBSR Daily Numbers and click Generate to create the Model Report. In doing so, the HTML Model Report is saved to the folder of outputs, </w:t>
      </w:r>
      <w:r w:rsidR="007274D8">
        <w:t xml:space="preserve">and can be </w:t>
      </w:r>
      <w:r>
        <w:t>sent to the stakeholders.</w:t>
      </w:r>
    </w:p>
    <w:p w14:paraId="69A4D109" w14:textId="70450047" w:rsidR="007274D8" w:rsidRDefault="007274D8" w:rsidP="007274D8">
      <w:pPr>
        <w:pStyle w:val="FigCaption"/>
      </w:pPr>
      <w:r>
        <w:lastRenderedPageBreak/>
        <w:t>Sample USBR Daily Numbers Model Report output HTML file shown in a web browser</w:t>
      </w:r>
    </w:p>
    <w:p w14:paraId="540F7694" w14:textId="77777777" w:rsidR="007274D8" w:rsidRPr="007274D8" w:rsidRDefault="007274D8" w:rsidP="007274D8">
      <w:pPr>
        <w:pStyle w:val="FigAnchor"/>
      </w:pPr>
    </w:p>
    <w:p w14:paraId="1A45C787" w14:textId="2C72F59B" w:rsidR="007274D8" w:rsidRDefault="007274D8" w:rsidP="008769EF">
      <w:r>
        <w:rPr>
          <w:noProof/>
        </w:rPr>
        <w:drawing>
          <wp:inline distT="0" distB="0" distL="0" distR="0" wp14:anchorId="51451945" wp14:editId="798B2203">
            <wp:extent cx="5943600" cy="36588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58870"/>
                    </a:xfrm>
                    <a:prstGeom prst="rect">
                      <a:avLst/>
                    </a:prstGeom>
                  </pic:spPr>
                </pic:pic>
              </a:graphicData>
            </a:graphic>
          </wp:inline>
        </w:drawing>
      </w:r>
    </w:p>
    <w:p w14:paraId="5D80FDC9" w14:textId="77777777" w:rsidR="008769EF" w:rsidRDefault="008769EF" w:rsidP="00EA565B">
      <w:pPr>
        <w:pStyle w:val="Heading2"/>
      </w:pPr>
      <w:bookmarkStart w:id="137" w:name="_heading=h.3l7vsu6kjaxx" w:colFirst="0" w:colLast="0"/>
      <w:bookmarkStart w:id="138" w:name="_Toc48817232"/>
      <w:bookmarkStart w:id="139" w:name="_Toc48817264"/>
      <w:bookmarkStart w:id="140" w:name="_Ref51142337"/>
      <w:bookmarkEnd w:id="137"/>
      <w:r>
        <w:t>6) Archive the Model</w:t>
      </w:r>
      <w:bookmarkEnd w:id="138"/>
      <w:bookmarkEnd w:id="139"/>
      <w:bookmarkEnd w:id="140"/>
    </w:p>
    <w:p w14:paraId="1A3CF10C" w14:textId="13A97519" w:rsidR="00EA565B" w:rsidRDefault="008769EF" w:rsidP="00170C2A">
      <w:r>
        <w:t>The operator will save the new KROM model file with outputs each day to document the exact conditions and operating decisions used to assign releases and plan for the season. They will do this immediately after the run that sets the official operations and seasonal planning results. Using a “KROM_Y</w:t>
      </w:r>
      <w:r w:rsidR="00FB6F0E">
        <w:t>YYYMMDD</w:t>
      </w:r>
      <w:r>
        <w:t xml:space="preserve">_V#” naming convention, the model will be saved to the KROM Model Archive folder. For example, if the model is </w:t>
      </w:r>
      <w:r w:rsidRPr="00FB6F0E">
        <w:t>run on August 3, 2020, th</w:t>
      </w:r>
      <w:r w:rsidR="00FB6F0E" w:rsidRPr="00FB6F0E">
        <w:t>ey will save the model as “KROM_</w:t>
      </w:r>
      <w:r w:rsidRPr="00FB6F0E">
        <w:t xml:space="preserve">20200903_V1”. </w:t>
      </w:r>
      <w:r w:rsidR="00FB6F0E" w:rsidRPr="00FB6F0E">
        <w:t xml:space="preserve"> The “V” in the naming convention stands for Version. If the operator makes a significant change to the logic, features, outputs, or model layout, they will document it in the Model Info and update the version number. The operator opens the Model Info from the File menu from the workspace.</w:t>
      </w:r>
    </w:p>
    <w:sectPr w:rsidR="00EA565B" w:rsidSect="00F47F3D">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C4EA5" w14:textId="77777777" w:rsidR="004E0A28" w:rsidRDefault="004E0A28" w:rsidP="00365E1D">
      <w:r>
        <w:separator/>
      </w:r>
    </w:p>
  </w:endnote>
  <w:endnote w:type="continuationSeparator" w:id="0">
    <w:p w14:paraId="064C8A3B" w14:textId="77777777" w:rsidR="004E0A28" w:rsidRDefault="004E0A28" w:rsidP="00365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8386848"/>
      <w:docPartObj>
        <w:docPartGallery w:val="Page Numbers (Bottom of Page)"/>
        <w:docPartUnique/>
      </w:docPartObj>
    </w:sdtPr>
    <w:sdtEndPr/>
    <w:sdtContent>
      <w:sdt>
        <w:sdtPr>
          <w:id w:val="-1769616900"/>
          <w:docPartObj>
            <w:docPartGallery w:val="Page Numbers (Top of Page)"/>
            <w:docPartUnique/>
          </w:docPartObj>
        </w:sdtPr>
        <w:sdtEndPr/>
        <w:sdtContent>
          <w:p w14:paraId="7CD9E69E" w14:textId="75A0F662" w:rsidR="004E0A28" w:rsidRDefault="004E0A28" w:rsidP="00F47F3D">
            <w:pPr>
              <w:pStyle w:val="Footnote"/>
            </w:pPr>
            <w:r>
              <w:t>KROM Documentation - 2019 Proposed Action</w:t>
            </w:r>
            <w:r>
              <w:tab/>
            </w:r>
            <w:r>
              <w:tab/>
            </w:r>
            <w:r>
              <w:tab/>
            </w:r>
            <w:r>
              <w:tab/>
            </w:r>
            <w:r>
              <w:tab/>
            </w:r>
            <w:r>
              <w:tab/>
            </w:r>
            <w:r>
              <w:tab/>
            </w:r>
            <w:r>
              <w:tab/>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F051C7">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51C7">
              <w:rPr>
                <w:b/>
                <w:bCs/>
                <w:noProof/>
              </w:rPr>
              <w:t>34</w:t>
            </w:r>
            <w:r>
              <w:rPr>
                <w:b/>
                <w:bCs/>
                <w:sz w:val="24"/>
                <w:szCs w:val="24"/>
              </w:rPr>
              <w:fldChar w:fldCharType="end"/>
            </w:r>
            <w:r>
              <w:rPr>
                <w:b/>
                <w:bCs/>
                <w:sz w:val="24"/>
                <w:szCs w:val="24"/>
              </w:rP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48256" w14:textId="1DC66550" w:rsidR="004E0A28" w:rsidRDefault="004E0A28">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1B185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B185A">
      <w:rPr>
        <w:b/>
        <w:bCs/>
        <w:noProof/>
      </w:rPr>
      <w:t>34</w:t>
    </w:r>
    <w:r>
      <w:rPr>
        <w:b/>
        <w:bCs/>
        <w:sz w:val="24"/>
        <w:szCs w:val="24"/>
      </w:rPr>
      <w:fldChar w:fldCharType="end"/>
    </w:r>
    <w:r>
      <w:rPr>
        <w:b/>
        <w:bCs/>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CEA59" w14:textId="77777777" w:rsidR="004E0A28" w:rsidRDefault="004E0A28" w:rsidP="00365E1D">
      <w:r>
        <w:separator/>
      </w:r>
    </w:p>
  </w:footnote>
  <w:footnote w:type="continuationSeparator" w:id="0">
    <w:p w14:paraId="3F21E8A2" w14:textId="77777777" w:rsidR="004E0A28" w:rsidRDefault="004E0A28" w:rsidP="00365E1D">
      <w:r>
        <w:continuationSeparator/>
      </w:r>
    </w:p>
  </w:footnote>
  <w:footnote w:id="1">
    <w:p w14:paraId="1A38E4D8" w14:textId="77777777" w:rsidR="004E0A28" w:rsidRDefault="004E0A28" w:rsidP="008769EF">
      <w:pPr>
        <w:rPr>
          <w:sz w:val="20"/>
          <w:szCs w:val="20"/>
        </w:rPr>
      </w:pPr>
      <w:r>
        <w:rPr>
          <w:vertAlign w:val="superscript"/>
        </w:rPr>
        <w:footnoteRef/>
      </w:r>
      <w:r>
        <w:rPr>
          <w:sz w:val="20"/>
          <w:szCs w:val="20"/>
        </w:rPr>
        <w:t xml:space="preserve"> Klamath RiverWare Operations Model developed from September 1, 2018 through December 31, 2019 for CADSWES’s Cooperative Agreement with Reclamation (R18AC00088).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1E256" w14:textId="7196C953" w:rsidR="004E0A28" w:rsidRDefault="004E0A28">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092E1" w14:textId="40B66672" w:rsidR="004E0A28" w:rsidRDefault="004E0A28">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C3A7D3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94656C"/>
    <w:multiLevelType w:val="multilevel"/>
    <w:tmpl w:val="61F68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704E50"/>
    <w:multiLevelType w:val="multilevel"/>
    <w:tmpl w:val="0CCEA494"/>
    <w:name w:val="TITLE4"/>
    <w:styleLink w:val="ListBullets"/>
    <w:lvl w:ilvl="0">
      <w:start w:val="1"/>
      <w:numFmt w:val="bullet"/>
      <w:pStyle w:val="ListBullet"/>
      <w:lvlText w:val=""/>
      <w:lvlJc w:val="left"/>
      <w:pPr>
        <w:ind w:left="288" w:hanging="288"/>
      </w:pPr>
      <w:rPr>
        <w:rFonts w:ascii="Symbol" w:hAnsi="Symbol" w:hint="default"/>
      </w:rPr>
    </w:lvl>
    <w:lvl w:ilvl="1">
      <w:start w:val="1"/>
      <w:numFmt w:val="bullet"/>
      <w:pStyle w:val="ListBullet2"/>
      <w:lvlText w:val=""/>
      <w:lvlJc w:val="left"/>
      <w:pPr>
        <w:ind w:left="576" w:hanging="288"/>
      </w:pPr>
      <w:rPr>
        <w:rFonts w:ascii="Symbol" w:hAnsi="Symbol" w:hint="default"/>
      </w:rPr>
    </w:lvl>
    <w:lvl w:ilvl="2">
      <w:start w:val="1"/>
      <w:numFmt w:val="bullet"/>
      <w:pStyle w:val="ListBullet3"/>
      <w:lvlText w:val=""/>
      <w:lvlJc w:val="left"/>
      <w:pPr>
        <w:ind w:left="864" w:hanging="288"/>
      </w:pPr>
      <w:rPr>
        <w:rFonts w:ascii="Symbol" w:hAnsi="Symbol" w:hint="default"/>
        <w:color w:val="auto"/>
      </w:rPr>
    </w:lvl>
    <w:lvl w:ilvl="3">
      <w:start w:val="1"/>
      <w:numFmt w:val="bullet"/>
      <w:pStyle w:val="ListBullet4"/>
      <w:lvlText w:val=""/>
      <w:lvlJc w:val="left"/>
      <w:pPr>
        <w:ind w:left="1152" w:hanging="288"/>
      </w:pPr>
      <w:rPr>
        <w:rFonts w:ascii="Wingdings" w:hAnsi="Wingdings" w:hint="default"/>
      </w:rPr>
    </w:lvl>
    <w:lvl w:ilvl="4">
      <w:start w:val="1"/>
      <w:numFmt w:val="bullet"/>
      <w:pStyle w:val="ListBullet5"/>
      <w:lvlText w:val=""/>
      <w:lvlJc w:val="left"/>
      <w:pPr>
        <w:ind w:left="1440" w:hanging="288"/>
      </w:pPr>
      <w:rPr>
        <w:rFonts w:ascii="Symbol" w:hAnsi="Symbol" w:hint="default"/>
      </w:rPr>
    </w:lvl>
    <w:lvl w:ilvl="5">
      <w:start w:val="1"/>
      <w:numFmt w:val="none"/>
      <w:lvlText w:val=""/>
      <w:lvlJc w:val="left"/>
      <w:pPr>
        <w:ind w:left="1728" w:hanging="288"/>
      </w:pPr>
      <w:rPr>
        <w:rFonts w:hint="default"/>
      </w:rPr>
    </w:lvl>
    <w:lvl w:ilvl="6">
      <w:start w:val="1"/>
      <w:numFmt w:val="none"/>
      <w:lvlText w:val=""/>
      <w:lvlJc w:val="left"/>
      <w:pPr>
        <w:ind w:left="2016" w:hanging="288"/>
      </w:pPr>
      <w:rPr>
        <w:rFonts w:hint="default"/>
      </w:rPr>
    </w:lvl>
    <w:lvl w:ilvl="7">
      <w:start w:val="1"/>
      <w:numFmt w:val="none"/>
      <w:lvlText w:val="%8"/>
      <w:lvlJc w:val="left"/>
      <w:pPr>
        <w:ind w:left="2304" w:hanging="288"/>
      </w:pPr>
      <w:rPr>
        <w:rFonts w:hint="default"/>
      </w:rPr>
    </w:lvl>
    <w:lvl w:ilvl="8">
      <w:start w:val="1"/>
      <w:numFmt w:val="none"/>
      <w:lvlText w:val="%9"/>
      <w:lvlJc w:val="left"/>
      <w:pPr>
        <w:ind w:left="2592" w:hanging="288"/>
      </w:pPr>
      <w:rPr>
        <w:rFonts w:hint="default"/>
      </w:rPr>
    </w:lvl>
  </w:abstractNum>
  <w:abstractNum w:abstractNumId="3" w15:restartNumberingAfterBreak="0">
    <w:nsid w:val="035F0915"/>
    <w:multiLevelType w:val="multilevel"/>
    <w:tmpl w:val="16F03F06"/>
    <w:styleLink w:val="Inline"/>
    <w:lvl w:ilvl="0">
      <w:start w:val="1"/>
      <w:numFmt w:val="none"/>
      <w:pStyle w:val="InlineNote"/>
      <w:suff w:val="space"/>
      <w:lvlText w:val="Note:%1"/>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numFmt w:val="none"/>
      <w:lvlRestart w:val="0"/>
      <w:suff w:val="space"/>
      <w:lvlText w:val=""/>
      <w:lvlJc w:val="right"/>
      <w:pPr>
        <w:ind w:left="576" w:firstLine="0"/>
      </w:pPr>
      <w:rPr>
        <w:rFonts w:hint="default"/>
      </w:rPr>
    </w:lvl>
  </w:abstractNum>
  <w:abstractNum w:abstractNumId="4" w15:restartNumberingAfterBreak="0">
    <w:nsid w:val="07B444AB"/>
    <w:multiLevelType w:val="multilevel"/>
    <w:tmpl w:val="24FAD7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1E24FD"/>
    <w:multiLevelType w:val="multilevel"/>
    <w:tmpl w:val="0CCEA494"/>
    <w:numStyleLink w:val="ListBullets"/>
  </w:abstractNum>
  <w:abstractNum w:abstractNumId="6" w15:restartNumberingAfterBreak="0">
    <w:nsid w:val="0B975534"/>
    <w:multiLevelType w:val="multilevel"/>
    <w:tmpl w:val="8ACC4E24"/>
    <w:styleLink w:val="UnorderedList"/>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7" w15:restartNumberingAfterBreak="0">
    <w:nsid w:val="0CDD1ACF"/>
    <w:multiLevelType w:val="multilevel"/>
    <w:tmpl w:val="744AA38A"/>
    <w:styleLink w:val="Outline"/>
    <w:lvl w:ilvl="0">
      <w:start w:val="1"/>
      <w:numFmt w:val="none"/>
      <w:suff w:val="space"/>
      <w:lvlText w:val=""/>
      <w:lvlJc w:val="left"/>
      <w:pPr>
        <w:ind w:left="576" w:firstLine="0"/>
      </w:pPr>
      <w:rPr>
        <w:rFonts w:ascii="Arial" w:hAnsi="Arial" w:hint="default"/>
        <w:b/>
        <w:i w:val="0"/>
        <w:color w:val="CC6633"/>
        <w:sz w:val="20"/>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8" w15:restartNumberingAfterBreak="0">
    <w:nsid w:val="11FD5D6C"/>
    <w:multiLevelType w:val="hybridMultilevel"/>
    <w:tmpl w:val="9A4E1E10"/>
    <w:name w:val="TITLE3"/>
    <w:lvl w:ilvl="0" w:tplc="8D987224">
      <w:start w:val="1"/>
      <w:numFmt w:val="decimal"/>
      <w:pStyle w:val="ChapterNumber"/>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CA693E"/>
    <w:multiLevelType w:val="multilevel"/>
    <w:tmpl w:val="43A819B6"/>
    <w:name w:val="OL"/>
    <w:lvl w:ilvl="0">
      <w:start w:val="1"/>
      <w:numFmt w:val="decimal"/>
      <w:lvlText w:val="(%1.)"/>
      <w:lvlJc w:val="center"/>
      <w:pPr>
        <w:ind w:left="288" w:hanging="288"/>
      </w:pPr>
      <w:rPr>
        <w:rFonts w:ascii="Arial" w:hAnsi="Arial" w:hint="default"/>
        <w:b/>
        <w:i w:val="0"/>
        <w:sz w:val="20"/>
      </w:rPr>
    </w:lvl>
    <w:lvl w:ilvl="1">
      <w:start w:val="1"/>
      <w:numFmt w:val="lowerLetter"/>
      <w:pStyle w:val="List2A"/>
      <w:lvlText w:val="%2."/>
      <w:lvlJc w:val="left"/>
      <w:pPr>
        <w:ind w:left="576" w:hanging="288"/>
      </w:pPr>
      <w:rPr>
        <w:rFonts w:hint="default"/>
      </w:rPr>
    </w:lvl>
    <w:lvl w:ilvl="2">
      <w:start w:val="1"/>
      <w:numFmt w:val="lowerRoman"/>
      <w:lvlText w:val="%3."/>
      <w:lvlJc w:val="right"/>
      <w:pPr>
        <w:ind w:left="864" w:hanging="288"/>
      </w:pPr>
      <w:rPr>
        <w:rFonts w:hint="default"/>
      </w:rPr>
    </w:lvl>
    <w:lvl w:ilvl="3">
      <w:start w:val="1"/>
      <w:numFmt w:val="decimal"/>
      <w:lvlText w:val="%4."/>
      <w:lvlJc w:val="left"/>
      <w:pPr>
        <w:ind w:left="1152" w:hanging="288"/>
      </w:pPr>
      <w:rPr>
        <w:rFonts w:hint="default"/>
      </w:rPr>
    </w:lvl>
    <w:lvl w:ilvl="4">
      <w:start w:val="1"/>
      <w:numFmt w:val="lowerLetter"/>
      <w:lvlText w:val="%5."/>
      <w:lvlJc w:val="left"/>
      <w:pPr>
        <w:ind w:left="1440" w:hanging="288"/>
      </w:pPr>
      <w:rPr>
        <w:rFonts w:hint="default"/>
      </w:rPr>
    </w:lvl>
    <w:lvl w:ilvl="5">
      <w:start w:val="1"/>
      <w:numFmt w:val="lowerRoman"/>
      <w:lvlText w:val="%6."/>
      <w:lvlJc w:val="righ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ind w:left="2592" w:hanging="288"/>
      </w:pPr>
      <w:rPr>
        <w:rFonts w:hint="default"/>
      </w:rPr>
    </w:lvl>
  </w:abstractNum>
  <w:abstractNum w:abstractNumId="10" w15:restartNumberingAfterBreak="0">
    <w:nsid w:val="14245B09"/>
    <w:multiLevelType w:val="multilevel"/>
    <w:tmpl w:val="6D2802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0B4100"/>
    <w:multiLevelType w:val="multilevel"/>
    <w:tmpl w:val="C5EC8748"/>
    <w:styleLink w:val="Warning"/>
    <w:lvl w:ilvl="0">
      <w:start w:val="1"/>
      <w:numFmt w:val="none"/>
      <w:pStyle w:val="InlineWarning"/>
      <w:suff w:val="space"/>
      <w:lvlText w:val="Warning:"/>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start w:val="1"/>
      <w:numFmt w:val="none"/>
      <w:lvlText w:val=""/>
      <w:lvlJc w:val="right"/>
      <w:pPr>
        <w:ind w:left="576" w:firstLine="0"/>
      </w:pPr>
      <w:rPr>
        <w:rFonts w:hint="default"/>
      </w:rPr>
    </w:lvl>
  </w:abstractNum>
  <w:abstractNum w:abstractNumId="12" w15:restartNumberingAfterBreak="0">
    <w:nsid w:val="1AE9136C"/>
    <w:multiLevelType w:val="multilevel"/>
    <w:tmpl w:val="724A1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746413"/>
    <w:multiLevelType w:val="multilevel"/>
    <w:tmpl w:val="EABCE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C7978AC"/>
    <w:multiLevelType w:val="multilevel"/>
    <w:tmpl w:val="8A5A33F2"/>
    <w:numStyleLink w:val="Caution"/>
  </w:abstractNum>
  <w:abstractNum w:abstractNumId="15" w15:restartNumberingAfterBreak="0">
    <w:nsid w:val="1CC7251E"/>
    <w:multiLevelType w:val="multilevel"/>
    <w:tmpl w:val="50AA1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493555"/>
    <w:multiLevelType w:val="hybridMultilevel"/>
    <w:tmpl w:val="5E16CA3E"/>
    <w:name w:val="OL22"/>
    <w:lvl w:ilvl="0" w:tplc="D618D764">
      <w:start w:val="1"/>
      <w:numFmt w:val="decimal"/>
      <w:lvlText w:val="%1."/>
      <w:lvlJc w:val="left"/>
      <w:pPr>
        <w:ind w:left="2880" w:hanging="360"/>
      </w:pPr>
      <w:rPr>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21BC561E"/>
    <w:multiLevelType w:val="multilevel"/>
    <w:tmpl w:val="27904676"/>
    <w:name w:val="TITLE"/>
    <w:lvl w:ilvl="0">
      <w:start w:val="1"/>
      <w:numFmt w:val="upperLetter"/>
      <w:pStyle w:val="AppendixNumber"/>
      <w:lvlText w:val="Appendix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2D400F"/>
    <w:multiLevelType w:val="hybridMultilevel"/>
    <w:tmpl w:val="98A2FB94"/>
    <w:name w:val="OL2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5597EA5"/>
    <w:multiLevelType w:val="hybridMultilevel"/>
    <w:tmpl w:val="A22E316A"/>
    <w:lvl w:ilvl="0" w:tplc="128E58B4">
      <w:start w:val="1"/>
      <w:numFmt w:val="bullet"/>
      <w:pStyle w:val="Def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0" w15:restartNumberingAfterBreak="0">
    <w:nsid w:val="27507454"/>
    <w:multiLevelType w:val="multilevel"/>
    <w:tmpl w:val="F1F29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0322B4C"/>
    <w:multiLevelType w:val="hybridMultilevel"/>
    <w:tmpl w:val="8F12189A"/>
    <w:name w:val="OL22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45F5072"/>
    <w:multiLevelType w:val="hybridMultilevel"/>
    <w:tmpl w:val="330A7462"/>
    <w:name w:val="TITLE2"/>
    <w:lvl w:ilvl="0" w:tplc="4D86960E">
      <w:start w:val="1"/>
      <w:numFmt w:val="decimal"/>
      <w:lvlText w:val="(%1.)"/>
      <w:lvlJc w:val="righ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402521"/>
    <w:multiLevelType w:val="multilevel"/>
    <w:tmpl w:val="4E708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FD6F46"/>
    <w:multiLevelType w:val="hybridMultilevel"/>
    <w:tmpl w:val="31A01F82"/>
    <w:lvl w:ilvl="0" w:tplc="50FAD5B0">
      <w:start w:val="1"/>
      <w:numFmt w:val="bullet"/>
      <w:pStyle w:val="TCel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A755D2"/>
    <w:multiLevelType w:val="hybridMultilevel"/>
    <w:tmpl w:val="26AE23B6"/>
    <w:name w:val="OL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8F30781"/>
    <w:multiLevelType w:val="multilevel"/>
    <w:tmpl w:val="46D81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088718E"/>
    <w:multiLevelType w:val="multilevel"/>
    <w:tmpl w:val="6802A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0DC0960"/>
    <w:multiLevelType w:val="hybridMultilevel"/>
    <w:tmpl w:val="CFCEBBF6"/>
    <w:name w:val="OL222"/>
    <w:lvl w:ilvl="0" w:tplc="4F4EC8AC">
      <w:start w:val="1"/>
      <w:numFmt w:val="lowerRoman"/>
      <w:lvlText w:val="%1."/>
      <w:lvlJc w:val="right"/>
      <w:pPr>
        <w:ind w:left="2160" w:hanging="18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5F44F4"/>
    <w:multiLevelType w:val="multilevel"/>
    <w:tmpl w:val="89A4C2D0"/>
    <w:lvl w:ilvl="0">
      <w:start w:val="1"/>
      <w:numFmt w:val="decimal"/>
      <w:pStyle w:val="List1N"/>
      <w:lvlText w:val="%1."/>
      <w:lvlJc w:val="left"/>
      <w:pPr>
        <w:ind w:left="288" w:hanging="288"/>
      </w:pPr>
      <w:rPr>
        <w:rFonts w:hint="default"/>
      </w:rPr>
    </w:lvl>
    <w:lvl w:ilvl="1">
      <w:start w:val="1"/>
      <w:numFmt w:val="bullet"/>
      <w:lvlText w:val=""/>
      <w:lvlJc w:val="left"/>
      <w:pPr>
        <w:ind w:left="576" w:hanging="288"/>
      </w:pPr>
      <w:rPr>
        <w:rFonts w:ascii="Symbol" w:hAnsi="Symbol" w:hint="default"/>
      </w:rPr>
    </w:lvl>
    <w:lvl w:ilvl="2">
      <w:start w:val="1"/>
      <w:numFmt w:val="decimal"/>
      <w:pStyle w:val="List3N"/>
      <w:lvlText w:val="%3."/>
      <w:lvlJc w:val="left"/>
      <w:pPr>
        <w:ind w:left="864" w:hanging="288"/>
      </w:pPr>
      <w:rPr>
        <w:rFonts w:hint="default"/>
      </w:rPr>
    </w:lvl>
    <w:lvl w:ilvl="3">
      <w:start w:val="1"/>
      <w:numFmt w:val="decimal"/>
      <w:lvlText w:val="%4."/>
      <w:lvlJc w:val="left"/>
      <w:pPr>
        <w:ind w:left="1152" w:hanging="288"/>
      </w:pPr>
      <w:rPr>
        <w:rFonts w:hint="default"/>
      </w:rPr>
    </w:lvl>
    <w:lvl w:ilvl="4">
      <w:start w:val="1"/>
      <w:numFmt w:val="lowerLetter"/>
      <w:lvlText w:val="%5."/>
      <w:lvlJc w:val="left"/>
      <w:pPr>
        <w:ind w:left="1440" w:hanging="288"/>
      </w:pPr>
      <w:rPr>
        <w:rFonts w:hint="default"/>
      </w:rPr>
    </w:lvl>
    <w:lvl w:ilvl="5">
      <w:start w:val="1"/>
      <w:numFmt w:val="lowerRoman"/>
      <w:lvlText w:val="%6."/>
      <w:lvlJc w:val="righ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ind w:left="2592" w:hanging="288"/>
      </w:pPr>
      <w:rPr>
        <w:rFonts w:hint="default"/>
      </w:rPr>
    </w:lvl>
  </w:abstractNum>
  <w:abstractNum w:abstractNumId="30" w15:restartNumberingAfterBreak="0">
    <w:nsid w:val="43A66974"/>
    <w:multiLevelType w:val="hybridMultilevel"/>
    <w:tmpl w:val="14DA4626"/>
    <w:lvl w:ilvl="0" w:tplc="0FA0D1CC">
      <w:start w:val="1"/>
      <w:numFmt w:val="decimal"/>
      <w:pStyle w:val="TableTitle"/>
      <w:suff w:val="space"/>
      <w:lvlText w:val="Table %1. "/>
      <w:lvlJc w:val="left"/>
      <w:pPr>
        <w:ind w:left="6642" w:hanging="5472"/>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CF4679"/>
    <w:multiLevelType w:val="multilevel"/>
    <w:tmpl w:val="16F03F06"/>
    <w:numStyleLink w:val="Inline"/>
  </w:abstractNum>
  <w:abstractNum w:abstractNumId="32" w15:restartNumberingAfterBreak="0">
    <w:nsid w:val="491D14C2"/>
    <w:multiLevelType w:val="multilevel"/>
    <w:tmpl w:val="07B4C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9A92F06"/>
    <w:multiLevelType w:val="multilevel"/>
    <w:tmpl w:val="8A5A33F2"/>
    <w:styleLink w:val="Caution"/>
    <w:lvl w:ilvl="0">
      <w:start w:val="1"/>
      <w:numFmt w:val="none"/>
      <w:pStyle w:val="InlineCaution"/>
      <w:suff w:val="space"/>
      <w:lvlText w:val="Caution: "/>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numFmt w:val="none"/>
      <w:lvlRestart w:val="0"/>
      <w:lvlText w:val=""/>
      <w:lvlJc w:val="left"/>
      <w:pPr>
        <w:ind w:left="576" w:firstLine="0"/>
      </w:pPr>
      <w:rPr>
        <w:rFonts w:hint="default"/>
      </w:rPr>
    </w:lvl>
  </w:abstractNum>
  <w:abstractNum w:abstractNumId="34" w15:restartNumberingAfterBreak="0">
    <w:nsid w:val="4B147A9E"/>
    <w:multiLevelType w:val="hybridMultilevel"/>
    <w:tmpl w:val="71BCAEDE"/>
    <w:lvl w:ilvl="0" w:tplc="FBBCECB0">
      <w:start w:val="1"/>
      <w:numFmt w:val="decimal"/>
      <w:pStyle w:val="ExampleCaption"/>
      <w:suff w:val="space"/>
      <w:lvlText w:val="Example %1. "/>
      <w:lvlJc w:val="lef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8A5F84"/>
    <w:multiLevelType w:val="multilevel"/>
    <w:tmpl w:val="8BDAC02E"/>
    <w:numStyleLink w:val="Tip"/>
  </w:abstractNum>
  <w:abstractNum w:abstractNumId="36" w15:restartNumberingAfterBreak="0">
    <w:nsid w:val="52AD72EA"/>
    <w:multiLevelType w:val="hybridMultilevel"/>
    <w:tmpl w:val="85C07B92"/>
    <w:name w:val="TITLE32"/>
    <w:lvl w:ilvl="0" w:tplc="D930C9F0">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53731A26"/>
    <w:multiLevelType w:val="multilevel"/>
    <w:tmpl w:val="C80AA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85C13EB"/>
    <w:multiLevelType w:val="multilevel"/>
    <w:tmpl w:val="8B0248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58921F35"/>
    <w:multiLevelType w:val="multilevel"/>
    <w:tmpl w:val="8BDAC02E"/>
    <w:styleLink w:val="Tip"/>
    <w:lvl w:ilvl="0">
      <w:start w:val="1"/>
      <w:numFmt w:val="none"/>
      <w:pStyle w:val="InlineTip"/>
      <w:suff w:val="space"/>
      <w:lvlText w:val="Tip:"/>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start w:val="1"/>
      <w:numFmt w:val="none"/>
      <w:lvlText w:val=""/>
      <w:lvlJc w:val="right"/>
      <w:pPr>
        <w:ind w:left="576" w:firstLine="0"/>
      </w:pPr>
      <w:rPr>
        <w:rFonts w:hint="default"/>
      </w:rPr>
    </w:lvl>
  </w:abstractNum>
  <w:abstractNum w:abstractNumId="40" w15:restartNumberingAfterBreak="0">
    <w:nsid w:val="58E760CB"/>
    <w:multiLevelType w:val="multilevel"/>
    <w:tmpl w:val="82243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C13011B"/>
    <w:multiLevelType w:val="multilevel"/>
    <w:tmpl w:val="443E9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7591A44"/>
    <w:multiLevelType w:val="multilevel"/>
    <w:tmpl w:val="C5EC8748"/>
    <w:numStyleLink w:val="Warning"/>
  </w:abstractNum>
  <w:abstractNum w:abstractNumId="43" w15:restartNumberingAfterBreak="0">
    <w:nsid w:val="6AC60F0E"/>
    <w:multiLevelType w:val="multilevel"/>
    <w:tmpl w:val="82243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BBA0425"/>
    <w:multiLevelType w:val="hybridMultilevel"/>
    <w:tmpl w:val="77DC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E773B2"/>
    <w:multiLevelType w:val="multilevel"/>
    <w:tmpl w:val="6F98924A"/>
    <w:name w:val="UL"/>
    <w:lvl w:ilvl="0">
      <w:start w:val="1"/>
      <w:numFmt w:val="bullet"/>
      <w:pStyle w:val="ExampleBullet"/>
      <w:lvlText w:val=""/>
      <w:lvlJc w:val="left"/>
      <w:pPr>
        <w:tabs>
          <w:tab w:val="num" w:pos="288"/>
        </w:tabs>
        <w:ind w:left="288" w:hanging="288"/>
      </w:pPr>
      <w:rPr>
        <w:rFonts w:ascii="Symbol" w:hAnsi="Symbol" w:hint="default"/>
      </w:rPr>
    </w:lvl>
    <w:lvl w:ilvl="1">
      <w:start w:val="1"/>
      <w:numFmt w:val="bullet"/>
      <w:lvlText w:val=""/>
      <w:lvlJc w:val="left"/>
      <w:pPr>
        <w:tabs>
          <w:tab w:val="num" w:pos="576"/>
        </w:tabs>
        <w:ind w:left="576" w:hanging="288"/>
      </w:pPr>
      <w:rPr>
        <w:rFonts w:ascii="Symbol" w:hAnsi="Symbol" w:hint="default"/>
      </w:rPr>
    </w:lvl>
    <w:lvl w:ilvl="2">
      <w:start w:val="1"/>
      <w:numFmt w:val="bullet"/>
      <w:lvlRestart w:val="1"/>
      <w:lvlText w:val=""/>
      <w:lvlJc w:val="left"/>
      <w:pPr>
        <w:tabs>
          <w:tab w:val="num" w:pos="864"/>
        </w:tabs>
        <w:ind w:left="864" w:hanging="288"/>
      </w:pPr>
      <w:rPr>
        <w:rFonts w:ascii="Symbol" w:hAnsi="Symbol" w:hint="default"/>
      </w:rPr>
    </w:lvl>
    <w:lvl w:ilvl="3">
      <w:start w:val="1"/>
      <w:numFmt w:val="bullet"/>
      <w:lvlText w:val=""/>
      <w:lvlJc w:val="left"/>
      <w:pPr>
        <w:tabs>
          <w:tab w:val="num" w:pos="1152"/>
        </w:tabs>
        <w:ind w:left="1152" w:hanging="288"/>
      </w:pPr>
      <w:rPr>
        <w:rFonts w:ascii="Wingdings" w:hAnsi="Wingdings" w:hint="default"/>
      </w:rPr>
    </w:lvl>
    <w:lvl w:ilvl="4">
      <w:start w:val="1"/>
      <w:numFmt w:val="bullet"/>
      <w:lvlText w:val="o"/>
      <w:lvlJc w:val="left"/>
      <w:pPr>
        <w:tabs>
          <w:tab w:val="num" w:pos="1440"/>
        </w:tabs>
        <w:ind w:left="1440" w:hanging="288"/>
      </w:pPr>
      <w:rPr>
        <w:rFonts w:ascii="Courier New" w:hAnsi="Courier New" w:cs="Courier New" w:hint="default"/>
      </w:rPr>
    </w:lvl>
    <w:lvl w:ilvl="5">
      <w:start w:val="1"/>
      <w:numFmt w:val="bullet"/>
      <w:lvlText w:val=""/>
      <w:lvlJc w:val="left"/>
      <w:pPr>
        <w:tabs>
          <w:tab w:val="num" w:pos="1728"/>
        </w:tabs>
        <w:ind w:left="1728" w:hanging="288"/>
      </w:pPr>
      <w:rPr>
        <w:rFonts w:ascii="Wingdings" w:hAnsi="Wingdings" w:hint="default"/>
      </w:rPr>
    </w:lvl>
    <w:lvl w:ilvl="6">
      <w:start w:val="1"/>
      <w:numFmt w:val="bullet"/>
      <w:lvlText w:val=""/>
      <w:lvlJc w:val="left"/>
      <w:pPr>
        <w:tabs>
          <w:tab w:val="num" w:pos="2016"/>
        </w:tabs>
        <w:ind w:left="2016" w:hanging="288"/>
      </w:pPr>
      <w:rPr>
        <w:rFonts w:ascii="Symbol" w:hAnsi="Symbol" w:hint="default"/>
      </w:rPr>
    </w:lvl>
    <w:lvl w:ilvl="7">
      <w:start w:val="1"/>
      <w:numFmt w:val="bullet"/>
      <w:lvlText w:val="o"/>
      <w:lvlJc w:val="left"/>
      <w:pPr>
        <w:tabs>
          <w:tab w:val="num" w:pos="2304"/>
        </w:tabs>
        <w:ind w:left="2304" w:hanging="288"/>
      </w:pPr>
      <w:rPr>
        <w:rFonts w:ascii="Courier New" w:hAnsi="Courier New" w:cs="Courier New" w:hint="default"/>
      </w:rPr>
    </w:lvl>
    <w:lvl w:ilvl="8">
      <w:start w:val="1"/>
      <w:numFmt w:val="bullet"/>
      <w:lvlText w:val=""/>
      <w:lvlJc w:val="left"/>
      <w:pPr>
        <w:tabs>
          <w:tab w:val="num" w:pos="2592"/>
        </w:tabs>
        <w:ind w:left="2592" w:hanging="288"/>
      </w:pPr>
      <w:rPr>
        <w:rFonts w:ascii="Wingdings" w:hAnsi="Wingdings" w:hint="default"/>
      </w:rPr>
    </w:lvl>
  </w:abstractNum>
  <w:abstractNum w:abstractNumId="46" w15:restartNumberingAfterBreak="0">
    <w:nsid w:val="6F1C5E0A"/>
    <w:multiLevelType w:val="multilevel"/>
    <w:tmpl w:val="BB1A4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B4E2C18"/>
    <w:multiLevelType w:val="hybridMultilevel"/>
    <w:tmpl w:val="7180A930"/>
    <w:lvl w:ilvl="0" w:tplc="08806DC4">
      <w:start w:val="1"/>
      <w:numFmt w:val="decimal"/>
      <w:pStyle w:val="FigCaption"/>
      <w:suff w:val="space"/>
      <w:lvlText w:val="Figure %1. "/>
      <w:lvlJc w:val="lef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881352"/>
    <w:multiLevelType w:val="multilevel"/>
    <w:tmpl w:val="DC5E8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E097F89"/>
    <w:multiLevelType w:val="multilevel"/>
    <w:tmpl w:val="ED927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FC44BF5"/>
    <w:multiLevelType w:val="multilevel"/>
    <w:tmpl w:val="620E5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9"/>
  </w:num>
  <w:num w:numId="2">
    <w:abstractNumId w:val="9"/>
  </w:num>
  <w:num w:numId="3">
    <w:abstractNumId w:val="47"/>
  </w:num>
  <w:num w:numId="4">
    <w:abstractNumId w:val="34"/>
  </w:num>
  <w:num w:numId="5">
    <w:abstractNumId w:val="17"/>
  </w:num>
  <w:num w:numId="6">
    <w:abstractNumId w:val="33"/>
  </w:num>
  <w:num w:numId="7">
    <w:abstractNumId w:val="39"/>
  </w:num>
  <w:num w:numId="8">
    <w:abstractNumId w:val="11"/>
  </w:num>
  <w:num w:numId="9">
    <w:abstractNumId w:val="7"/>
  </w:num>
  <w:num w:numId="10">
    <w:abstractNumId w:val="31"/>
  </w:num>
  <w:num w:numId="11">
    <w:abstractNumId w:val="6"/>
  </w:num>
  <w:num w:numId="12">
    <w:abstractNumId w:val="45"/>
  </w:num>
  <w:num w:numId="13">
    <w:abstractNumId w:val="29"/>
  </w:num>
  <w:num w:numId="14">
    <w:abstractNumId w:val="30"/>
  </w:num>
  <w:num w:numId="15">
    <w:abstractNumId w:val="24"/>
  </w:num>
  <w:num w:numId="16">
    <w:abstractNumId w:val="8"/>
  </w:num>
  <w:num w:numId="17">
    <w:abstractNumId w:val="2"/>
  </w:num>
  <w:num w:numId="18">
    <w:abstractNumId w:val="3"/>
  </w:num>
  <w:num w:numId="19">
    <w:abstractNumId w:val="35"/>
  </w:num>
  <w:num w:numId="20">
    <w:abstractNumId w:val="42"/>
  </w:num>
  <w:num w:numId="21">
    <w:abstractNumId w:val="5"/>
    <w:lvlOverride w:ilvl="0">
      <w:lvl w:ilvl="0">
        <w:start w:val="1"/>
        <w:numFmt w:val="bullet"/>
        <w:pStyle w:val="ListBullet"/>
        <w:lvlText w:val=""/>
        <w:lvlJc w:val="left"/>
        <w:pPr>
          <w:ind w:left="288" w:hanging="288"/>
        </w:pPr>
        <w:rPr>
          <w:rFonts w:ascii="Symbol" w:hAnsi="Symbol" w:hint="default"/>
        </w:rPr>
      </w:lvl>
    </w:lvlOverride>
    <w:lvlOverride w:ilvl="1">
      <w:lvl w:ilvl="1">
        <w:start w:val="1"/>
        <w:numFmt w:val="bullet"/>
        <w:pStyle w:val="ListBullet2"/>
        <w:lvlText w:val=""/>
        <w:lvlJc w:val="left"/>
        <w:pPr>
          <w:ind w:left="576" w:hanging="288"/>
        </w:pPr>
        <w:rPr>
          <w:rFonts w:ascii="Symbol" w:hAnsi="Symbol" w:hint="default"/>
        </w:rPr>
      </w:lvl>
    </w:lvlOverride>
    <w:lvlOverride w:ilvl="2">
      <w:lvl w:ilvl="2">
        <w:start w:val="1"/>
        <w:numFmt w:val="bullet"/>
        <w:pStyle w:val="ListBullet3"/>
        <w:lvlText w:val=""/>
        <w:lvlJc w:val="left"/>
        <w:pPr>
          <w:ind w:left="864" w:hanging="288"/>
        </w:pPr>
        <w:rPr>
          <w:rFonts w:ascii="Symbol" w:hAnsi="Symbol" w:hint="default"/>
          <w:color w:val="auto"/>
        </w:rPr>
      </w:lvl>
    </w:lvlOverride>
    <w:lvlOverride w:ilvl="3">
      <w:lvl w:ilvl="3">
        <w:start w:val="1"/>
        <w:numFmt w:val="bullet"/>
        <w:pStyle w:val="ListBullet4"/>
        <w:lvlText w:val=""/>
        <w:lvlJc w:val="left"/>
        <w:pPr>
          <w:ind w:left="1152" w:hanging="288"/>
        </w:pPr>
        <w:rPr>
          <w:rFonts w:ascii="Wingdings" w:hAnsi="Wingdings" w:hint="default"/>
        </w:rPr>
      </w:lvl>
    </w:lvlOverride>
    <w:lvlOverride w:ilvl="4">
      <w:lvl w:ilvl="4">
        <w:start w:val="1"/>
        <w:numFmt w:val="bullet"/>
        <w:pStyle w:val="ListBullet5"/>
        <w:lvlText w:val=""/>
        <w:lvlJc w:val="left"/>
        <w:pPr>
          <w:ind w:left="1440" w:hanging="288"/>
        </w:pPr>
        <w:rPr>
          <w:rFonts w:ascii="Symbol" w:hAnsi="Symbol" w:hint="default"/>
        </w:rPr>
      </w:lvl>
    </w:lvlOverride>
    <w:lvlOverride w:ilvl="5">
      <w:lvl w:ilvl="5">
        <w:start w:val="1"/>
        <w:numFmt w:val="none"/>
        <w:lvlText w:val=""/>
        <w:lvlJc w:val="left"/>
        <w:pPr>
          <w:ind w:left="1728" w:hanging="288"/>
        </w:pPr>
        <w:rPr>
          <w:rFonts w:hint="default"/>
        </w:rPr>
      </w:lvl>
    </w:lvlOverride>
    <w:lvlOverride w:ilvl="6">
      <w:lvl w:ilvl="6">
        <w:start w:val="1"/>
        <w:numFmt w:val="none"/>
        <w:lvlText w:val=""/>
        <w:lvlJc w:val="left"/>
        <w:pPr>
          <w:ind w:left="2016" w:hanging="288"/>
        </w:pPr>
        <w:rPr>
          <w:rFonts w:hint="default"/>
        </w:rPr>
      </w:lvl>
    </w:lvlOverride>
    <w:lvlOverride w:ilvl="7">
      <w:lvl w:ilvl="7">
        <w:start w:val="1"/>
        <w:numFmt w:val="none"/>
        <w:lvlText w:val="%8"/>
        <w:lvlJc w:val="left"/>
        <w:pPr>
          <w:ind w:left="2304" w:hanging="288"/>
        </w:pPr>
        <w:rPr>
          <w:rFonts w:hint="default"/>
        </w:rPr>
      </w:lvl>
    </w:lvlOverride>
    <w:lvlOverride w:ilvl="8">
      <w:lvl w:ilvl="8">
        <w:start w:val="1"/>
        <w:numFmt w:val="none"/>
        <w:lvlText w:val="%9"/>
        <w:lvlJc w:val="left"/>
        <w:pPr>
          <w:ind w:left="2592" w:hanging="288"/>
        </w:pPr>
        <w:rPr>
          <w:rFonts w:hint="default"/>
        </w:rPr>
      </w:lvl>
    </w:lvlOverride>
  </w:num>
  <w:num w:numId="22">
    <w:abstractNumId w:val="14"/>
  </w:num>
  <w:num w:numId="23">
    <w:abstractNumId w:val="32"/>
  </w:num>
  <w:num w:numId="24">
    <w:abstractNumId w:val="15"/>
  </w:num>
  <w:num w:numId="25">
    <w:abstractNumId w:val="37"/>
  </w:num>
  <w:num w:numId="26">
    <w:abstractNumId w:val="1"/>
  </w:num>
  <w:num w:numId="27">
    <w:abstractNumId w:val="4"/>
  </w:num>
  <w:num w:numId="28">
    <w:abstractNumId w:val="41"/>
  </w:num>
  <w:num w:numId="29">
    <w:abstractNumId w:val="23"/>
  </w:num>
  <w:num w:numId="30">
    <w:abstractNumId w:val="12"/>
  </w:num>
  <w:num w:numId="31">
    <w:abstractNumId w:val="20"/>
  </w:num>
  <w:num w:numId="32">
    <w:abstractNumId w:val="43"/>
  </w:num>
  <w:num w:numId="33">
    <w:abstractNumId w:val="48"/>
  </w:num>
  <w:num w:numId="34">
    <w:abstractNumId w:val="27"/>
  </w:num>
  <w:num w:numId="35">
    <w:abstractNumId w:val="49"/>
  </w:num>
  <w:num w:numId="36">
    <w:abstractNumId w:val="38"/>
  </w:num>
  <w:num w:numId="37">
    <w:abstractNumId w:val="26"/>
  </w:num>
  <w:num w:numId="38">
    <w:abstractNumId w:val="10"/>
  </w:num>
  <w:num w:numId="39">
    <w:abstractNumId w:val="50"/>
  </w:num>
  <w:num w:numId="40">
    <w:abstractNumId w:val="46"/>
  </w:num>
  <w:num w:numId="41">
    <w:abstractNumId w:val="13"/>
  </w:num>
  <w:num w:numId="42">
    <w:abstractNumId w:val="0"/>
  </w:num>
  <w:num w:numId="43">
    <w:abstractNumId w:val="44"/>
  </w:num>
  <w:num w:numId="44">
    <w:abstractNumId w:val="4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trackRevisions/>
  <w:defaultTabStop w:val="288"/>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69"/>
    <w:rsid w:val="00002121"/>
    <w:rsid w:val="0000500D"/>
    <w:rsid w:val="00006708"/>
    <w:rsid w:val="00006DB8"/>
    <w:rsid w:val="00006EAC"/>
    <w:rsid w:val="00014E4B"/>
    <w:rsid w:val="00014EE9"/>
    <w:rsid w:val="00016998"/>
    <w:rsid w:val="00016E24"/>
    <w:rsid w:val="000231BC"/>
    <w:rsid w:val="00026608"/>
    <w:rsid w:val="00031066"/>
    <w:rsid w:val="00031867"/>
    <w:rsid w:val="00031C8E"/>
    <w:rsid w:val="00032720"/>
    <w:rsid w:val="00033261"/>
    <w:rsid w:val="0004103E"/>
    <w:rsid w:val="00042AF7"/>
    <w:rsid w:val="00045483"/>
    <w:rsid w:val="00050B82"/>
    <w:rsid w:val="00052886"/>
    <w:rsid w:val="00053A9D"/>
    <w:rsid w:val="0006136E"/>
    <w:rsid w:val="00062F0F"/>
    <w:rsid w:val="00063EA2"/>
    <w:rsid w:val="000679F4"/>
    <w:rsid w:val="000774E1"/>
    <w:rsid w:val="00085FAD"/>
    <w:rsid w:val="000865CF"/>
    <w:rsid w:val="000870C9"/>
    <w:rsid w:val="0009709E"/>
    <w:rsid w:val="000A153F"/>
    <w:rsid w:val="000A1591"/>
    <w:rsid w:val="000A6389"/>
    <w:rsid w:val="000A6736"/>
    <w:rsid w:val="000A6C26"/>
    <w:rsid w:val="000B0005"/>
    <w:rsid w:val="000B1B55"/>
    <w:rsid w:val="000B2871"/>
    <w:rsid w:val="000B2D24"/>
    <w:rsid w:val="000B7D68"/>
    <w:rsid w:val="000C002A"/>
    <w:rsid w:val="000D3ED8"/>
    <w:rsid w:val="000D5681"/>
    <w:rsid w:val="000E0112"/>
    <w:rsid w:val="000E3012"/>
    <w:rsid w:val="000F25AB"/>
    <w:rsid w:val="000F5339"/>
    <w:rsid w:val="000F6BF8"/>
    <w:rsid w:val="00105325"/>
    <w:rsid w:val="00111FAE"/>
    <w:rsid w:val="00115BCF"/>
    <w:rsid w:val="00117CB1"/>
    <w:rsid w:val="00122F71"/>
    <w:rsid w:val="00123E67"/>
    <w:rsid w:val="00124B10"/>
    <w:rsid w:val="00125DB2"/>
    <w:rsid w:val="001317D5"/>
    <w:rsid w:val="00131F11"/>
    <w:rsid w:val="001338B2"/>
    <w:rsid w:val="00142AEB"/>
    <w:rsid w:val="00143F15"/>
    <w:rsid w:val="00151AD6"/>
    <w:rsid w:val="0015298C"/>
    <w:rsid w:val="00160B27"/>
    <w:rsid w:val="0016218B"/>
    <w:rsid w:val="00162B9E"/>
    <w:rsid w:val="0016576E"/>
    <w:rsid w:val="00165B08"/>
    <w:rsid w:val="00170C2A"/>
    <w:rsid w:val="00172878"/>
    <w:rsid w:val="0017362F"/>
    <w:rsid w:val="001736EE"/>
    <w:rsid w:val="00175746"/>
    <w:rsid w:val="0017587D"/>
    <w:rsid w:val="001821E5"/>
    <w:rsid w:val="00182318"/>
    <w:rsid w:val="001900BE"/>
    <w:rsid w:val="00196BE7"/>
    <w:rsid w:val="0019702E"/>
    <w:rsid w:val="0019743E"/>
    <w:rsid w:val="001A29E6"/>
    <w:rsid w:val="001A426F"/>
    <w:rsid w:val="001A4882"/>
    <w:rsid w:val="001A6E76"/>
    <w:rsid w:val="001A7854"/>
    <w:rsid w:val="001B0C52"/>
    <w:rsid w:val="001B185A"/>
    <w:rsid w:val="001B2F12"/>
    <w:rsid w:val="001B351E"/>
    <w:rsid w:val="001B68D2"/>
    <w:rsid w:val="001C185F"/>
    <w:rsid w:val="001C4553"/>
    <w:rsid w:val="001D01AE"/>
    <w:rsid w:val="001D1E73"/>
    <w:rsid w:val="001E0790"/>
    <w:rsid w:val="001E0BB5"/>
    <w:rsid w:val="001E1BD1"/>
    <w:rsid w:val="001E1E89"/>
    <w:rsid w:val="001E434A"/>
    <w:rsid w:val="001F2A79"/>
    <w:rsid w:val="001F2B89"/>
    <w:rsid w:val="001F38FF"/>
    <w:rsid w:val="001F48DA"/>
    <w:rsid w:val="00213310"/>
    <w:rsid w:val="002170D2"/>
    <w:rsid w:val="00225073"/>
    <w:rsid w:val="00225771"/>
    <w:rsid w:val="002409F2"/>
    <w:rsid w:val="002416D2"/>
    <w:rsid w:val="002416DC"/>
    <w:rsid w:val="00242AD6"/>
    <w:rsid w:val="00245861"/>
    <w:rsid w:val="0024761E"/>
    <w:rsid w:val="002510E8"/>
    <w:rsid w:val="00251EEA"/>
    <w:rsid w:val="002537C6"/>
    <w:rsid w:val="00255445"/>
    <w:rsid w:val="00264740"/>
    <w:rsid w:val="00273AE9"/>
    <w:rsid w:val="00275006"/>
    <w:rsid w:val="002771D9"/>
    <w:rsid w:val="002800D8"/>
    <w:rsid w:val="002862B1"/>
    <w:rsid w:val="00292F86"/>
    <w:rsid w:val="00297680"/>
    <w:rsid w:val="002A07A9"/>
    <w:rsid w:val="002A0A1F"/>
    <w:rsid w:val="002B01C7"/>
    <w:rsid w:val="002B1377"/>
    <w:rsid w:val="002B2FED"/>
    <w:rsid w:val="002C0692"/>
    <w:rsid w:val="002C1378"/>
    <w:rsid w:val="002C1AF8"/>
    <w:rsid w:val="002D4B78"/>
    <w:rsid w:val="002D5031"/>
    <w:rsid w:val="002D610E"/>
    <w:rsid w:val="002D691E"/>
    <w:rsid w:val="002E24A6"/>
    <w:rsid w:val="002E2667"/>
    <w:rsid w:val="002E76DC"/>
    <w:rsid w:val="002E7C41"/>
    <w:rsid w:val="002F2438"/>
    <w:rsid w:val="002F4575"/>
    <w:rsid w:val="00300F8F"/>
    <w:rsid w:val="00302A3B"/>
    <w:rsid w:val="0030367C"/>
    <w:rsid w:val="00303D55"/>
    <w:rsid w:val="00307B36"/>
    <w:rsid w:val="00317A47"/>
    <w:rsid w:val="00317DB0"/>
    <w:rsid w:val="003276B5"/>
    <w:rsid w:val="0032789C"/>
    <w:rsid w:val="00340A7B"/>
    <w:rsid w:val="003442D8"/>
    <w:rsid w:val="0035057F"/>
    <w:rsid w:val="00350FF9"/>
    <w:rsid w:val="00351F37"/>
    <w:rsid w:val="00357DFF"/>
    <w:rsid w:val="00361AEF"/>
    <w:rsid w:val="00363912"/>
    <w:rsid w:val="00363EAB"/>
    <w:rsid w:val="00365E1D"/>
    <w:rsid w:val="0036740B"/>
    <w:rsid w:val="00371E99"/>
    <w:rsid w:val="00380182"/>
    <w:rsid w:val="003819EF"/>
    <w:rsid w:val="00382855"/>
    <w:rsid w:val="00384F94"/>
    <w:rsid w:val="00387DAE"/>
    <w:rsid w:val="003961C1"/>
    <w:rsid w:val="00396D15"/>
    <w:rsid w:val="003A3933"/>
    <w:rsid w:val="003A5C66"/>
    <w:rsid w:val="003B0656"/>
    <w:rsid w:val="003B24E6"/>
    <w:rsid w:val="003B48D9"/>
    <w:rsid w:val="003B624D"/>
    <w:rsid w:val="003C170D"/>
    <w:rsid w:val="003D033F"/>
    <w:rsid w:val="003D70FB"/>
    <w:rsid w:val="003E13C0"/>
    <w:rsid w:val="003E17EB"/>
    <w:rsid w:val="003E1FF3"/>
    <w:rsid w:val="003E583A"/>
    <w:rsid w:val="003E5A26"/>
    <w:rsid w:val="003E63E6"/>
    <w:rsid w:val="003F08E8"/>
    <w:rsid w:val="003F1F73"/>
    <w:rsid w:val="003F268E"/>
    <w:rsid w:val="003F3A6F"/>
    <w:rsid w:val="003F7FA0"/>
    <w:rsid w:val="00400885"/>
    <w:rsid w:val="00406387"/>
    <w:rsid w:val="00406EF2"/>
    <w:rsid w:val="00412778"/>
    <w:rsid w:val="00417B5C"/>
    <w:rsid w:val="00417E98"/>
    <w:rsid w:val="0042157D"/>
    <w:rsid w:val="00425ACA"/>
    <w:rsid w:val="00426D96"/>
    <w:rsid w:val="00433865"/>
    <w:rsid w:val="004361AC"/>
    <w:rsid w:val="00437B3D"/>
    <w:rsid w:val="00442AEF"/>
    <w:rsid w:val="00445EE2"/>
    <w:rsid w:val="00451005"/>
    <w:rsid w:val="00452D46"/>
    <w:rsid w:val="0045543B"/>
    <w:rsid w:val="0046268E"/>
    <w:rsid w:val="00465D11"/>
    <w:rsid w:val="00470704"/>
    <w:rsid w:val="00476E18"/>
    <w:rsid w:val="004778A5"/>
    <w:rsid w:val="00482F16"/>
    <w:rsid w:val="00483096"/>
    <w:rsid w:val="00483447"/>
    <w:rsid w:val="00484431"/>
    <w:rsid w:val="00485F6E"/>
    <w:rsid w:val="00487613"/>
    <w:rsid w:val="00487893"/>
    <w:rsid w:val="0049126C"/>
    <w:rsid w:val="004949B0"/>
    <w:rsid w:val="00496649"/>
    <w:rsid w:val="00497938"/>
    <w:rsid w:val="004A0EE9"/>
    <w:rsid w:val="004A5ACE"/>
    <w:rsid w:val="004A7FB6"/>
    <w:rsid w:val="004B26B6"/>
    <w:rsid w:val="004B69F3"/>
    <w:rsid w:val="004B740B"/>
    <w:rsid w:val="004C6C46"/>
    <w:rsid w:val="004D0124"/>
    <w:rsid w:val="004D13F8"/>
    <w:rsid w:val="004D3142"/>
    <w:rsid w:val="004D4881"/>
    <w:rsid w:val="004D49AC"/>
    <w:rsid w:val="004D5013"/>
    <w:rsid w:val="004D7FB8"/>
    <w:rsid w:val="004E0A28"/>
    <w:rsid w:val="004E1628"/>
    <w:rsid w:val="004E1CBA"/>
    <w:rsid w:val="004E3505"/>
    <w:rsid w:val="004E688A"/>
    <w:rsid w:val="004E7DC4"/>
    <w:rsid w:val="004F0370"/>
    <w:rsid w:val="00500307"/>
    <w:rsid w:val="0050154B"/>
    <w:rsid w:val="005016DF"/>
    <w:rsid w:val="00512727"/>
    <w:rsid w:val="00520365"/>
    <w:rsid w:val="005211D1"/>
    <w:rsid w:val="0052332C"/>
    <w:rsid w:val="0052345F"/>
    <w:rsid w:val="00524719"/>
    <w:rsid w:val="005308D0"/>
    <w:rsid w:val="0053304B"/>
    <w:rsid w:val="00533FA2"/>
    <w:rsid w:val="0053481D"/>
    <w:rsid w:val="0053543C"/>
    <w:rsid w:val="00537E90"/>
    <w:rsid w:val="0054238B"/>
    <w:rsid w:val="005443D1"/>
    <w:rsid w:val="005469B2"/>
    <w:rsid w:val="005543A2"/>
    <w:rsid w:val="005550C0"/>
    <w:rsid w:val="00555445"/>
    <w:rsid w:val="00562ED3"/>
    <w:rsid w:val="0056441A"/>
    <w:rsid w:val="005679BB"/>
    <w:rsid w:val="0057218A"/>
    <w:rsid w:val="005734A7"/>
    <w:rsid w:val="00573EBE"/>
    <w:rsid w:val="00576E6F"/>
    <w:rsid w:val="005821F3"/>
    <w:rsid w:val="00582551"/>
    <w:rsid w:val="00585235"/>
    <w:rsid w:val="00592D84"/>
    <w:rsid w:val="00594B37"/>
    <w:rsid w:val="005A2B5D"/>
    <w:rsid w:val="005A6723"/>
    <w:rsid w:val="005A77FE"/>
    <w:rsid w:val="005D4D00"/>
    <w:rsid w:val="005E16BD"/>
    <w:rsid w:val="005E5AD7"/>
    <w:rsid w:val="005E5E83"/>
    <w:rsid w:val="005E710C"/>
    <w:rsid w:val="005F53A3"/>
    <w:rsid w:val="0060276B"/>
    <w:rsid w:val="006049B1"/>
    <w:rsid w:val="006066C3"/>
    <w:rsid w:val="00611686"/>
    <w:rsid w:val="00620296"/>
    <w:rsid w:val="00622B2D"/>
    <w:rsid w:val="006247FF"/>
    <w:rsid w:val="00625BCF"/>
    <w:rsid w:val="006310D3"/>
    <w:rsid w:val="00634340"/>
    <w:rsid w:val="006360EC"/>
    <w:rsid w:val="00636B5F"/>
    <w:rsid w:val="00650D00"/>
    <w:rsid w:val="00651FF2"/>
    <w:rsid w:val="00655014"/>
    <w:rsid w:val="00663975"/>
    <w:rsid w:val="00667B69"/>
    <w:rsid w:val="00671B78"/>
    <w:rsid w:val="006750C0"/>
    <w:rsid w:val="00675A93"/>
    <w:rsid w:val="006840B0"/>
    <w:rsid w:val="00684AA5"/>
    <w:rsid w:val="00685854"/>
    <w:rsid w:val="00686D0F"/>
    <w:rsid w:val="00686FDA"/>
    <w:rsid w:val="00687EFB"/>
    <w:rsid w:val="0069320B"/>
    <w:rsid w:val="00694909"/>
    <w:rsid w:val="00694D32"/>
    <w:rsid w:val="0069664E"/>
    <w:rsid w:val="006A459F"/>
    <w:rsid w:val="006A4A60"/>
    <w:rsid w:val="006A60D9"/>
    <w:rsid w:val="006A7C36"/>
    <w:rsid w:val="006B181C"/>
    <w:rsid w:val="006C1ED9"/>
    <w:rsid w:val="006C2AB5"/>
    <w:rsid w:val="006D184C"/>
    <w:rsid w:val="006D2192"/>
    <w:rsid w:val="006D25FD"/>
    <w:rsid w:val="006D514F"/>
    <w:rsid w:val="006F08CD"/>
    <w:rsid w:val="006F170A"/>
    <w:rsid w:val="006F1F6D"/>
    <w:rsid w:val="006F3F76"/>
    <w:rsid w:val="00701DE4"/>
    <w:rsid w:val="00703AB7"/>
    <w:rsid w:val="00714AC3"/>
    <w:rsid w:val="00723471"/>
    <w:rsid w:val="007274D8"/>
    <w:rsid w:val="00727853"/>
    <w:rsid w:val="007326F0"/>
    <w:rsid w:val="007413A8"/>
    <w:rsid w:val="00743105"/>
    <w:rsid w:val="007508DC"/>
    <w:rsid w:val="0075253A"/>
    <w:rsid w:val="00760D30"/>
    <w:rsid w:val="00763785"/>
    <w:rsid w:val="007749B8"/>
    <w:rsid w:val="00780822"/>
    <w:rsid w:val="00780C77"/>
    <w:rsid w:val="0078102A"/>
    <w:rsid w:val="0078304F"/>
    <w:rsid w:val="00783BF7"/>
    <w:rsid w:val="00783E88"/>
    <w:rsid w:val="00785444"/>
    <w:rsid w:val="00790913"/>
    <w:rsid w:val="00791FA9"/>
    <w:rsid w:val="00794484"/>
    <w:rsid w:val="007967B0"/>
    <w:rsid w:val="00797545"/>
    <w:rsid w:val="00797C51"/>
    <w:rsid w:val="007B011E"/>
    <w:rsid w:val="007B2FAB"/>
    <w:rsid w:val="007B3A15"/>
    <w:rsid w:val="007C723D"/>
    <w:rsid w:val="007D48EB"/>
    <w:rsid w:val="007D6FDF"/>
    <w:rsid w:val="007E4129"/>
    <w:rsid w:val="007E65F2"/>
    <w:rsid w:val="007E6713"/>
    <w:rsid w:val="007E7523"/>
    <w:rsid w:val="007F15C6"/>
    <w:rsid w:val="007F20A6"/>
    <w:rsid w:val="007F43EE"/>
    <w:rsid w:val="007F78ED"/>
    <w:rsid w:val="007F7BA3"/>
    <w:rsid w:val="00800423"/>
    <w:rsid w:val="00800470"/>
    <w:rsid w:val="0080098D"/>
    <w:rsid w:val="00803941"/>
    <w:rsid w:val="00803B4C"/>
    <w:rsid w:val="00806143"/>
    <w:rsid w:val="00807726"/>
    <w:rsid w:val="00812116"/>
    <w:rsid w:val="0081227F"/>
    <w:rsid w:val="0081352C"/>
    <w:rsid w:val="00815AB9"/>
    <w:rsid w:val="0082101E"/>
    <w:rsid w:val="008219F3"/>
    <w:rsid w:val="00825208"/>
    <w:rsid w:val="00834EAF"/>
    <w:rsid w:val="00835AD9"/>
    <w:rsid w:val="00836080"/>
    <w:rsid w:val="00840278"/>
    <w:rsid w:val="008406C1"/>
    <w:rsid w:val="00841D27"/>
    <w:rsid w:val="00842EAB"/>
    <w:rsid w:val="008437A0"/>
    <w:rsid w:val="0084415B"/>
    <w:rsid w:val="008502E6"/>
    <w:rsid w:val="00856D68"/>
    <w:rsid w:val="008647A8"/>
    <w:rsid w:val="00865913"/>
    <w:rsid w:val="0087064E"/>
    <w:rsid w:val="00871714"/>
    <w:rsid w:val="00872A70"/>
    <w:rsid w:val="00873050"/>
    <w:rsid w:val="00874153"/>
    <w:rsid w:val="008769EF"/>
    <w:rsid w:val="0088058B"/>
    <w:rsid w:val="00883B4C"/>
    <w:rsid w:val="0088672C"/>
    <w:rsid w:val="00887CF7"/>
    <w:rsid w:val="008919DD"/>
    <w:rsid w:val="008A100C"/>
    <w:rsid w:val="008A2330"/>
    <w:rsid w:val="008A573B"/>
    <w:rsid w:val="008A6964"/>
    <w:rsid w:val="008B0494"/>
    <w:rsid w:val="008B061B"/>
    <w:rsid w:val="008B14FB"/>
    <w:rsid w:val="008B193D"/>
    <w:rsid w:val="008B3884"/>
    <w:rsid w:val="008C1580"/>
    <w:rsid w:val="008C6774"/>
    <w:rsid w:val="008D0851"/>
    <w:rsid w:val="008D2E98"/>
    <w:rsid w:val="008E1D05"/>
    <w:rsid w:val="008E3E65"/>
    <w:rsid w:val="008E5A4D"/>
    <w:rsid w:val="008F12A6"/>
    <w:rsid w:val="008F2AA2"/>
    <w:rsid w:val="008F7E40"/>
    <w:rsid w:val="008F7E86"/>
    <w:rsid w:val="009005DF"/>
    <w:rsid w:val="00902061"/>
    <w:rsid w:val="00903FC8"/>
    <w:rsid w:val="00910A33"/>
    <w:rsid w:val="00910ED9"/>
    <w:rsid w:val="00913054"/>
    <w:rsid w:val="00913A4A"/>
    <w:rsid w:val="00913DAF"/>
    <w:rsid w:val="009157AF"/>
    <w:rsid w:val="00916DBF"/>
    <w:rsid w:val="009204B1"/>
    <w:rsid w:val="009241B0"/>
    <w:rsid w:val="00926D7D"/>
    <w:rsid w:val="009322D4"/>
    <w:rsid w:val="009334C9"/>
    <w:rsid w:val="009478E9"/>
    <w:rsid w:val="0095106D"/>
    <w:rsid w:val="00961342"/>
    <w:rsid w:val="00961947"/>
    <w:rsid w:val="00963163"/>
    <w:rsid w:val="00970283"/>
    <w:rsid w:val="009743BD"/>
    <w:rsid w:val="00975A90"/>
    <w:rsid w:val="009826EE"/>
    <w:rsid w:val="00985F72"/>
    <w:rsid w:val="00990691"/>
    <w:rsid w:val="00990998"/>
    <w:rsid w:val="009910E2"/>
    <w:rsid w:val="00995982"/>
    <w:rsid w:val="009B10CB"/>
    <w:rsid w:val="009B16EB"/>
    <w:rsid w:val="009B3EE9"/>
    <w:rsid w:val="009B6600"/>
    <w:rsid w:val="009C1C09"/>
    <w:rsid w:val="009C3CA5"/>
    <w:rsid w:val="009C51AA"/>
    <w:rsid w:val="009C6302"/>
    <w:rsid w:val="009C653E"/>
    <w:rsid w:val="009D1C6E"/>
    <w:rsid w:val="009D1CD5"/>
    <w:rsid w:val="009D4D45"/>
    <w:rsid w:val="009E2CE3"/>
    <w:rsid w:val="009E6573"/>
    <w:rsid w:val="009E6686"/>
    <w:rsid w:val="009E76E9"/>
    <w:rsid w:val="009F2E8A"/>
    <w:rsid w:val="009F505A"/>
    <w:rsid w:val="00A00AA4"/>
    <w:rsid w:val="00A04AF0"/>
    <w:rsid w:val="00A162DD"/>
    <w:rsid w:val="00A20236"/>
    <w:rsid w:val="00A2283F"/>
    <w:rsid w:val="00A24144"/>
    <w:rsid w:val="00A35CC0"/>
    <w:rsid w:val="00A35EAD"/>
    <w:rsid w:val="00A36822"/>
    <w:rsid w:val="00A41131"/>
    <w:rsid w:val="00A43545"/>
    <w:rsid w:val="00A464F1"/>
    <w:rsid w:val="00A52DD1"/>
    <w:rsid w:val="00A55944"/>
    <w:rsid w:val="00A5691B"/>
    <w:rsid w:val="00A61932"/>
    <w:rsid w:val="00A66EA2"/>
    <w:rsid w:val="00A67F1D"/>
    <w:rsid w:val="00A704C9"/>
    <w:rsid w:val="00A70A02"/>
    <w:rsid w:val="00A720B4"/>
    <w:rsid w:val="00A73CFB"/>
    <w:rsid w:val="00A7553B"/>
    <w:rsid w:val="00A76F08"/>
    <w:rsid w:val="00A77067"/>
    <w:rsid w:val="00A81CB4"/>
    <w:rsid w:val="00A87400"/>
    <w:rsid w:val="00A90ECF"/>
    <w:rsid w:val="00A9283E"/>
    <w:rsid w:val="00A96DF7"/>
    <w:rsid w:val="00A97798"/>
    <w:rsid w:val="00A97BBC"/>
    <w:rsid w:val="00AA288C"/>
    <w:rsid w:val="00AB288D"/>
    <w:rsid w:val="00AB465E"/>
    <w:rsid w:val="00AB53DC"/>
    <w:rsid w:val="00AB56FB"/>
    <w:rsid w:val="00AB6ECA"/>
    <w:rsid w:val="00AC7867"/>
    <w:rsid w:val="00AD05D8"/>
    <w:rsid w:val="00AD06D5"/>
    <w:rsid w:val="00AD15B6"/>
    <w:rsid w:val="00AE158E"/>
    <w:rsid w:val="00AE1D92"/>
    <w:rsid w:val="00AE7AA8"/>
    <w:rsid w:val="00AF0834"/>
    <w:rsid w:val="00AF50FB"/>
    <w:rsid w:val="00AF5D4E"/>
    <w:rsid w:val="00AF780E"/>
    <w:rsid w:val="00B03A34"/>
    <w:rsid w:val="00B0444F"/>
    <w:rsid w:val="00B06AB0"/>
    <w:rsid w:val="00B103C8"/>
    <w:rsid w:val="00B13717"/>
    <w:rsid w:val="00B14033"/>
    <w:rsid w:val="00B1467F"/>
    <w:rsid w:val="00B15B0F"/>
    <w:rsid w:val="00B16896"/>
    <w:rsid w:val="00B21988"/>
    <w:rsid w:val="00B24D30"/>
    <w:rsid w:val="00B26620"/>
    <w:rsid w:val="00B26D79"/>
    <w:rsid w:val="00B27604"/>
    <w:rsid w:val="00B32F5E"/>
    <w:rsid w:val="00B32FA2"/>
    <w:rsid w:val="00B331AA"/>
    <w:rsid w:val="00B33B63"/>
    <w:rsid w:val="00B3430F"/>
    <w:rsid w:val="00B414EA"/>
    <w:rsid w:val="00B47040"/>
    <w:rsid w:val="00B544C1"/>
    <w:rsid w:val="00B549FD"/>
    <w:rsid w:val="00B54CA9"/>
    <w:rsid w:val="00B55CE7"/>
    <w:rsid w:val="00B56DD0"/>
    <w:rsid w:val="00B609B7"/>
    <w:rsid w:val="00B61273"/>
    <w:rsid w:val="00B70745"/>
    <w:rsid w:val="00B7688F"/>
    <w:rsid w:val="00B8058B"/>
    <w:rsid w:val="00BA0E42"/>
    <w:rsid w:val="00BA1693"/>
    <w:rsid w:val="00BA42D4"/>
    <w:rsid w:val="00BA52BA"/>
    <w:rsid w:val="00BA5A3E"/>
    <w:rsid w:val="00BB0F65"/>
    <w:rsid w:val="00BB12C0"/>
    <w:rsid w:val="00BC438C"/>
    <w:rsid w:val="00BD0285"/>
    <w:rsid w:val="00BD0541"/>
    <w:rsid w:val="00BD1E52"/>
    <w:rsid w:val="00BD59A6"/>
    <w:rsid w:val="00BD79C7"/>
    <w:rsid w:val="00BE56CB"/>
    <w:rsid w:val="00BE5AB8"/>
    <w:rsid w:val="00BE6D5E"/>
    <w:rsid w:val="00BE70D7"/>
    <w:rsid w:val="00BE7E96"/>
    <w:rsid w:val="00BF273C"/>
    <w:rsid w:val="00BF5BC9"/>
    <w:rsid w:val="00BF6DC6"/>
    <w:rsid w:val="00C01153"/>
    <w:rsid w:val="00C02D77"/>
    <w:rsid w:val="00C04EEF"/>
    <w:rsid w:val="00C0537B"/>
    <w:rsid w:val="00C06B2D"/>
    <w:rsid w:val="00C10D8A"/>
    <w:rsid w:val="00C115F8"/>
    <w:rsid w:val="00C148B2"/>
    <w:rsid w:val="00C21313"/>
    <w:rsid w:val="00C21B0F"/>
    <w:rsid w:val="00C231F0"/>
    <w:rsid w:val="00C312C8"/>
    <w:rsid w:val="00C32B7C"/>
    <w:rsid w:val="00C347AF"/>
    <w:rsid w:val="00C34A48"/>
    <w:rsid w:val="00C401D5"/>
    <w:rsid w:val="00C42A42"/>
    <w:rsid w:val="00C4394A"/>
    <w:rsid w:val="00C43A3C"/>
    <w:rsid w:val="00C4614F"/>
    <w:rsid w:val="00C46F90"/>
    <w:rsid w:val="00C515DF"/>
    <w:rsid w:val="00C51AA6"/>
    <w:rsid w:val="00C5455F"/>
    <w:rsid w:val="00C55113"/>
    <w:rsid w:val="00C56854"/>
    <w:rsid w:val="00C65065"/>
    <w:rsid w:val="00C663CE"/>
    <w:rsid w:val="00C66775"/>
    <w:rsid w:val="00C72EA0"/>
    <w:rsid w:val="00C81B4D"/>
    <w:rsid w:val="00C81DD8"/>
    <w:rsid w:val="00C82D5C"/>
    <w:rsid w:val="00C85643"/>
    <w:rsid w:val="00C861C8"/>
    <w:rsid w:val="00C8636A"/>
    <w:rsid w:val="00C926A0"/>
    <w:rsid w:val="00C96655"/>
    <w:rsid w:val="00C9721B"/>
    <w:rsid w:val="00CA20E7"/>
    <w:rsid w:val="00CA271D"/>
    <w:rsid w:val="00CA5F2B"/>
    <w:rsid w:val="00CA7938"/>
    <w:rsid w:val="00CB1D25"/>
    <w:rsid w:val="00CB3225"/>
    <w:rsid w:val="00CB3D41"/>
    <w:rsid w:val="00CB43A2"/>
    <w:rsid w:val="00CC219D"/>
    <w:rsid w:val="00CC386A"/>
    <w:rsid w:val="00CC4490"/>
    <w:rsid w:val="00CC4749"/>
    <w:rsid w:val="00CC5878"/>
    <w:rsid w:val="00CD2804"/>
    <w:rsid w:val="00CE2959"/>
    <w:rsid w:val="00CE3866"/>
    <w:rsid w:val="00CF47F1"/>
    <w:rsid w:val="00CF5C59"/>
    <w:rsid w:val="00D112D6"/>
    <w:rsid w:val="00D15976"/>
    <w:rsid w:val="00D1676B"/>
    <w:rsid w:val="00D2110F"/>
    <w:rsid w:val="00D21758"/>
    <w:rsid w:val="00D32534"/>
    <w:rsid w:val="00D32D32"/>
    <w:rsid w:val="00D33A4E"/>
    <w:rsid w:val="00D366AF"/>
    <w:rsid w:val="00D40C8E"/>
    <w:rsid w:val="00D46168"/>
    <w:rsid w:val="00D5055B"/>
    <w:rsid w:val="00D52031"/>
    <w:rsid w:val="00D5267E"/>
    <w:rsid w:val="00D6145C"/>
    <w:rsid w:val="00D63D81"/>
    <w:rsid w:val="00D6405E"/>
    <w:rsid w:val="00D6693B"/>
    <w:rsid w:val="00D7241A"/>
    <w:rsid w:val="00D73555"/>
    <w:rsid w:val="00D76720"/>
    <w:rsid w:val="00D76DED"/>
    <w:rsid w:val="00D8155E"/>
    <w:rsid w:val="00D82E05"/>
    <w:rsid w:val="00D90559"/>
    <w:rsid w:val="00D917D3"/>
    <w:rsid w:val="00D93422"/>
    <w:rsid w:val="00D9723D"/>
    <w:rsid w:val="00DA0E71"/>
    <w:rsid w:val="00DA2016"/>
    <w:rsid w:val="00DA2990"/>
    <w:rsid w:val="00DA320E"/>
    <w:rsid w:val="00DA3302"/>
    <w:rsid w:val="00DA4801"/>
    <w:rsid w:val="00DA7597"/>
    <w:rsid w:val="00DB565D"/>
    <w:rsid w:val="00DB6A85"/>
    <w:rsid w:val="00DB7F93"/>
    <w:rsid w:val="00DC1BF5"/>
    <w:rsid w:val="00DC3561"/>
    <w:rsid w:val="00DD1474"/>
    <w:rsid w:val="00DD2B80"/>
    <w:rsid w:val="00DD2FCD"/>
    <w:rsid w:val="00DE0074"/>
    <w:rsid w:val="00DE283D"/>
    <w:rsid w:val="00DE68C9"/>
    <w:rsid w:val="00E02296"/>
    <w:rsid w:val="00E07943"/>
    <w:rsid w:val="00E12DA0"/>
    <w:rsid w:val="00E22A29"/>
    <w:rsid w:val="00E24A17"/>
    <w:rsid w:val="00E30BD3"/>
    <w:rsid w:val="00E36129"/>
    <w:rsid w:val="00E40112"/>
    <w:rsid w:val="00E467A7"/>
    <w:rsid w:val="00E47C24"/>
    <w:rsid w:val="00E529B6"/>
    <w:rsid w:val="00E538CE"/>
    <w:rsid w:val="00E55B35"/>
    <w:rsid w:val="00E6247E"/>
    <w:rsid w:val="00E658F1"/>
    <w:rsid w:val="00E66D13"/>
    <w:rsid w:val="00E7085C"/>
    <w:rsid w:val="00E736D7"/>
    <w:rsid w:val="00E74DA4"/>
    <w:rsid w:val="00E75C69"/>
    <w:rsid w:val="00E77C9A"/>
    <w:rsid w:val="00E9280F"/>
    <w:rsid w:val="00E934B6"/>
    <w:rsid w:val="00E9353B"/>
    <w:rsid w:val="00E93617"/>
    <w:rsid w:val="00E93987"/>
    <w:rsid w:val="00E940D6"/>
    <w:rsid w:val="00EA218E"/>
    <w:rsid w:val="00EA517F"/>
    <w:rsid w:val="00EA565B"/>
    <w:rsid w:val="00EA79C8"/>
    <w:rsid w:val="00EB2317"/>
    <w:rsid w:val="00EB6FCC"/>
    <w:rsid w:val="00EC2800"/>
    <w:rsid w:val="00EC5CE9"/>
    <w:rsid w:val="00ED085D"/>
    <w:rsid w:val="00ED0EB7"/>
    <w:rsid w:val="00ED17A7"/>
    <w:rsid w:val="00ED5534"/>
    <w:rsid w:val="00ED7D68"/>
    <w:rsid w:val="00EE12AD"/>
    <w:rsid w:val="00EE74EF"/>
    <w:rsid w:val="00EF3024"/>
    <w:rsid w:val="00F051C7"/>
    <w:rsid w:val="00F07269"/>
    <w:rsid w:val="00F079E5"/>
    <w:rsid w:val="00F235C6"/>
    <w:rsid w:val="00F2548A"/>
    <w:rsid w:val="00F27FE3"/>
    <w:rsid w:val="00F324F2"/>
    <w:rsid w:val="00F35913"/>
    <w:rsid w:val="00F36F15"/>
    <w:rsid w:val="00F40D3F"/>
    <w:rsid w:val="00F45552"/>
    <w:rsid w:val="00F45D81"/>
    <w:rsid w:val="00F47F3D"/>
    <w:rsid w:val="00F5091C"/>
    <w:rsid w:val="00F51531"/>
    <w:rsid w:val="00F51F81"/>
    <w:rsid w:val="00F540FA"/>
    <w:rsid w:val="00F57B80"/>
    <w:rsid w:val="00F57EC5"/>
    <w:rsid w:val="00F6302B"/>
    <w:rsid w:val="00F63651"/>
    <w:rsid w:val="00F63A15"/>
    <w:rsid w:val="00F644DF"/>
    <w:rsid w:val="00F6666A"/>
    <w:rsid w:val="00F709BD"/>
    <w:rsid w:val="00F741F7"/>
    <w:rsid w:val="00F8071A"/>
    <w:rsid w:val="00F8146C"/>
    <w:rsid w:val="00F83107"/>
    <w:rsid w:val="00F8396D"/>
    <w:rsid w:val="00F858BB"/>
    <w:rsid w:val="00F85FFA"/>
    <w:rsid w:val="00F871DE"/>
    <w:rsid w:val="00F90C3E"/>
    <w:rsid w:val="00F9278B"/>
    <w:rsid w:val="00F95FB8"/>
    <w:rsid w:val="00FA0848"/>
    <w:rsid w:val="00FB5A0D"/>
    <w:rsid w:val="00FB5CF8"/>
    <w:rsid w:val="00FB6F0E"/>
    <w:rsid w:val="00FC42D5"/>
    <w:rsid w:val="00FC456B"/>
    <w:rsid w:val="00FC4740"/>
    <w:rsid w:val="00FC5A3D"/>
    <w:rsid w:val="00FD040D"/>
    <w:rsid w:val="00FD0465"/>
    <w:rsid w:val="00FD0A61"/>
    <w:rsid w:val="00FD16BC"/>
    <w:rsid w:val="00FD49FF"/>
    <w:rsid w:val="00FD7DC8"/>
    <w:rsid w:val="00FD7E54"/>
    <w:rsid w:val="00FE0058"/>
    <w:rsid w:val="00FE0790"/>
    <w:rsid w:val="00FE1DA8"/>
    <w:rsid w:val="00FE3C22"/>
    <w:rsid w:val="00FE6051"/>
    <w:rsid w:val="00FE6548"/>
    <w:rsid w:val="00FE69F2"/>
    <w:rsid w:val="00FF015C"/>
    <w:rsid w:val="00FF0CAC"/>
    <w:rsid w:val="00FF2356"/>
    <w:rsid w:val="00FF34BC"/>
    <w:rsid w:val="00FF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478ECC1E"/>
  <w15:chartTrackingRefBased/>
  <w15:docId w15:val="{45B190AA-0BBB-4056-8F35-4C17F2C0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902061"/>
    <w:rPr>
      <w:rFonts w:ascii="Times New Roman" w:hAnsi="Times New Roman"/>
      <w:kern w:val="22"/>
    </w:rPr>
  </w:style>
  <w:style w:type="paragraph" w:styleId="Heading1">
    <w:name w:val="heading 1"/>
    <w:basedOn w:val="Normal"/>
    <w:next w:val="Normal"/>
    <w:link w:val="Heading1Char"/>
    <w:qFormat/>
    <w:rsid w:val="00EA565B"/>
    <w:pPr>
      <w:keepNext/>
      <w:keepLines/>
      <w:spacing w:before="440" w:after="60"/>
      <w:outlineLvl w:val="0"/>
    </w:pPr>
    <w:rPr>
      <w:rFonts w:ascii="Arial" w:eastAsiaTheme="majorEastAsia" w:hAnsi="Arial" w:cstheme="majorBidi"/>
      <w:b/>
      <w:color w:val="3B3838" w:themeColor="background2" w:themeShade="40"/>
      <w:sz w:val="44"/>
      <w:szCs w:val="32"/>
    </w:rPr>
  </w:style>
  <w:style w:type="paragraph" w:styleId="Heading2">
    <w:name w:val="heading 2"/>
    <w:basedOn w:val="Normal"/>
    <w:next w:val="Normal"/>
    <w:link w:val="Heading2Char"/>
    <w:unhideWhenUsed/>
    <w:qFormat/>
    <w:rsid w:val="00EA565B"/>
    <w:pPr>
      <w:keepNext/>
      <w:keepLines/>
      <w:spacing w:before="280"/>
      <w:outlineLvl w:val="1"/>
    </w:pPr>
    <w:rPr>
      <w:rFonts w:ascii="Arial" w:eastAsiaTheme="majorEastAsia" w:hAnsi="Arial" w:cstheme="majorBidi"/>
      <w:b/>
      <w:sz w:val="32"/>
      <w:szCs w:val="26"/>
    </w:rPr>
  </w:style>
  <w:style w:type="paragraph" w:styleId="Heading3">
    <w:name w:val="heading 3"/>
    <w:basedOn w:val="Normal"/>
    <w:next w:val="Normal"/>
    <w:link w:val="Heading3Char"/>
    <w:unhideWhenUsed/>
    <w:qFormat/>
    <w:rsid w:val="00D32D32"/>
    <w:pPr>
      <w:keepNext/>
      <w:keepLines/>
      <w:spacing w:before="240"/>
      <w:outlineLvl w:val="2"/>
    </w:pPr>
    <w:rPr>
      <w:rFonts w:ascii="Arial" w:eastAsiaTheme="majorEastAsia" w:hAnsi="Arial" w:cstheme="majorBidi"/>
      <w:b/>
      <w:sz w:val="28"/>
      <w:szCs w:val="24"/>
    </w:rPr>
  </w:style>
  <w:style w:type="paragraph" w:styleId="Heading4">
    <w:name w:val="heading 4"/>
    <w:basedOn w:val="Normal"/>
    <w:next w:val="Normal"/>
    <w:link w:val="Heading4Char"/>
    <w:unhideWhenUsed/>
    <w:qFormat/>
    <w:rsid w:val="00D32D32"/>
    <w:pPr>
      <w:keepNext/>
      <w:keepLines/>
      <w:spacing w:before="240"/>
      <w:outlineLvl w:val="3"/>
    </w:pPr>
    <w:rPr>
      <w:rFonts w:ascii="Arial" w:eastAsiaTheme="majorEastAsia" w:hAnsi="Arial" w:cstheme="majorBidi"/>
      <w:i/>
      <w:iCs/>
      <w:sz w:val="24"/>
    </w:rPr>
  </w:style>
  <w:style w:type="paragraph" w:styleId="Heading5">
    <w:name w:val="heading 5"/>
    <w:basedOn w:val="Normal"/>
    <w:next w:val="Normal"/>
    <w:link w:val="Heading5Char"/>
    <w:unhideWhenUsed/>
    <w:qFormat/>
    <w:rsid w:val="00C96655"/>
    <w:pPr>
      <w:keepNext/>
      <w:keepLines/>
      <w:spacing w:before="200"/>
      <w:outlineLvl w:val="4"/>
    </w:pPr>
    <w:rPr>
      <w:rFonts w:eastAsiaTheme="majorEastAsia" w:cstheme="majorBidi"/>
      <w:b/>
      <w:smallCaps/>
      <w:sz w:val="24"/>
    </w:rPr>
  </w:style>
  <w:style w:type="paragraph" w:styleId="Heading6">
    <w:name w:val="heading 6"/>
    <w:basedOn w:val="Normal"/>
    <w:next w:val="Normal"/>
    <w:link w:val="Heading6Char"/>
    <w:unhideWhenUsed/>
    <w:rsid w:val="004D4881"/>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4D4881"/>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rsid w:val="004D488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4D488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65B"/>
    <w:rPr>
      <w:rFonts w:ascii="Arial" w:eastAsiaTheme="majorEastAsia" w:hAnsi="Arial" w:cstheme="majorBidi"/>
      <w:b/>
      <w:color w:val="3B3838" w:themeColor="background2" w:themeShade="40"/>
      <w:kern w:val="22"/>
      <w:sz w:val="44"/>
      <w:szCs w:val="32"/>
    </w:rPr>
  </w:style>
  <w:style w:type="paragraph" w:styleId="Title">
    <w:name w:val="Title"/>
    <w:basedOn w:val="Normal"/>
    <w:next w:val="Normal"/>
    <w:link w:val="TitleChar"/>
    <w:uiPriority w:val="10"/>
    <w:qFormat/>
    <w:rsid w:val="00512727"/>
    <w:pPr>
      <w:spacing w:before="0" w:after="680"/>
      <w:contextualSpacing/>
      <w:outlineLvl w:val="0"/>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512727"/>
    <w:rPr>
      <w:rFonts w:ascii="Arial" w:eastAsiaTheme="majorEastAsia" w:hAnsi="Arial" w:cstheme="majorBidi"/>
      <w:b/>
      <w:spacing w:val="-10"/>
      <w:kern w:val="28"/>
      <w:sz w:val="56"/>
      <w:szCs w:val="56"/>
    </w:rPr>
  </w:style>
  <w:style w:type="paragraph" w:customStyle="1" w:styleId="Body1">
    <w:name w:val="Body1"/>
    <w:basedOn w:val="Normal"/>
    <w:qFormat/>
    <w:rsid w:val="00BA42D4"/>
    <w:pPr>
      <w:ind w:left="288"/>
    </w:pPr>
  </w:style>
  <w:style w:type="paragraph" w:customStyle="1" w:styleId="Body2">
    <w:name w:val="Body2"/>
    <w:basedOn w:val="Normal"/>
    <w:qFormat/>
    <w:rsid w:val="00AD05D8"/>
    <w:pPr>
      <w:ind w:left="576"/>
    </w:pPr>
  </w:style>
  <w:style w:type="paragraph" w:customStyle="1" w:styleId="Body3">
    <w:name w:val="Body3"/>
    <w:basedOn w:val="Normal"/>
    <w:qFormat/>
    <w:rsid w:val="00AD05D8"/>
    <w:pPr>
      <w:ind w:left="864"/>
    </w:pPr>
  </w:style>
  <w:style w:type="character" w:customStyle="1" w:styleId="Heading6Char">
    <w:name w:val="Heading 6 Char"/>
    <w:basedOn w:val="DefaultParagraphFont"/>
    <w:link w:val="Heading6"/>
    <w:rsid w:val="009C1C09"/>
    <w:rPr>
      <w:rFonts w:asciiTheme="majorHAnsi" w:eastAsiaTheme="majorEastAsia" w:hAnsiTheme="majorHAnsi" w:cstheme="majorBidi"/>
      <w:color w:val="1F4D78" w:themeColor="accent1" w:themeShade="7F"/>
      <w:kern w:val="22"/>
    </w:rPr>
  </w:style>
  <w:style w:type="character" w:customStyle="1" w:styleId="Heading7Char">
    <w:name w:val="Heading 7 Char"/>
    <w:basedOn w:val="DefaultParagraphFont"/>
    <w:link w:val="Heading7"/>
    <w:rsid w:val="009C1C09"/>
    <w:rPr>
      <w:rFonts w:asciiTheme="majorHAnsi" w:eastAsiaTheme="majorEastAsia" w:hAnsiTheme="majorHAnsi" w:cstheme="majorBidi"/>
      <w:i/>
      <w:iCs/>
      <w:color w:val="1F4D78" w:themeColor="accent1" w:themeShade="7F"/>
      <w:kern w:val="22"/>
    </w:rPr>
  </w:style>
  <w:style w:type="character" w:customStyle="1" w:styleId="Heading8Char">
    <w:name w:val="Heading 8 Char"/>
    <w:basedOn w:val="DefaultParagraphFont"/>
    <w:link w:val="Heading8"/>
    <w:rsid w:val="009C1C09"/>
    <w:rPr>
      <w:rFonts w:asciiTheme="majorHAnsi" w:eastAsiaTheme="majorEastAsia" w:hAnsiTheme="majorHAnsi" w:cstheme="majorBidi"/>
      <w:color w:val="272727" w:themeColor="text1" w:themeTint="D8"/>
      <w:kern w:val="22"/>
      <w:sz w:val="21"/>
      <w:szCs w:val="21"/>
    </w:rPr>
  </w:style>
  <w:style w:type="paragraph" w:customStyle="1" w:styleId="Code">
    <w:name w:val="Code"/>
    <w:basedOn w:val="Normal"/>
    <w:qFormat/>
    <w:rsid w:val="00FD49FF"/>
    <w:pPr>
      <w:spacing w:before="60"/>
      <w:contextualSpacing/>
    </w:pPr>
    <w:rPr>
      <w:rFonts w:ascii="Lucida Console" w:hAnsi="Lucida Console"/>
      <w:kern w:val="0"/>
      <w:sz w:val="20"/>
    </w:rPr>
  </w:style>
  <w:style w:type="paragraph" w:customStyle="1" w:styleId="Code1">
    <w:name w:val="Code1"/>
    <w:basedOn w:val="Code"/>
    <w:qFormat/>
    <w:rsid w:val="00AD05D8"/>
    <w:pPr>
      <w:ind w:left="288"/>
    </w:pPr>
  </w:style>
  <w:style w:type="paragraph" w:customStyle="1" w:styleId="Code2">
    <w:name w:val="Code2"/>
    <w:basedOn w:val="Code"/>
    <w:qFormat/>
    <w:rsid w:val="00AD05D8"/>
    <w:pPr>
      <w:ind w:left="576"/>
    </w:pPr>
  </w:style>
  <w:style w:type="paragraph" w:customStyle="1" w:styleId="Code3">
    <w:name w:val="Code3"/>
    <w:basedOn w:val="Code"/>
    <w:qFormat/>
    <w:rsid w:val="00AD05D8"/>
    <w:pPr>
      <w:ind w:left="864"/>
    </w:pPr>
  </w:style>
  <w:style w:type="paragraph" w:customStyle="1" w:styleId="Code4">
    <w:name w:val="Code4"/>
    <w:basedOn w:val="Code"/>
    <w:qFormat/>
    <w:rsid w:val="00AD05D8"/>
    <w:pPr>
      <w:ind w:left="1152"/>
    </w:pPr>
  </w:style>
  <w:style w:type="paragraph" w:customStyle="1" w:styleId="DefBody">
    <w:name w:val="DefBody"/>
    <w:basedOn w:val="Body1"/>
    <w:qFormat/>
    <w:rsid w:val="00AD05D8"/>
    <w:pPr>
      <w:spacing w:before="40"/>
    </w:pPr>
  </w:style>
  <w:style w:type="paragraph" w:customStyle="1" w:styleId="DefBullet">
    <w:name w:val="DefBullet"/>
    <w:basedOn w:val="DefBody"/>
    <w:qFormat/>
    <w:rsid w:val="00AD05D8"/>
    <w:pPr>
      <w:numPr>
        <w:numId w:val="1"/>
      </w:numPr>
      <w:ind w:left="576" w:hanging="288"/>
    </w:pPr>
  </w:style>
  <w:style w:type="paragraph" w:customStyle="1" w:styleId="EqLNoNum">
    <w:name w:val="EqLNoNum"/>
    <w:basedOn w:val="Body1"/>
    <w:qFormat/>
    <w:rsid w:val="00AD05D8"/>
    <w:pPr>
      <w:spacing w:before="80" w:after="80"/>
    </w:pPr>
  </w:style>
  <w:style w:type="paragraph" w:customStyle="1" w:styleId="DefTerm">
    <w:name w:val="DefTerm"/>
    <w:basedOn w:val="Normal"/>
    <w:next w:val="DefBody"/>
    <w:qFormat/>
    <w:rsid w:val="00AD05D8"/>
    <w:pPr>
      <w:spacing w:before="200"/>
    </w:pPr>
    <w:rPr>
      <w:b/>
      <w:sz w:val="24"/>
    </w:rPr>
  </w:style>
  <w:style w:type="paragraph" w:customStyle="1" w:styleId="EqCNum">
    <w:name w:val="EqCNum"/>
    <w:basedOn w:val="Caption"/>
    <w:next w:val="Normal"/>
    <w:qFormat/>
    <w:rsid w:val="007D6FDF"/>
    <w:pPr>
      <w:tabs>
        <w:tab w:val="left" w:pos="4680"/>
        <w:tab w:val="right" w:pos="9360"/>
      </w:tabs>
      <w:ind w:left="720"/>
    </w:pPr>
  </w:style>
  <w:style w:type="paragraph" w:customStyle="1" w:styleId="FigAnchor">
    <w:name w:val="FigAnchor"/>
    <w:basedOn w:val="Normal"/>
    <w:next w:val="Normal"/>
    <w:qFormat/>
    <w:rsid w:val="00A55944"/>
    <w:pPr>
      <w:keepNext/>
      <w:keepLines/>
      <w:spacing w:before="0" w:line="60" w:lineRule="exact"/>
    </w:pPr>
    <w:rPr>
      <w:rFonts w:ascii="Arial" w:hAnsi="Arial"/>
      <w:sz w:val="4"/>
    </w:rPr>
  </w:style>
  <w:style w:type="paragraph" w:customStyle="1" w:styleId="ExampleAnchor">
    <w:name w:val="ExampleAnchor"/>
    <w:basedOn w:val="FigAnchor"/>
    <w:next w:val="ExampleBody"/>
    <w:uiPriority w:val="8"/>
    <w:qFormat/>
    <w:rsid w:val="00B3430F"/>
  </w:style>
  <w:style w:type="paragraph" w:customStyle="1" w:styleId="ExampleBody">
    <w:name w:val="ExampleBody"/>
    <w:basedOn w:val="Normal"/>
    <w:uiPriority w:val="8"/>
    <w:qFormat/>
    <w:rsid w:val="00BA42D4"/>
  </w:style>
  <w:style w:type="paragraph" w:customStyle="1" w:styleId="ExampleBullet">
    <w:name w:val="ExampleBullet"/>
    <w:basedOn w:val="Normal"/>
    <w:uiPriority w:val="8"/>
    <w:qFormat/>
    <w:rsid w:val="002C0692"/>
    <w:pPr>
      <w:numPr>
        <w:numId w:val="12"/>
      </w:numPr>
    </w:pPr>
  </w:style>
  <w:style w:type="paragraph" w:customStyle="1" w:styleId="FigCaption">
    <w:name w:val="FigCaption"/>
    <w:basedOn w:val="Normal"/>
    <w:next w:val="FigAnchor"/>
    <w:qFormat/>
    <w:rsid w:val="00A55944"/>
    <w:pPr>
      <w:keepNext/>
      <w:keepLines/>
      <w:numPr>
        <w:numId w:val="3"/>
      </w:numPr>
      <w:spacing w:before="240"/>
      <w:ind w:left="288" w:hanging="288"/>
    </w:pPr>
    <w:rPr>
      <w:rFonts w:ascii="Arial" w:hAnsi="Arial"/>
      <w:sz w:val="20"/>
    </w:rPr>
  </w:style>
  <w:style w:type="paragraph" w:customStyle="1" w:styleId="ExampleCaption">
    <w:name w:val="ExampleCaption"/>
    <w:basedOn w:val="FigCaption"/>
    <w:next w:val="ExampleAnchor"/>
    <w:uiPriority w:val="8"/>
    <w:qFormat/>
    <w:rsid w:val="00667B69"/>
    <w:pPr>
      <w:numPr>
        <w:numId w:val="4"/>
      </w:numPr>
      <w:ind w:left="288" w:hanging="288"/>
    </w:pPr>
  </w:style>
  <w:style w:type="paragraph" w:customStyle="1" w:styleId="ExampleIntro">
    <w:name w:val="ExampleIntro"/>
    <w:basedOn w:val="ExampleBody"/>
    <w:next w:val="ExampleBody"/>
    <w:uiPriority w:val="8"/>
    <w:qFormat/>
    <w:rsid w:val="00BA42D4"/>
    <w:rPr>
      <w:b/>
    </w:rPr>
  </w:style>
  <w:style w:type="paragraph" w:customStyle="1" w:styleId="Footnote">
    <w:name w:val="Footnote"/>
    <w:basedOn w:val="Body1"/>
    <w:qFormat/>
    <w:rsid w:val="003C170D"/>
    <w:pPr>
      <w:spacing w:before="0"/>
      <w:ind w:left="0"/>
    </w:pPr>
    <w:rPr>
      <w:rFonts w:ascii="Arial" w:hAnsi="Arial"/>
      <w:sz w:val="20"/>
    </w:rPr>
  </w:style>
  <w:style w:type="paragraph" w:customStyle="1" w:styleId="ChapterNumber">
    <w:name w:val="ChapterNumber"/>
    <w:basedOn w:val="Title"/>
    <w:next w:val="Title"/>
    <w:link w:val="ChapterNumberChar"/>
    <w:qFormat/>
    <w:rsid w:val="00576E6F"/>
    <w:pPr>
      <w:keepNext/>
      <w:numPr>
        <w:numId w:val="16"/>
      </w:numPr>
      <w:spacing w:after="0"/>
    </w:pPr>
    <w:rPr>
      <w:bCs/>
    </w:rPr>
  </w:style>
  <w:style w:type="paragraph" w:customStyle="1" w:styleId="AppendixNumber">
    <w:name w:val="AppendixNumber"/>
    <w:basedOn w:val="Title"/>
    <w:next w:val="Title"/>
    <w:link w:val="AppendixNumberChar"/>
    <w:qFormat/>
    <w:rsid w:val="00576E6F"/>
    <w:pPr>
      <w:keepNext/>
      <w:numPr>
        <w:numId w:val="5"/>
      </w:numPr>
      <w:spacing w:after="0"/>
    </w:pPr>
  </w:style>
  <w:style w:type="character" w:customStyle="1" w:styleId="AppendixNumberChar">
    <w:name w:val="AppendixNumber Char"/>
    <w:basedOn w:val="TitleChar"/>
    <w:link w:val="AppendixNumber"/>
    <w:rsid w:val="009C1C09"/>
    <w:rPr>
      <w:rFonts w:ascii="Arial" w:eastAsiaTheme="majorEastAsia" w:hAnsi="Arial" w:cstheme="majorBidi"/>
      <w:b/>
      <w:spacing w:val="-10"/>
      <w:kern w:val="28"/>
      <w:sz w:val="56"/>
      <w:szCs w:val="56"/>
    </w:rPr>
  </w:style>
  <w:style w:type="character" w:customStyle="1" w:styleId="ChapterNumberChar">
    <w:name w:val="ChapterNumber Char"/>
    <w:basedOn w:val="TitleChar"/>
    <w:link w:val="ChapterNumber"/>
    <w:rsid w:val="009C1C09"/>
    <w:rPr>
      <w:rFonts w:ascii="Arial" w:eastAsiaTheme="majorEastAsia" w:hAnsi="Arial" w:cstheme="majorBidi"/>
      <w:b/>
      <w:bCs/>
      <w:spacing w:val="-10"/>
      <w:kern w:val="28"/>
      <w:sz w:val="56"/>
      <w:szCs w:val="56"/>
    </w:rPr>
  </w:style>
  <w:style w:type="paragraph" w:customStyle="1" w:styleId="Heading1Pg">
    <w:name w:val="Heading 1Pg"/>
    <w:basedOn w:val="Heading1"/>
    <w:next w:val="Normal"/>
    <w:link w:val="Heading1PgChar"/>
    <w:qFormat/>
    <w:rsid w:val="002510E8"/>
    <w:pPr>
      <w:pageBreakBefore/>
    </w:pPr>
  </w:style>
  <w:style w:type="paragraph" w:customStyle="1" w:styleId="Heading2Pg">
    <w:name w:val="Heading 2Pg"/>
    <w:basedOn w:val="Heading2"/>
    <w:link w:val="Heading2PgChar"/>
    <w:qFormat/>
    <w:rsid w:val="00242AD6"/>
    <w:pPr>
      <w:pageBreakBefore/>
    </w:pPr>
  </w:style>
  <w:style w:type="character" w:customStyle="1" w:styleId="Heading1PgChar">
    <w:name w:val="Heading 1Pg Char"/>
    <w:basedOn w:val="Heading1Char"/>
    <w:link w:val="Heading1Pg"/>
    <w:rsid w:val="009C1C09"/>
    <w:rPr>
      <w:rFonts w:ascii="Arial" w:eastAsiaTheme="majorEastAsia" w:hAnsi="Arial" w:cstheme="majorBidi"/>
      <w:b/>
      <w:color w:val="3B3838" w:themeColor="background2" w:themeShade="40"/>
      <w:kern w:val="22"/>
      <w:sz w:val="44"/>
      <w:szCs w:val="32"/>
    </w:rPr>
  </w:style>
  <w:style w:type="character" w:customStyle="1" w:styleId="Heading2PgChar">
    <w:name w:val="Heading 2Pg Char"/>
    <w:basedOn w:val="Heading2Char"/>
    <w:link w:val="Heading2Pg"/>
    <w:rsid w:val="009C1C09"/>
    <w:rPr>
      <w:rFonts w:ascii="Arial" w:eastAsiaTheme="majorEastAsia" w:hAnsi="Arial" w:cstheme="majorBidi"/>
      <w:b/>
      <w:kern w:val="22"/>
      <w:sz w:val="32"/>
      <w:szCs w:val="26"/>
    </w:rPr>
  </w:style>
  <w:style w:type="paragraph" w:customStyle="1" w:styleId="InlineNote">
    <w:name w:val="InlineNote"/>
    <w:basedOn w:val="Normal"/>
    <w:next w:val="Normal"/>
    <w:qFormat/>
    <w:rsid w:val="00C02D77"/>
    <w:pPr>
      <w:numPr>
        <w:numId w:val="10"/>
      </w:numPr>
      <w:spacing w:before="80"/>
      <w:ind w:right="576"/>
    </w:pPr>
  </w:style>
  <w:style w:type="numbering" w:customStyle="1" w:styleId="Caution">
    <w:name w:val="Caution"/>
    <w:uiPriority w:val="99"/>
    <w:rsid w:val="009005DF"/>
    <w:pPr>
      <w:numPr>
        <w:numId w:val="6"/>
      </w:numPr>
    </w:pPr>
  </w:style>
  <w:style w:type="numbering" w:customStyle="1" w:styleId="Tip">
    <w:name w:val="Tip"/>
    <w:uiPriority w:val="99"/>
    <w:rsid w:val="009005DF"/>
    <w:pPr>
      <w:numPr>
        <w:numId w:val="7"/>
      </w:numPr>
    </w:pPr>
  </w:style>
  <w:style w:type="paragraph" w:customStyle="1" w:styleId="InlineTip">
    <w:name w:val="InlineTip"/>
    <w:basedOn w:val="InlineNote"/>
    <w:next w:val="Normal"/>
    <w:qFormat/>
    <w:rsid w:val="00C4614F"/>
    <w:pPr>
      <w:numPr>
        <w:numId w:val="19"/>
      </w:numPr>
    </w:pPr>
  </w:style>
  <w:style w:type="paragraph" w:customStyle="1" w:styleId="InlineCaution">
    <w:name w:val="InlineCaution"/>
    <w:basedOn w:val="InlineNote"/>
    <w:next w:val="Normal"/>
    <w:qFormat/>
    <w:rsid w:val="00C02D77"/>
    <w:pPr>
      <w:numPr>
        <w:numId w:val="22"/>
      </w:numPr>
    </w:pPr>
  </w:style>
  <w:style w:type="numbering" w:customStyle="1" w:styleId="Warning">
    <w:name w:val="Warning"/>
    <w:uiPriority w:val="99"/>
    <w:rsid w:val="009005DF"/>
    <w:pPr>
      <w:numPr>
        <w:numId w:val="8"/>
      </w:numPr>
    </w:pPr>
  </w:style>
  <w:style w:type="paragraph" w:customStyle="1" w:styleId="InlineWarning">
    <w:name w:val="InlineWarning"/>
    <w:basedOn w:val="InlineNote"/>
    <w:next w:val="Normal"/>
    <w:qFormat/>
    <w:rsid w:val="00520365"/>
    <w:pPr>
      <w:numPr>
        <w:numId w:val="20"/>
      </w:numPr>
    </w:pPr>
    <w:rPr>
      <w:b/>
    </w:rPr>
  </w:style>
  <w:style w:type="numbering" w:customStyle="1" w:styleId="Outline">
    <w:name w:val="Outline"/>
    <w:uiPriority w:val="99"/>
    <w:rsid w:val="003F3A6F"/>
    <w:pPr>
      <w:numPr>
        <w:numId w:val="9"/>
      </w:numPr>
    </w:pPr>
  </w:style>
  <w:style w:type="numbering" w:customStyle="1" w:styleId="UnorderedList">
    <w:name w:val="UnorderedList"/>
    <w:uiPriority w:val="99"/>
    <w:rsid w:val="00363EAB"/>
    <w:pPr>
      <w:numPr>
        <w:numId w:val="11"/>
      </w:numPr>
    </w:pPr>
  </w:style>
  <w:style w:type="paragraph" w:customStyle="1" w:styleId="Heading3Pg">
    <w:name w:val="Heading 3Pg"/>
    <w:basedOn w:val="Heading3"/>
    <w:next w:val="Normal"/>
    <w:link w:val="Heading3PgChar"/>
    <w:qFormat/>
    <w:rsid w:val="00242AD6"/>
    <w:pPr>
      <w:pageBreakBefore/>
    </w:pPr>
  </w:style>
  <w:style w:type="paragraph" w:customStyle="1" w:styleId="List1N">
    <w:name w:val="List1N"/>
    <w:basedOn w:val="Normal"/>
    <w:qFormat/>
    <w:rsid w:val="00452D46"/>
    <w:pPr>
      <w:numPr>
        <w:numId w:val="13"/>
      </w:numPr>
    </w:pPr>
  </w:style>
  <w:style w:type="paragraph" w:styleId="FootnoteText">
    <w:name w:val="footnote text"/>
    <w:basedOn w:val="Normal"/>
    <w:link w:val="FootnoteTextChar"/>
    <w:uiPriority w:val="99"/>
    <w:semiHidden/>
    <w:unhideWhenUsed/>
    <w:rsid w:val="003C170D"/>
    <w:pPr>
      <w:spacing w:before="0"/>
    </w:pPr>
    <w:rPr>
      <w:sz w:val="20"/>
      <w:szCs w:val="20"/>
    </w:rPr>
  </w:style>
  <w:style w:type="paragraph" w:customStyle="1" w:styleId="List2A">
    <w:name w:val="List2A"/>
    <w:basedOn w:val="List1N"/>
    <w:qFormat/>
    <w:rsid w:val="00C4614F"/>
    <w:pPr>
      <w:numPr>
        <w:ilvl w:val="1"/>
        <w:numId w:val="2"/>
      </w:numPr>
    </w:pPr>
  </w:style>
  <w:style w:type="character" w:customStyle="1" w:styleId="FootnoteTextChar">
    <w:name w:val="Footnote Text Char"/>
    <w:basedOn w:val="DefaultParagraphFont"/>
    <w:link w:val="FootnoteText"/>
    <w:uiPriority w:val="99"/>
    <w:semiHidden/>
    <w:rsid w:val="003C170D"/>
    <w:rPr>
      <w:rFonts w:ascii="Times New Roman" w:hAnsi="Times New Roman"/>
      <w:sz w:val="20"/>
      <w:szCs w:val="20"/>
    </w:rPr>
  </w:style>
  <w:style w:type="paragraph" w:customStyle="1" w:styleId="List2N">
    <w:name w:val="List2N"/>
    <w:basedOn w:val="List1N"/>
    <w:qFormat/>
    <w:rsid w:val="003A3933"/>
    <w:pPr>
      <w:numPr>
        <w:numId w:val="0"/>
      </w:numPr>
    </w:pPr>
    <w:rPr>
      <w:color w:val="ED7D31" w:themeColor="accent2"/>
    </w:rPr>
  </w:style>
  <w:style w:type="paragraph" w:customStyle="1" w:styleId="List3N">
    <w:name w:val="List3N"/>
    <w:basedOn w:val="List1N"/>
    <w:qFormat/>
    <w:rsid w:val="00C4614F"/>
    <w:pPr>
      <w:numPr>
        <w:ilvl w:val="2"/>
      </w:numPr>
    </w:pPr>
  </w:style>
  <w:style w:type="character" w:styleId="FootnoteReference">
    <w:name w:val="footnote reference"/>
    <w:basedOn w:val="DefaultParagraphFont"/>
    <w:uiPriority w:val="99"/>
    <w:semiHidden/>
    <w:unhideWhenUsed/>
    <w:rsid w:val="003C170D"/>
    <w:rPr>
      <w:vertAlign w:val="superscript"/>
    </w:rPr>
  </w:style>
  <w:style w:type="paragraph" w:customStyle="1" w:styleId="TableAnchor">
    <w:name w:val="TableAnchor"/>
    <w:basedOn w:val="FigAnchor"/>
    <w:next w:val="Normal"/>
    <w:qFormat/>
    <w:rsid w:val="00A55944"/>
  </w:style>
  <w:style w:type="paragraph" w:customStyle="1" w:styleId="TableFootnote">
    <w:name w:val="TableFootnote"/>
    <w:basedOn w:val="Footnote"/>
    <w:qFormat/>
    <w:rsid w:val="00275006"/>
    <w:pPr>
      <w:ind w:right="288"/>
    </w:pPr>
    <w:rPr>
      <w:sz w:val="18"/>
    </w:rPr>
  </w:style>
  <w:style w:type="paragraph" w:customStyle="1" w:styleId="TableTitle">
    <w:name w:val="TableTitle"/>
    <w:basedOn w:val="FigCaption"/>
    <w:next w:val="Normal"/>
    <w:qFormat/>
    <w:rsid w:val="00A55944"/>
    <w:pPr>
      <w:numPr>
        <w:numId w:val="14"/>
      </w:numPr>
      <w:ind w:left="0" w:firstLine="0"/>
    </w:pPr>
  </w:style>
  <w:style w:type="paragraph" w:customStyle="1" w:styleId="TCellBody">
    <w:name w:val="TCellBody"/>
    <w:basedOn w:val="Normal"/>
    <w:qFormat/>
    <w:rsid w:val="00C4614F"/>
    <w:pPr>
      <w:spacing w:before="80"/>
    </w:pPr>
    <w:rPr>
      <w:rFonts w:ascii="Arial" w:hAnsi="Arial"/>
      <w:sz w:val="18"/>
    </w:rPr>
  </w:style>
  <w:style w:type="paragraph" w:customStyle="1" w:styleId="TCellBullet1">
    <w:name w:val="TCellBullet1"/>
    <w:basedOn w:val="TCellBody"/>
    <w:qFormat/>
    <w:rsid w:val="00B24D30"/>
    <w:pPr>
      <w:numPr>
        <w:numId w:val="15"/>
      </w:numPr>
      <w:ind w:left="288" w:hanging="288"/>
    </w:pPr>
  </w:style>
  <w:style w:type="paragraph" w:customStyle="1" w:styleId="TColHead">
    <w:name w:val="TColHead"/>
    <w:basedOn w:val="TCellBody"/>
    <w:qFormat/>
    <w:rsid w:val="00C4614F"/>
    <w:pPr>
      <w:spacing w:before="0"/>
    </w:pPr>
    <w:rPr>
      <w:b/>
    </w:rPr>
  </w:style>
  <w:style w:type="paragraph" w:customStyle="1" w:styleId="TCellBodyC">
    <w:name w:val="TCellBodyC"/>
    <w:basedOn w:val="TCellBody"/>
    <w:qFormat/>
    <w:rsid w:val="00B24D30"/>
    <w:pPr>
      <w:jc w:val="center"/>
    </w:pPr>
  </w:style>
  <w:style w:type="paragraph" w:customStyle="1" w:styleId="TCellBodyR">
    <w:name w:val="TCellBodyR"/>
    <w:basedOn w:val="TCellBody"/>
    <w:qFormat/>
    <w:rsid w:val="00B24D30"/>
    <w:pPr>
      <w:jc w:val="right"/>
    </w:pPr>
  </w:style>
  <w:style w:type="paragraph" w:customStyle="1" w:styleId="TColHeadC">
    <w:name w:val="TColHeadC"/>
    <w:basedOn w:val="TColHead"/>
    <w:qFormat/>
    <w:rsid w:val="00B24D30"/>
    <w:pPr>
      <w:jc w:val="center"/>
    </w:pPr>
  </w:style>
  <w:style w:type="paragraph" w:customStyle="1" w:styleId="TColHeadR">
    <w:name w:val="TColHeadR"/>
    <w:basedOn w:val="TColHead"/>
    <w:qFormat/>
    <w:rsid w:val="00B24D30"/>
    <w:pPr>
      <w:jc w:val="right"/>
    </w:pPr>
  </w:style>
  <w:style w:type="paragraph" w:customStyle="1" w:styleId="TopicLine">
    <w:name w:val="TopicLine"/>
    <w:basedOn w:val="Normal"/>
    <w:next w:val="Normal"/>
    <w:qFormat/>
    <w:rsid w:val="00C02D77"/>
    <w:pPr>
      <w:spacing w:before="100" w:after="100"/>
      <w:outlineLvl w:val="5"/>
    </w:pPr>
    <w:rPr>
      <w:rFonts w:ascii="Arial" w:hAnsi="Arial"/>
      <w:b/>
      <w:smallCaps/>
    </w:rPr>
  </w:style>
  <w:style w:type="character" w:styleId="Emphasis">
    <w:name w:val="Emphasis"/>
    <w:basedOn w:val="DefaultParagraphFont"/>
    <w:uiPriority w:val="19"/>
    <w:qFormat/>
    <w:rsid w:val="00273AE9"/>
    <w:rPr>
      <w:i/>
      <w:iCs/>
    </w:rPr>
  </w:style>
  <w:style w:type="character" w:styleId="Strong">
    <w:name w:val="Strong"/>
    <w:basedOn w:val="DefaultParagraphFont"/>
    <w:uiPriority w:val="22"/>
    <w:semiHidden/>
    <w:qFormat/>
    <w:rsid w:val="00273AE9"/>
    <w:rPr>
      <w:b/>
      <w:bCs/>
    </w:rPr>
  </w:style>
  <w:style w:type="numbering" w:customStyle="1" w:styleId="Inline">
    <w:name w:val="Inline"/>
    <w:uiPriority w:val="99"/>
    <w:rsid w:val="009005DF"/>
    <w:pPr>
      <w:numPr>
        <w:numId w:val="18"/>
      </w:numPr>
    </w:pPr>
  </w:style>
  <w:style w:type="character" w:customStyle="1" w:styleId="CodeText">
    <w:name w:val="CodeText"/>
    <w:basedOn w:val="DefaultParagraphFont"/>
    <w:uiPriority w:val="19"/>
    <w:qFormat/>
    <w:rsid w:val="00273AE9"/>
    <w:rPr>
      <w:rFonts w:ascii="Arial" w:hAnsi="Arial"/>
      <w:sz w:val="20"/>
    </w:rPr>
  </w:style>
  <w:style w:type="character" w:customStyle="1" w:styleId="CodeBold">
    <w:name w:val="CodeBold"/>
    <w:basedOn w:val="CodeText"/>
    <w:uiPriority w:val="19"/>
    <w:qFormat/>
    <w:rsid w:val="00273AE9"/>
    <w:rPr>
      <w:rFonts w:ascii="Arial" w:hAnsi="Arial"/>
      <w:b/>
      <w:sz w:val="20"/>
    </w:rPr>
  </w:style>
  <w:style w:type="character" w:customStyle="1" w:styleId="GUIText">
    <w:name w:val="GUIText"/>
    <w:basedOn w:val="DefaultParagraphFont"/>
    <w:uiPriority w:val="19"/>
    <w:qFormat/>
    <w:rsid w:val="00273AE9"/>
    <w:rPr>
      <w:rFonts w:ascii="Arial" w:hAnsi="Arial"/>
      <w:b/>
      <w:sz w:val="20"/>
    </w:rPr>
  </w:style>
  <w:style w:type="character" w:customStyle="1" w:styleId="Subscript">
    <w:name w:val="Subscript"/>
    <w:basedOn w:val="DefaultParagraphFont"/>
    <w:uiPriority w:val="19"/>
    <w:qFormat/>
    <w:rsid w:val="00273AE9"/>
    <w:rPr>
      <w:vertAlign w:val="subscript"/>
    </w:rPr>
  </w:style>
  <w:style w:type="character" w:customStyle="1" w:styleId="Superscript">
    <w:name w:val="Superscript"/>
    <w:basedOn w:val="DefaultParagraphFont"/>
    <w:uiPriority w:val="19"/>
    <w:qFormat/>
    <w:rsid w:val="00273AE9"/>
    <w:rPr>
      <w:vertAlign w:val="superscript"/>
    </w:rPr>
  </w:style>
  <w:style w:type="character" w:styleId="BookTitle">
    <w:name w:val="Book Title"/>
    <w:basedOn w:val="DefaultParagraphFont"/>
    <w:uiPriority w:val="19"/>
    <w:qFormat/>
    <w:rsid w:val="0036740B"/>
    <w:rPr>
      <w:b w:val="0"/>
      <w:bCs/>
      <w:i/>
      <w:iCs/>
      <w:spacing w:val="5"/>
    </w:rPr>
  </w:style>
  <w:style w:type="character" w:customStyle="1" w:styleId="Variable">
    <w:name w:val="Variable"/>
    <w:basedOn w:val="DefaultParagraphFont"/>
    <w:uiPriority w:val="19"/>
    <w:qFormat/>
    <w:rsid w:val="0036740B"/>
    <w:rPr>
      <w:i/>
    </w:rPr>
  </w:style>
  <w:style w:type="character" w:customStyle="1" w:styleId="Heading2Char">
    <w:name w:val="Heading 2 Char"/>
    <w:basedOn w:val="DefaultParagraphFont"/>
    <w:link w:val="Heading2"/>
    <w:rsid w:val="00EA565B"/>
    <w:rPr>
      <w:rFonts w:ascii="Arial" w:eastAsiaTheme="majorEastAsia" w:hAnsi="Arial" w:cstheme="majorBidi"/>
      <w:b/>
      <w:kern w:val="22"/>
      <w:sz w:val="32"/>
      <w:szCs w:val="26"/>
    </w:rPr>
  </w:style>
  <w:style w:type="character" w:customStyle="1" w:styleId="Heading3Char">
    <w:name w:val="Heading 3 Char"/>
    <w:basedOn w:val="DefaultParagraphFont"/>
    <w:link w:val="Heading3"/>
    <w:rsid w:val="00D32D32"/>
    <w:rPr>
      <w:rFonts w:ascii="Arial" w:eastAsiaTheme="majorEastAsia" w:hAnsi="Arial" w:cstheme="majorBidi"/>
      <w:b/>
      <w:kern w:val="22"/>
      <w:sz w:val="28"/>
      <w:szCs w:val="24"/>
    </w:rPr>
  </w:style>
  <w:style w:type="character" w:customStyle="1" w:styleId="Heading4Char">
    <w:name w:val="Heading 4 Char"/>
    <w:basedOn w:val="DefaultParagraphFont"/>
    <w:link w:val="Heading4"/>
    <w:rsid w:val="00D32D32"/>
    <w:rPr>
      <w:rFonts w:ascii="Arial" w:eastAsiaTheme="majorEastAsia" w:hAnsi="Arial" w:cstheme="majorBidi"/>
      <w:i/>
      <w:iCs/>
      <w:kern w:val="22"/>
      <w:sz w:val="24"/>
    </w:rPr>
  </w:style>
  <w:style w:type="character" w:customStyle="1" w:styleId="Heading5Char">
    <w:name w:val="Heading 5 Char"/>
    <w:basedOn w:val="DefaultParagraphFont"/>
    <w:link w:val="Heading5"/>
    <w:rsid w:val="009C1C09"/>
    <w:rPr>
      <w:rFonts w:ascii="Times New Roman" w:eastAsiaTheme="majorEastAsia" w:hAnsi="Times New Roman" w:cstheme="majorBidi"/>
      <w:b/>
      <w:smallCaps/>
      <w:kern w:val="22"/>
      <w:sz w:val="24"/>
    </w:rPr>
  </w:style>
  <w:style w:type="paragraph" w:styleId="Caption">
    <w:name w:val="caption"/>
    <w:basedOn w:val="Normal"/>
    <w:next w:val="Normal"/>
    <w:uiPriority w:val="35"/>
    <w:unhideWhenUsed/>
    <w:qFormat/>
    <w:rsid w:val="00B414EA"/>
    <w:pPr>
      <w:spacing w:before="0" w:after="200"/>
    </w:pPr>
    <w:rPr>
      <w:rFonts w:ascii="Arial" w:hAnsi="Arial"/>
      <w:b/>
      <w:iCs/>
      <w:sz w:val="20"/>
      <w:szCs w:val="18"/>
    </w:rPr>
  </w:style>
  <w:style w:type="character" w:customStyle="1" w:styleId="Heading3PgChar">
    <w:name w:val="Heading 3Pg Char"/>
    <w:basedOn w:val="Heading3Char"/>
    <w:link w:val="Heading3Pg"/>
    <w:rsid w:val="009C1C09"/>
    <w:rPr>
      <w:rFonts w:ascii="Arial" w:eastAsiaTheme="majorEastAsia" w:hAnsi="Arial" w:cstheme="majorBidi"/>
      <w:b/>
      <w:kern w:val="22"/>
      <w:sz w:val="28"/>
      <w:szCs w:val="24"/>
    </w:rPr>
  </w:style>
  <w:style w:type="paragraph" w:styleId="ListBullet">
    <w:name w:val="List Bullet"/>
    <w:aliases w:val="List Bullet1"/>
    <w:basedOn w:val="Normal"/>
    <w:unhideWhenUsed/>
    <w:qFormat/>
    <w:rsid w:val="00452D46"/>
    <w:pPr>
      <w:numPr>
        <w:numId w:val="21"/>
      </w:numPr>
    </w:pPr>
  </w:style>
  <w:style w:type="numbering" w:customStyle="1" w:styleId="ListBullets">
    <w:name w:val="ListBullets"/>
    <w:uiPriority w:val="99"/>
    <w:rsid w:val="002C0692"/>
    <w:pPr>
      <w:numPr>
        <w:numId w:val="17"/>
      </w:numPr>
    </w:pPr>
  </w:style>
  <w:style w:type="character" w:customStyle="1" w:styleId="Heading9Char">
    <w:name w:val="Heading 9 Char"/>
    <w:basedOn w:val="DefaultParagraphFont"/>
    <w:link w:val="Heading9"/>
    <w:rsid w:val="009C1C09"/>
    <w:rPr>
      <w:rFonts w:asciiTheme="majorHAnsi" w:eastAsiaTheme="majorEastAsia" w:hAnsiTheme="majorHAnsi" w:cstheme="majorBidi"/>
      <w:i/>
      <w:iCs/>
      <w:color w:val="272727" w:themeColor="text1" w:themeTint="D8"/>
      <w:kern w:val="22"/>
      <w:sz w:val="21"/>
      <w:szCs w:val="21"/>
    </w:rPr>
  </w:style>
  <w:style w:type="paragraph" w:styleId="ListBullet2">
    <w:name w:val="List Bullet 2"/>
    <w:basedOn w:val="ListBullet"/>
    <w:unhideWhenUsed/>
    <w:rsid w:val="00FB5A0D"/>
    <w:pPr>
      <w:numPr>
        <w:ilvl w:val="1"/>
      </w:numPr>
    </w:pPr>
  </w:style>
  <w:style w:type="paragraph" w:styleId="ListBullet3">
    <w:name w:val="List Bullet 3"/>
    <w:basedOn w:val="ListBullet"/>
    <w:unhideWhenUsed/>
    <w:rsid w:val="00FB5A0D"/>
    <w:pPr>
      <w:numPr>
        <w:ilvl w:val="2"/>
      </w:numPr>
      <w:contextualSpacing/>
    </w:pPr>
  </w:style>
  <w:style w:type="paragraph" w:styleId="ListBullet4">
    <w:name w:val="List Bullet 4"/>
    <w:basedOn w:val="ListBullet"/>
    <w:unhideWhenUsed/>
    <w:rsid w:val="002C0692"/>
    <w:pPr>
      <w:numPr>
        <w:ilvl w:val="3"/>
      </w:numPr>
      <w:contextualSpacing/>
    </w:pPr>
  </w:style>
  <w:style w:type="paragraph" w:styleId="ListBullet5">
    <w:name w:val="List Bullet 5"/>
    <w:basedOn w:val="ListBullet"/>
    <w:unhideWhenUsed/>
    <w:rsid w:val="002C0692"/>
    <w:pPr>
      <w:numPr>
        <w:ilvl w:val="4"/>
      </w:numPr>
      <w:contextualSpacing/>
    </w:pPr>
  </w:style>
  <w:style w:type="paragraph" w:styleId="TOC2">
    <w:name w:val="toc 2"/>
    <w:basedOn w:val="Normal"/>
    <w:next w:val="Normal"/>
    <w:autoRedefine/>
    <w:uiPriority w:val="39"/>
    <w:unhideWhenUsed/>
    <w:rsid w:val="00E658F1"/>
    <w:pPr>
      <w:spacing w:before="40"/>
      <w:ind w:left="864" w:hanging="432"/>
    </w:pPr>
    <w:rPr>
      <w:rFonts w:cstheme="minorHAnsi"/>
      <w:b/>
      <w:bCs/>
      <w:sz w:val="24"/>
    </w:rPr>
  </w:style>
  <w:style w:type="paragraph" w:styleId="TOC1">
    <w:name w:val="toc 1"/>
    <w:basedOn w:val="Normal"/>
    <w:next w:val="Normal"/>
    <w:autoRedefine/>
    <w:uiPriority w:val="39"/>
    <w:unhideWhenUsed/>
    <w:rsid w:val="00E658F1"/>
    <w:pPr>
      <w:tabs>
        <w:tab w:val="right" w:leader="dot" w:pos="9350"/>
      </w:tabs>
      <w:ind w:left="432" w:hanging="432"/>
    </w:pPr>
    <w:rPr>
      <w:rFonts w:cstheme="minorHAnsi"/>
      <w:b/>
      <w:bCs/>
      <w:iCs/>
      <w:color w:val="0D00B3"/>
      <w:sz w:val="28"/>
      <w:szCs w:val="24"/>
    </w:rPr>
  </w:style>
  <w:style w:type="paragraph" w:styleId="TOC3">
    <w:name w:val="toc 3"/>
    <w:basedOn w:val="Normal"/>
    <w:next w:val="Normal"/>
    <w:autoRedefine/>
    <w:uiPriority w:val="39"/>
    <w:unhideWhenUsed/>
    <w:rsid w:val="00E658F1"/>
    <w:pPr>
      <w:tabs>
        <w:tab w:val="right" w:leader="dot" w:pos="9350"/>
      </w:tabs>
      <w:spacing w:before="0"/>
      <w:ind w:left="1296" w:hanging="432"/>
    </w:pPr>
    <w:rPr>
      <w:rFonts w:cstheme="minorHAnsi"/>
      <w:szCs w:val="20"/>
    </w:rPr>
  </w:style>
  <w:style w:type="paragraph" w:styleId="TOC4">
    <w:name w:val="toc 4"/>
    <w:basedOn w:val="Normal"/>
    <w:next w:val="Normal"/>
    <w:autoRedefine/>
    <w:uiPriority w:val="39"/>
    <w:unhideWhenUsed/>
    <w:rsid w:val="00E658F1"/>
    <w:pPr>
      <w:tabs>
        <w:tab w:val="right" w:leader="dot" w:pos="9350"/>
      </w:tabs>
      <w:spacing w:before="0"/>
      <w:ind w:left="2160" w:hanging="432"/>
    </w:pPr>
    <w:rPr>
      <w:rFonts w:cstheme="minorHAnsi"/>
      <w:sz w:val="20"/>
      <w:szCs w:val="20"/>
    </w:rPr>
  </w:style>
  <w:style w:type="paragraph" w:styleId="TOC5">
    <w:name w:val="toc 5"/>
    <w:basedOn w:val="Normal"/>
    <w:next w:val="Normal"/>
    <w:autoRedefine/>
    <w:uiPriority w:val="39"/>
    <w:unhideWhenUsed/>
    <w:rsid w:val="00E467A7"/>
    <w:pPr>
      <w:spacing w:before="0"/>
      <w:ind w:left="2160" w:hanging="432"/>
    </w:pPr>
    <w:rPr>
      <w:rFonts w:cstheme="minorHAnsi"/>
      <w:i/>
      <w:sz w:val="20"/>
      <w:szCs w:val="20"/>
    </w:rPr>
  </w:style>
  <w:style w:type="paragraph" w:styleId="TOC6">
    <w:name w:val="toc 6"/>
    <w:basedOn w:val="Normal"/>
    <w:next w:val="Normal"/>
    <w:autoRedefine/>
    <w:uiPriority w:val="39"/>
    <w:unhideWhenUsed/>
    <w:rsid w:val="008A2330"/>
    <w:pPr>
      <w:spacing w:before="0"/>
      <w:ind w:left="1728"/>
    </w:pPr>
    <w:rPr>
      <w:rFonts w:cstheme="minorHAnsi"/>
      <w:i/>
      <w:sz w:val="20"/>
      <w:szCs w:val="20"/>
    </w:rPr>
  </w:style>
  <w:style w:type="character" w:styleId="Hyperlink">
    <w:name w:val="Hyperlink"/>
    <w:basedOn w:val="DefaultParagraphFont"/>
    <w:uiPriority w:val="99"/>
    <w:rsid w:val="00902061"/>
    <w:rPr>
      <w:color w:val="0000FF"/>
      <w:sz w:val="20"/>
      <w:u w:val="single"/>
    </w:rPr>
  </w:style>
  <w:style w:type="paragraph" w:styleId="TOC7">
    <w:name w:val="toc 7"/>
    <w:basedOn w:val="Normal"/>
    <w:next w:val="Normal"/>
    <w:autoRedefine/>
    <w:uiPriority w:val="39"/>
    <w:unhideWhenUsed/>
    <w:rsid w:val="00C02D77"/>
    <w:pPr>
      <w:spacing w:before="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02D77"/>
    <w:pPr>
      <w:spacing w:before="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02D77"/>
    <w:pPr>
      <w:spacing w:before="0"/>
      <w:ind w:left="1760"/>
    </w:pPr>
    <w:rPr>
      <w:rFonts w:asciiTheme="minorHAnsi" w:hAnsiTheme="minorHAnsi" w:cstheme="minorHAnsi"/>
      <w:sz w:val="20"/>
      <w:szCs w:val="20"/>
    </w:rPr>
  </w:style>
  <w:style w:type="paragraph" w:styleId="TOCHeading">
    <w:name w:val="TOC Heading"/>
    <w:basedOn w:val="Heading1"/>
    <w:next w:val="Normal"/>
    <w:uiPriority w:val="39"/>
    <w:unhideWhenUsed/>
    <w:qFormat/>
    <w:rsid w:val="00C02D77"/>
    <w:pPr>
      <w:spacing w:before="240" w:after="0" w:line="259" w:lineRule="auto"/>
      <w:outlineLvl w:val="9"/>
    </w:pPr>
    <w:rPr>
      <w:rFonts w:asciiTheme="majorHAnsi" w:hAnsiTheme="majorHAnsi"/>
      <w:b w:val="0"/>
      <w:color w:val="2E74B5" w:themeColor="accent1" w:themeShade="BF"/>
      <w:kern w:val="0"/>
      <w:sz w:val="32"/>
    </w:rPr>
  </w:style>
  <w:style w:type="paragraph" w:styleId="Header">
    <w:name w:val="header"/>
    <w:basedOn w:val="Normal"/>
    <w:link w:val="HeaderChar"/>
    <w:uiPriority w:val="99"/>
    <w:unhideWhenUsed/>
    <w:rsid w:val="00C51AA6"/>
    <w:pPr>
      <w:tabs>
        <w:tab w:val="center" w:pos="4680"/>
        <w:tab w:val="right" w:pos="9360"/>
      </w:tabs>
      <w:spacing w:before="0"/>
    </w:pPr>
  </w:style>
  <w:style w:type="character" w:customStyle="1" w:styleId="HeaderChar">
    <w:name w:val="Header Char"/>
    <w:basedOn w:val="DefaultParagraphFont"/>
    <w:link w:val="Header"/>
    <w:uiPriority w:val="99"/>
    <w:rsid w:val="00C51AA6"/>
    <w:rPr>
      <w:rFonts w:ascii="Times New Roman" w:hAnsi="Times New Roman"/>
      <w:kern w:val="22"/>
    </w:rPr>
  </w:style>
  <w:style w:type="paragraph" w:styleId="Footer">
    <w:name w:val="footer"/>
    <w:basedOn w:val="Normal"/>
    <w:link w:val="FooterChar"/>
    <w:uiPriority w:val="99"/>
    <w:unhideWhenUsed/>
    <w:rsid w:val="00C51AA6"/>
    <w:pPr>
      <w:tabs>
        <w:tab w:val="center" w:pos="4680"/>
        <w:tab w:val="right" w:pos="9360"/>
      </w:tabs>
      <w:spacing w:before="0"/>
    </w:pPr>
  </w:style>
  <w:style w:type="character" w:customStyle="1" w:styleId="FooterChar">
    <w:name w:val="Footer Char"/>
    <w:basedOn w:val="DefaultParagraphFont"/>
    <w:link w:val="Footer"/>
    <w:uiPriority w:val="99"/>
    <w:rsid w:val="00C51AA6"/>
    <w:rPr>
      <w:rFonts w:ascii="Times New Roman" w:hAnsi="Times New Roman"/>
      <w:kern w:val="22"/>
    </w:rPr>
  </w:style>
  <w:style w:type="paragraph" w:styleId="ListParagraph">
    <w:name w:val="List Paragraph"/>
    <w:basedOn w:val="Normal"/>
    <w:uiPriority w:val="34"/>
    <w:qFormat/>
    <w:rsid w:val="00CF47F1"/>
    <w:pPr>
      <w:spacing w:before="0" w:after="160" w:line="259" w:lineRule="auto"/>
      <w:ind w:left="720"/>
      <w:contextualSpacing/>
    </w:pPr>
    <w:rPr>
      <w:rFonts w:asciiTheme="minorHAnsi" w:hAnsiTheme="minorHAnsi"/>
      <w:kern w:val="0"/>
    </w:rPr>
  </w:style>
  <w:style w:type="table" w:styleId="TableGrid">
    <w:name w:val="Table Grid"/>
    <w:basedOn w:val="TableNormal"/>
    <w:uiPriority w:val="39"/>
    <w:rsid w:val="004E7DC4"/>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0F65"/>
    <w:pPr>
      <w:spacing w:before="100" w:beforeAutospacing="1" w:after="100" w:afterAutospacing="1"/>
    </w:pPr>
    <w:rPr>
      <w:rFonts w:eastAsia="Times New Roman" w:cs="Times New Roman"/>
      <w:kern w:val="0"/>
      <w:sz w:val="24"/>
      <w:szCs w:val="24"/>
    </w:rPr>
  </w:style>
  <w:style w:type="paragraph" w:styleId="BalloonText">
    <w:name w:val="Balloon Text"/>
    <w:basedOn w:val="Normal"/>
    <w:link w:val="BalloonTextChar"/>
    <w:uiPriority w:val="99"/>
    <w:semiHidden/>
    <w:unhideWhenUsed/>
    <w:rsid w:val="000F5339"/>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339"/>
    <w:rPr>
      <w:rFonts w:ascii="Segoe UI" w:hAnsi="Segoe UI" w:cs="Segoe UI"/>
      <w:kern w:val="22"/>
      <w:sz w:val="18"/>
      <w:szCs w:val="18"/>
    </w:rPr>
  </w:style>
  <w:style w:type="character" w:styleId="CommentReference">
    <w:name w:val="annotation reference"/>
    <w:basedOn w:val="DefaultParagraphFont"/>
    <w:uiPriority w:val="99"/>
    <w:semiHidden/>
    <w:unhideWhenUsed/>
    <w:rsid w:val="00DA0E71"/>
    <w:rPr>
      <w:sz w:val="16"/>
      <w:szCs w:val="16"/>
    </w:rPr>
  </w:style>
  <w:style w:type="paragraph" w:styleId="CommentText">
    <w:name w:val="annotation text"/>
    <w:basedOn w:val="Normal"/>
    <w:link w:val="CommentTextChar"/>
    <w:uiPriority w:val="99"/>
    <w:semiHidden/>
    <w:unhideWhenUsed/>
    <w:rsid w:val="00DA0E71"/>
    <w:rPr>
      <w:sz w:val="20"/>
      <w:szCs w:val="20"/>
    </w:rPr>
  </w:style>
  <w:style w:type="character" w:customStyle="1" w:styleId="CommentTextChar">
    <w:name w:val="Comment Text Char"/>
    <w:basedOn w:val="DefaultParagraphFont"/>
    <w:link w:val="CommentText"/>
    <w:uiPriority w:val="99"/>
    <w:semiHidden/>
    <w:rsid w:val="00DA0E71"/>
    <w:rPr>
      <w:rFonts w:ascii="Times New Roman" w:hAnsi="Times New Roman"/>
      <w:kern w:val="22"/>
      <w:sz w:val="20"/>
      <w:szCs w:val="20"/>
    </w:rPr>
  </w:style>
  <w:style w:type="paragraph" w:styleId="CommentSubject">
    <w:name w:val="annotation subject"/>
    <w:basedOn w:val="CommentText"/>
    <w:next w:val="CommentText"/>
    <w:link w:val="CommentSubjectChar"/>
    <w:uiPriority w:val="99"/>
    <w:semiHidden/>
    <w:unhideWhenUsed/>
    <w:rsid w:val="00DA0E71"/>
    <w:rPr>
      <w:b/>
      <w:bCs/>
    </w:rPr>
  </w:style>
  <w:style w:type="character" w:customStyle="1" w:styleId="CommentSubjectChar">
    <w:name w:val="Comment Subject Char"/>
    <w:basedOn w:val="CommentTextChar"/>
    <w:link w:val="CommentSubject"/>
    <w:uiPriority w:val="99"/>
    <w:semiHidden/>
    <w:rsid w:val="00DA0E71"/>
    <w:rPr>
      <w:rFonts w:ascii="Times New Roman" w:hAnsi="Times New Roman"/>
      <w:b/>
      <w:bCs/>
      <w:kern w:val="22"/>
      <w:sz w:val="20"/>
      <w:szCs w:val="20"/>
    </w:rPr>
  </w:style>
  <w:style w:type="paragraph" w:styleId="Revision">
    <w:name w:val="Revision"/>
    <w:hidden/>
    <w:uiPriority w:val="99"/>
    <w:semiHidden/>
    <w:rsid w:val="00E9280F"/>
    <w:pPr>
      <w:spacing w:before="0"/>
    </w:pPr>
    <w:rPr>
      <w:rFonts w:ascii="Times New Roman" w:hAnsi="Times New Roman"/>
      <w:kern w:val="22"/>
    </w:rPr>
  </w:style>
  <w:style w:type="table" w:styleId="GridTable2-Accent2">
    <w:name w:val="Grid Table 2 Accent 2"/>
    <w:basedOn w:val="TableNormal"/>
    <w:uiPriority w:val="47"/>
    <w:rsid w:val="00E74DA4"/>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E74D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E74DA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E74DA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949676">
      <w:bodyDiv w:val="1"/>
      <w:marLeft w:val="0"/>
      <w:marRight w:val="0"/>
      <w:marTop w:val="0"/>
      <w:marBottom w:val="0"/>
      <w:divBdr>
        <w:top w:val="none" w:sz="0" w:space="0" w:color="auto"/>
        <w:left w:val="none" w:sz="0" w:space="0" w:color="auto"/>
        <w:bottom w:val="none" w:sz="0" w:space="0" w:color="auto"/>
        <w:right w:val="none" w:sz="0" w:space="0" w:color="auto"/>
      </w:divBdr>
    </w:div>
    <w:div w:id="1062870205">
      <w:bodyDiv w:val="1"/>
      <w:marLeft w:val="0"/>
      <w:marRight w:val="0"/>
      <w:marTop w:val="0"/>
      <w:marBottom w:val="0"/>
      <w:divBdr>
        <w:top w:val="none" w:sz="0" w:space="0" w:color="auto"/>
        <w:left w:val="none" w:sz="0" w:space="0" w:color="auto"/>
        <w:bottom w:val="none" w:sz="0" w:space="0" w:color="auto"/>
        <w:right w:val="none" w:sz="0" w:space="0" w:color="auto"/>
      </w:divBdr>
    </w:div>
    <w:div w:id="120994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50E94-DA43-404B-9483-CBD71A44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34</Pages>
  <Words>10017</Words>
  <Characters>57100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CADSWES</dc:creator>
  <cp:keywords/>
  <dc:description/>
  <cp:lastModifiedBy>David Neumann</cp:lastModifiedBy>
  <cp:revision>10</cp:revision>
  <cp:lastPrinted>2020-09-16T15:52:00Z</cp:lastPrinted>
  <dcterms:created xsi:type="dcterms:W3CDTF">2020-09-16T15:55:00Z</dcterms:created>
  <dcterms:modified xsi:type="dcterms:W3CDTF">2020-10-29T19:49:00Z</dcterms:modified>
</cp:coreProperties>
</file>