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A7EA31" w14:textId="5BFE50FA" w:rsidR="00790913" w:rsidRPr="00FD49FF" w:rsidRDefault="00BB0F65" w:rsidP="00790913">
      <w:pPr>
        <w:pStyle w:val="Title"/>
      </w:pPr>
      <w:bookmarkStart w:id="0" w:name="_Toc529266435"/>
      <w:r w:rsidRPr="006B0601">
        <w:t xml:space="preserve">Klamath </w:t>
      </w:r>
      <w:r w:rsidR="00727853">
        <w:t xml:space="preserve">Basin </w:t>
      </w:r>
      <w:r w:rsidRPr="006B0601">
        <w:t>RiverWare</w:t>
      </w:r>
      <w:r w:rsidR="008928F2">
        <w:t xml:space="preserve"> </w:t>
      </w:r>
      <w:r w:rsidR="00790913">
        <w:rPr>
          <w:noProof/>
        </w:rPr>
        <w:drawing>
          <wp:anchor distT="0" distB="0" distL="114300" distR="114300" simplePos="0" relativeHeight="251662336" behindDoc="0" locked="0" layoutInCell="1" allowOverlap="1" wp14:anchorId="223401F9" wp14:editId="403C673A">
            <wp:simplePos x="0" y="0"/>
            <wp:positionH relativeFrom="margin">
              <wp:posOffset>-330</wp:posOffset>
            </wp:positionH>
            <wp:positionV relativeFrom="paragraph">
              <wp:posOffset>447675</wp:posOffset>
            </wp:positionV>
            <wp:extent cx="4457065" cy="113665"/>
            <wp:effectExtent l="0" t="0" r="635"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tleLine.png"/>
                    <pic:cNvPicPr/>
                  </pic:nvPicPr>
                  <pic:blipFill>
                    <a:blip r:embed="rId8">
                      <a:extLst>
                        <a:ext uri="{28A0092B-C50C-407E-A947-70E740481C1C}">
                          <a14:useLocalDpi xmlns:a14="http://schemas.microsoft.com/office/drawing/2010/main" val="0"/>
                        </a:ext>
                      </a:extLst>
                    </a:blip>
                    <a:stretch>
                      <a:fillRect/>
                    </a:stretch>
                  </pic:blipFill>
                  <pic:spPr>
                    <a:xfrm>
                      <a:off x="0" y="0"/>
                      <a:ext cx="4457065" cy="113665"/>
                    </a:xfrm>
                    <a:prstGeom prst="rect">
                      <a:avLst/>
                    </a:prstGeom>
                  </pic:spPr>
                </pic:pic>
              </a:graphicData>
            </a:graphic>
          </wp:anchor>
        </w:drawing>
      </w:r>
      <w:bookmarkEnd w:id="0"/>
      <w:r w:rsidR="002E126C">
        <w:t xml:space="preserve">        Model Testing Report</w:t>
      </w:r>
    </w:p>
    <w:p w14:paraId="1CD03597" w14:textId="1D97EE14" w:rsidR="00790913" w:rsidRDefault="001917DB" w:rsidP="00790913">
      <w:r>
        <w:t>Ju</w:t>
      </w:r>
      <w:r w:rsidR="002E126C">
        <w:t>ly 17</w:t>
      </w:r>
      <w:r w:rsidR="000F5339">
        <w:t>, 2019</w:t>
      </w:r>
    </w:p>
    <w:p w14:paraId="7AA4A8E2" w14:textId="73CC0553" w:rsidR="00970283" w:rsidRDefault="00970283" w:rsidP="00790913">
      <w:r>
        <w:t>CADSWES:</w:t>
      </w:r>
      <w:r w:rsidR="00E24A17">
        <w:t xml:space="preserve"> </w:t>
      </w:r>
      <w:r w:rsidR="002E126C">
        <w:t>Mitchell Frischmeyer</w:t>
      </w:r>
    </w:p>
    <w:p w14:paraId="24828327" w14:textId="21D93231" w:rsidR="00096C46" w:rsidRDefault="008629BF" w:rsidP="00096C46">
      <w:pPr>
        <w:pStyle w:val="Heading1"/>
      </w:pPr>
      <w:r>
        <w:t>Introduction</w:t>
      </w:r>
    </w:p>
    <w:p w14:paraId="24674B3C" w14:textId="5B6B3676" w:rsidR="00A47558" w:rsidRDefault="00A47558" w:rsidP="00A47558">
      <w:r>
        <w:t>In CADSWES’s contract, Phase 2, Task 4 “CU-CADSWES review of Klamath RiverWare Operations Model” states:</w:t>
      </w:r>
    </w:p>
    <w:p w14:paraId="3B153BFD" w14:textId="21875DC1" w:rsidR="00A47558" w:rsidRPr="004B029A" w:rsidRDefault="00A47558" w:rsidP="00A47558">
      <w:pPr>
        <w:rPr>
          <w:i/>
          <w:iCs/>
        </w:rPr>
      </w:pPr>
      <w:r w:rsidRPr="004B029A">
        <w:rPr>
          <w:i/>
          <w:iCs/>
        </w:rPr>
        <w:t>In this task, Recl</w:t>
      </w:r>
      <w:r w:rsidR="004B029A">
        <w:rPr>
          <w:i/>
          <w:iCs/>
        </w:rPr>
        <w:t>a</w:t>
      </w:r>
      <w:r w:rsidRPr="004B029A">
        <w:rPr>
          <w:i/>
          <w:iCs/>
        </w:rPr>
        <w:t xml:space="preserve">mation’s TSC will work collaboratively with CU-CADSWES to test the newly developed Klamath RiverWare Operations </w:t>
      </w:r>
      <w:bookmarkStart w:id="1" w:name="_GoBack"/>
      <w:bookmarkEnd w:id="1"/>
      <w:r w:rsidRPr="004B029A">
        <w:rPr>
          <w:i/>
          <w:iCs/>
        </w:rPr>
        <w:t>Model by making comparisons with the existing Iron Gate Dam calculator spreadsheet operations model. Also as part of model testing, TSC and CU-CADSWES will assist KBAO in determining if modeled operations are within the bounds of what was modeled with the Klamath Basin Planning Model (model in WRIMS platform that supported 2013 Proposed Action and Biological Opinion), assuming operating policies.</w:t>
      </w:r>
    </w:p>
    <w:p w14:paraId="4E95FC31" w14:textId="35A88802" w:rsidR="00D21940" w:rsidRDefault="00B40DC5" w:rsidP="002E126C">
      <w:r>
        <w:t>This document summarizes the testing of the Klamath</w:t>
      </w:r>
      <w:r w:rsidR="004B029A">
        <w:t xml:space="preserve"> RiverWare Operations</w:t>
      </w:r>
      <w:r>
        <w:t xml:space="preserve"> Model’s</w:t>
      </w:r>
      <w:r w:rsidR="00750163">
        <w:t xml:space="preserve"> (KROM)</w:t>
      </w:r>
      <w:r>
        <w:t xml:space="preserve"> ability to run the policy</w:t>
      </w:r>
      <w:r w:rsidR="00D21940">
        <w:t xml:space="preserve"> found</w:t>
      </w:r>
      <w:r>
        <w:t xml:space="preserve"> within the I</w:t>
      </w:r>
      <w:r w:rsidR="00750163">
        <w:t>ron Gate Dam</w:t>
      </w:r>
      <w:r>
        <w:t xml:space="preserve"> Calculator</w:t>
      </w:r>
      <w:r w:rsidR="00750163">
        <w:t xml:space="preserve"> (IGD Calc)</w:t>
      </w:r>
      <w:r>
        <w:t xml:space="preserve">. </w:t>
      </w:r>
      <w:r w:rsidR="004B029A">
        <w:t>D</w:t>
      </w:r>
      <w:r w:rsidR="00D21940">
        <w:t>etail</w:t>
      </w:r>
      <w:r w:rsidR="004B029A">
        <w:t>ed is</w:t>
      </w:r>
      <w:r w:rsidR="00D21940">
        <w:t xml:space="preserve"> the</w:t>
      </w:r>
      <w:r w:rsidR="00750163">
        <w:t xml:space="preserve"> testing methodology, </w:t>
      </w:r>
      <w:r w:rsidR="004251EB">
        <w:t>analysis of model deviations</w:t>
      </w:r>
      <w:r w:rsidR="00DF784A">
        <w:t xml:space="preserve"> for each key variable</w:t>
      </w:r>
      <w:r w:rsidR="004251EB">
        <w:t>,</w:t>
      </w:r>
      <w:r w:rsidR="00DF784A">
        <w:t xml:space="preserve"> and </w:t>
      </w:r>
      <w:r w:rsidR="004251EB">
        <w:t>discussion of KROM</w:t>
      </w:r>
      <w:r w:rsidR="00DF784A">
        <w:t>’s</w:t>
      </w:r>
      <w:r w:rsidR="004251EB">
        <w:t xml:space="preserve"> overall performance</w:t>
      </w:r>
      <w:r w:rsidR="00DF784A">
        <w:t>. Figures from the testing reports are shown where applicable.</w:t>
      </w:r>
    </w:p>
    <w:p w14:paraId="332C6D3B" w14:textId="024C3A3E" w:rsidR="008629BF" w:rsidRDefault="00750163" w:rsidP="005960E2">
      <w:pPr>
        <w:pStyle w:val="Heading1"/>
      </w:pPr>
      <w:r>
        <w:t>Methodology</w:t>
      </w:r>
    </w:p>
    <w:p w14:paraId="280AE6B5" w14:textId="251D32DF" w:rsidR="00FF61F7" w:rsidRDefault="00750163" w:rsidP="00A47558">
      <w:r>
        <w:t xml:space="preserve">To test the KROM’s ability to run the basin’s operations policy, the model’s outputs were compared against the IGD Calc’s outputs. </w:t>
      </w:r>
      <w:r w:rsidR="002F0A6C">
        <w:t>The</w:t>
      </w:r>
      <w:r>
        <w:t xml:space="preserve"> IGD Calc is currently used as the operations management tool by the Klamath Basin Area Office (KBAO),</w:t>
      </w:r>
      <w:r w:rsidR="002F0A6C">
        <w:t xml:space="preserve"> thus</w:t>
      </w:r>
      <w:r>
        <w:t xml:space="preserve"> its outputs were used as the “true</w:t>
      </w:r>
      <w:r w:rsidR="002F0A6C">
        <w:t xml:space="preserve"> value</w:t>
      </w:r>
      <w:r>
        <w:t>”</w:t>
      </w:r>
      <w:r w:rsidR="002F0A6C">
        <w:t xml:space="preserve"> to which the model’s d</w:t>
      </w:r>
      <w:r w:rsidR="00555423">
        <w:t>ifference</w:t>
      </w:r>
      <w:r w:rsidR="002F0A6C">
        <w:t xml:space="preserve"> would be tracked. </w:t>
      </w:r>
      <w:r w:rsidR="004846D8">
        <w:t>The purpose of tracking the d</w:t>
      </w:r>
      <w:r w:rsidR="00555423">
        <w:t>ifference</w:t>
      </w:r>
      <w:r w:rsidR="004846D8">
        <w:t xml:space="preserve"> is two-fold. First, it serves to locate w</w:t>
      </w:r>
      <w:r w:rsidR="00E45D0E">
        <w:t>h</w:t>
      </w:r>
      <w:r w:rsidR="004846D8">
        <w:t>ere incorrect application</w:t>
      </w:r>
      <w:r w:rsidR="00555423">
        <w:t>s</w:t>
      </w:r>
      <w:r w:rsidR="004846D8">
        <w:t xml:space="preserve"> of policy may lie within the ruleset. Second, it demonstrates the KROM’s overall ability to </w:t>
      </w:r>
      <w:r w:rsidR="00E45D0E">
        <w:t xml:space="preserve">correctly </w:t>
      </w:r>
      <w:r w:rsidR="0076539B">
        <w:t>incorporate the policy found within the IGD Calc</w:t>
      </w:r>
      <w:r w:rsidR="00E45D0E">
        <w:t xml:space="preserve">. </w:t>
      </w:r>
    </w:p>
    <w:p w14:paraId="07BD14FC" w14:textId="45C2BE13" w:rsidR="00AA342C" w:rsidRDefault="002F0A6C" w:rsidP="00A47558">
      <w:r>
        <w:t xml:space="preserve">Due to the complex nature of the operations policy and the </w:t>
      </w:r>
      <w:r w:rsidR="004846D8">
        <w:t>number</w:t>
      </w:r>
      <w:r>
        <w:t xml:space="preserve"> of rules needed to replicate it within the KROM</w:t>
      </w:r>
      <w:r w:rsidR="004846D8">
        <w:t xml:space="preserve">, </w:t>
      </w:r>
      <w:r w:rsidR="00E45D0E">
        <w:t xml:space="preserve">one run scenario </w:t>
      </w:r>
      <w:r w:rsidR="002101A0">
        <w:t>is</w:t>
      </w:r>
      <w:r w:rsidR="00E45D0E">
        <w:t xml:space="preserve"> inadequate to ensure correct</w:t>
      </w:r>
      <w:r w:rsidR="00705177">
        <w:t xml:space="preserve"> </w:t>
      </w:r>
      <w:r w:rsidR="00E45D0E">
        <w:t xml:space="preserve">application. Thus, a testing plan was developed by the members at the Center for Advanced Decision and Support for Water and Environmental Systems (CADSWES) in which 13 </w:t>
      </w:r>
      <w:r w:rsidR="00FF61F7">
        <w:t>“</w:t>
      </w:r>
      <w:r w:rsidR="00E45D0E">
        <w:t>operation start dates</w:t>
      </w:r>
      <w:r w:rsidR="00FF61F7">
        <w:t>”</w:t>
      </w:r>
      <w:r w:rsidR="00E45D0E">
        <w:t xml:space="preserve"> </w:t>
      </w:r>
      <w:r w:rsidR="002101A0">
        <w:t>were</w:t>
      </w:r>
      <w:r w:rsidR="00E45D0E">
        <w:t xml:space="preserve"> chosen over two sets of data</w:t>
      </w:r>
      <w:r w:rsidR="00B05364">
        <w:t xml:space="preserve">. </w:t>
      </w:r>
      <w:r w:rsidR="00583688">
        <w:t>The</w:t>
      </w:r>
      <w:r w:rsidR="00FF61F7">
        <w:t xml:space="preserve"> “operations start date” is the </w:t>
      </w:r>
      <w:r w:rsidR="002101A0">
        <w:t>beginning</w:t>
      </w:r>
      <w:r w:rsidR="00FF61F7">
        <w:t xml:space="preserve"> of the time period</w:t>
      </w:r>
      <w:r w:rsidR="00583688">
        <w:t xml:space="preserve"> </w:t>
      </w:r>
      <w:r w:rsidR="00FF61F7">
        <w:t xml:space="preserve">where </w:t>
      </w:r>
      <w:r w:rsidR="002101A0">
        <w:t>values are predicted</w:t>
      </w:r>
      <w:r w:rsidR="0062706E">
        <w:t xml:space="preserve"> and computed</w:t>
      </w:r>
      <w:r w:rsidR="002101A0">
        <w:t xml:space="preserve"> by the model until the final timestep</w:t>
      </w:r>
      <w:r w:rsidR="00583688">
        <w:t>.</w:t>
      </w:r>
      <w:r w:rsidR="002101A0">
        <w:t xml:space="preserve"> For the preceding</w:t>
      </w:r>
      <w:r w:rsidR="0062706E">
        <w:t xml:space="preserve"> </w:t>
      </w:r>
      <w:r w:rsidR="002101A0">
        <w:t xml:space="preserve">time period, </w:t>
      </w:r>
      <w:r w:rsidR="0062706E">
        <w:t xml:space="preserve">all </w:t>
      </w:r>
      <w:r w:rsidR="002101A0">
        <w:t xml:space="preserve">values </w:t>
      </w:r>
      <w:r w:rsidR="0062706E">
        <w:t>are</w:t>
      </w:r>
      <w:r w:rsidR="002101A0">
        <w:t xml:space="preserve"> set </w:t>
      </w:r>
      <w:r w:rsidR="0062706E">
        <w:t xml:space="preserve">directly or indirectly </w:t>
      </w:r>
      <w:r w:rsidR="002101A0">
        <w:t>by observed data imported into the model.</w:t>
      </w:r>
      <w:r w:rsidR="00702089">
        <w:t xml:space="preserve"> In real time, the operations start date represents the day when the operators are making decisions about the system, often the current. By </w:t>
      </w:r>
      <w:r w:rsidR="00AA342C">
        <w:t>choosing</w:t>
      </w:r>
      <w:r w:rsidR="0062706E">
        <w:t xml:space="preserve"> </w:t>
      </w:r>
      <w:r w:rsidR="00AA342C">
        <w:t xml:space="preserve">key </w:t>
      </w:r>
      <w:r w:rsidR="0062706E">
        <w:t>operation start dates</w:t>
      </w:r>
      <w:r w:rsidR="00702089">
        <w:t xml:space="preserve"> in testing</w:t>
      </w:r>
      <w:r w:rsidR="0062706E">
        <w:t xml:space="preserve">, the </w:t>
      </w:r>
      <w:r w:rsidR="00B05364">
        <w:t>rules</w:t>
      </w:r>
      <w:r w:rsidR="0062706E">
        <w:t xml:space="preserve"> </w:t>
      </w:r>
      <w:r w:rsidR="00B05364">
        <w:t xml:space="preserve">are </w:t>
      </w:r>
      <w:r w:rsidR="00AA342C">
        <w:t>checked</w:t>
      </w:r>
      <w:r w:rsidR="00B05364">
        <w:t xml:space="preserve"> against </w:t>
      </w:r>
      <w:r w:rsidR="00CA45A0">
        <w:t xml:space="preserve">sets of </w:t>
      </w:r>
      <w:r w:rsidR="00B05364">
        <w:t>data that initiate a range of responses and triggers in both Spring-Summer and Fall-Winter operations.</w:t>
      </w:r>
      <w:r w:rsidR="00CA45A0">
        <w:t xml:space="preserve"> </w:t>
      </w:r>
    </w:p>
    <w:p w14:paraId="74BE23CC" w14:textId="2D76ED18" w:rsidR="00A05368" w:rsidRDefault="00DF784A" w:rsidP="00A47558">
      <w:r>
        <w:lastRenderedPageBreak/>
        <w:t>For</w:t>
      </w:r>
      <w:r w:rsidR="00CA45A0">
        <w:t xml:space="preserve"> each run scenario, the total</w:t>
      </w:r>
      <w:r w:rsidR="00AA342C">
        <w:t xml:space="preserve"> run</w:t>
      </w:r>
      <w:r w:rsidR="00CA45A0">
        <w:t xml:space="preserve"> period stays constant (Feb 22, 2018 to Sep 30, 2019). Only the time periods of observed data and predicted data change. To compare th</w:t>
      </w:r>
      <w:r w:rsidR="00AA342C">
        <w:t>e KROM versus the IGD Calc, those two time periods</w:t>
      </w:r>
      <w:r w:rsidR="00B7791E">
        <w:t xml:space="preserve"> and thus </w:t>
      </w:r>
      <w:r>
        <w:t>“</w:t>
      </w:r>
      <w:r w:rsidR="00B7791E">
        <w:t>operation start dat</w:t>
      </w:r>
      <w:r w:rsidR="00CA2096">
        <w:t>e</w:t>
      </w:r>
      <w:r>
        <w:t>”</w:t>
      </w:r>
      <w:r w:rsidR="00AA342C">
        <w:t xml:space="preserve"> much be the same on each tool </w:t>
      </w:r>
      <w:r w:rsidR="00A05368">
        <w:t>for</w:t>
      </w:r>
      <w:r w:rsidR="00AA342C">
        <w:t xml:space="preserve"> the input data</w:t>
      </w:r>
      <w:r w:rsidR="00A05368">
        <w:t xml:space="preserve"> to</w:t>
      </w:r>
      <w:r w:rsidR="00AA342C">
        <w:t xml:space="preserve"> match. </w:t>
      </w:r>
      <w:r w:rsidR="00B7791E">
        <w:t xml:space="preserve">In the IGD Calc, this is controlled from the </w:t>
      </w:r>
      <w:r>
        <w:t>“</w:t>
      </w:r>
      <w:r w:rsidR="00B7791E">
        <w:t>Dashboard</w:t>
      </w:r>
      <w:r>
        <w:t>”</w:t>
      </w:r>
      <w:r w:rsidR="00B7791E">
        <w:t xml:space="preserve"> </w:t>
      </w:r>
      <w:r>
        <w:t>t</w:t>
      </w:r>
      <w:r w:rsidR="00B7791E">
        <w:t xml:space="preserve">ab. In the KROM, a dedicated slot within the “Dashboard” data object is used for the same purpose. </w:t>
      </w:r>
      <w:r w:rsidR="00344761">
        <w:t xml:space="preserve">Not every </w:t>
      </w:r>
      <w:r>
        <w:t>“</w:t>
      </w:r>
      <w:r w:rsidR="00344761">
        <w:t>operation start date</w:t>
      </w:r>
      <w:r>
        <w:t>”</w:t>
      </w:r>
      <w:r w:rsidR="00344761">
        <w:t xml:space="preserve"> is tested </w:t>
      </w:r>
      <w:r>
        <w:t>with</w:t>
      </w:r>
      <w:r w:rsidR="00344761">
        <w:t xml:space="preserve"> the same method due</w:t>
      </w:r>
      <w:r w:rsidR="00B7791E">
        <w:t xml:space="preserve"> to the </w:t>
      </w:r>
      <w:r w:rsidR="00344761">
        <w:t>changing</w:t>
      </w:r>
      <w:r w:rsidR="00B7791E">
        <w:t xml:space="preserve"> nature of the IGD Calc</w:t>
      </w:r>
      <w:r w:rsidR="00344761">
        <w:t xml:space="preserve">. Since </w:t>
      </w:r>
      <w:r w:rsidR="00CA2096">
        <w:t>the IGD Calc</w:t>
      </w:r>
      <w:r w:rsidR="00344761">
        <w:t xml:space="preserve"> is c</w:t>
      </w:r>
      <w:r w:rsidR="00CA2096">
        <w:t>ontinually</w:t>
      </w:r>
      <w:r w:rsidR="00344761">
        <w:t xml:space="preserve"> revised to incorporate updated policy</w:t>
      </w:r>
      <w:r w:rsidR="00B7791E">
        <w:t xml:space="preserve">, </w:t>
      </w:r>
      <w:r w:rsidR="00344761">
        <w:t>values calculated prior to the 2018 Spring-Summer</w:t>
      </w:r>
      <w:r w:rsidR="001C2A68">
        <w:t xml:space="preserve"> period</w:t>
      </w:r>
      <w:r w:rsidR="00344761">
        <w:t xml:space="preserve"> were</w:t>
      </w:r>
      <w:r>
        <w:t xml:space="preserve"> considered</w:t>
      </w:r>
      <w:r w:rsidR="00344761">
        <w:t xml:space="preserve"> invalid</w:t>
      </w:r>
      <w:r w:rsidR="00CA2096">
        <w:t>. T</w:t>
      </w:r>
      <w:r>
        <w:t>hus, to</w:t>
      </w:r>
      <w:r w:rsidR="00CA2096">
        <w:t xml:space="preserve"> compare the older data, a copy of the IGD Calc was created with flow data from water years 2017/2018 </w:t>
      </w:r>
      <w:r w:rsidR="00A05368">
        <w:t>relocated into</w:t>
      </w:r>
      <w:r w:rsidR="00CA2096">
        <w:t xml:space="preserve"> the 2018/2019 reference cells. </w:t>
      </w:r>
      <w:r>
        <w:t>This allowed</w:t>
      </w:r>
      <w:r w:rsidR="00CA2096">
        <w:t xml:space="preserve"> the 2017/2018 data to operate on the current policy. </w:t>
      </w:r>
      <w:r w:rsidR="00A05368">
        <w:t>Similarly, t</w:t>
      </w:r>
      <w:r w:rsidR="001C2A68">
        <w:t xml:space="preserve">his was mimicked in the KROM </w:t>
      </w:r>
      <w:r w:rsidR="00A05368">
        <w:t xml:space="preserve">by importing the 2017/2018 data </w:t>
      </w:r>
      <w:r w:rsidR="00F53C16">
        <w:t>with the</w:t>
      </w:r>
      <w:r w:rsidR="00A05368">
        <w:t xml:space="preserve"> timesteps</w:t>
      </w:r>
      <w:r w:rsidR="00705177">
        <w:t xml:space="preserve"> referenced</w:t>
      </w:r>
      <w:r w:rsidR="00A05368">
        <w:t xml:space="preserve"> </w:t>
      </w:r>
      <w:r w:rsidR="00705177">
        <w:t>to</w:t>
      </w:r>
      <w:r w:rsidR="00A05368">
        <w:t xml:space="preserve"> 2018/2019</w:t>
      </w:r>
      <w:r w:rsidR="00705177">
        <w:t xml:space="preserve"> dates</w:t>
      </w:r>
      <w:r w:rsidR="00A05368">
        <w:t>.</w:t>
      </w:r>
    </w:p>
    <w:p w14:paraId="7028DDB9" w14:textId="54112836" w:rsidR="00CB395D" w:rsidRDefault="00DF784A" w:rsidP="0027054D">
      <w:r>
        <w:t>Importing</w:t>
      </w:r>
      <w:r w:rsidR="0027054D">
        <w:t xml:space="preserve"> datasets and producing reports </w:t>
      </w:r>
      <w:r>
        <w:t xml:space="preserve">required framework </w:t>
      </w:r>
      <w:r w:rsidR="005E6F88">
        <w:t xml:space="preserve">inside and </w:t>
      </w:r>
      <w:r>
        <w:t>out of the</w:t>
      </w:r>
      <w:r w:rsidR="005E6F88">
        <w:t xml:space="preserve"> models to execute each process</w:t>
      </w:r>
      <w:r w:rsidR="0027054D">
        <w:t xml:space="preserve">. To import datasets </w:t>
      </w:r>
      <w:r w:rsidR="00E45D0E">
        <w:t>a combination of excel sheets housing the data, DMI’s importing the data, and Scripts controlling the selection of data were developed.</w:t>
      </w:r>
      <w:r w:rsidR="0027054D">
        <w:t xml:space="preserve"> </w:t>
      </w:r>
      <w:r w:rsidR="00952D87">
        <w:t>The e</w:t>
      </w:r>
      <w:r w:rsidR="0027054D">
        <w:t xml:space="preserve">xcel sheets differ by the years (2017/2018, 2018/2019) and sources (KBAO, USGS, IGD Calc) of data. </w:t>
      </w:r>
      <w:r w:rsidR="00952D87">
        <w:t xml:space="preserve">The </w:t>
      </w:r>
      <w:r w:rsidR="0027054D">
        <w:t xml:space="preserve">DMI’s </w:t>
      </w:r>
      <w:r w:rsidR="00952D87">
        <w:t>are labelled according to which sheet it imports. The scripts are separated into two, one to run the 2018/2019 datasets and the other for 2017/2018 datasets. Each script clears values set by the previous run’s DMI’s and Initialization Rules as well as imports the new dataset according to the</w:t>
      </w:r>
      <w:r w:rsidR="005E6F88">
        <w:t xml:space="preserve"> user’s input</w:t>
      </w:r>
      <w:r w:rsidR="00952D87">
        <w:t xml:space="preserve"> </w:t>
      </w:r>
      <w:r w:rsidR="005E6F88">
        <w:t>“</w:t>
      </w:r>
      <w:r w:rsidR="00952D87">
        <w:t>operation start date</w:t>
      </w:r>
      <w:r w:rsidR="005E6F88">
        <w:t>”</w:t>
      </w:r>
      <w:r w:rsidR="00952D87">
        <w:t>. T</w:t>
      </w:r>
      <w:r w:rsidR="00A32898">
        <w:t>o</w:t>
      </w:r>
      <w:r w:rsidR="009D4BA7">
        <w:t xml:space="preserve"> </w:t>
      </w:r>
      <w:r w:rsidR="00952D87">
        <w:t>produce reports</w:t>
      </w:r>
      <w:r w:rsidR="009D4BA7">
        <w:t xml:space="preserve"> a combination of </w:t>
      </w:r>
      <w:r w:rsidR="00A32898">
        <w:t xml:space="preserve">a </w:t>
      </w:r>
      <w:r w:rsidR="009D4BA7">
        <w:t>DMI</w:t>
      </w:r>
      <w:r w:rsidR="00952D87">
        <w:t xml:space="preserve"> exporting data</w:t>
      </w:r>
      <w:r w:rsidR="009D4BA7">
        <w:t>, spreadsheet</w:t>
      </w:r>
      <w:r w:rsidR="00CB395D">
        <w:t>s housing data</w:t>
      </w:r>
      <w:r w:rsidR="009D4BA7">
        <w:t xml:space="preserve">, </w:t>
      </w:r>
      <w:r w:rsidR="00CB395D">
        <w:t xml:space="preserve">and </w:t>
      </w:r>
      <w:r w:rsidR="009D4BA7">
        <w:t>R script</w:t>
      </w:r>
      <w:r w:rsidR="00CB395D">
        <w:t xml:space="preserve">s processing data and formatting it into plots were developed. The DMI </w:t>
      </w:r>
      <w:r w:rsidR="00D336B7">
        <w:t>operat</w:t>
      </w:r>
      <w:r w:rsidR="0076539B">
        <w:t>es</w:t>
      </w:r>
      <w:r w:rsidR="00D336B7">
        <w:t xml:space="preserve"> </w:t>
      </w:r>
      <w:r w:rsidR="00CB395D">
        <w:t xml:space="preserve">regardless of run type </w:t>
      </w:r>
      <w:r w:rsidR="00D336B7">
        <w:t>as</w:t>
      </w:r>
      <w:r w:rsidR="00CB395D">
        <w:t xml:space="preserve"> the run period</w:t>
      </w:r>
      <w:r w:rsidR="00D336B7">
        <w:t xml:space="preserve"> is</w:t>
      </w:r>
      <w:r w:rsidR="00CB395D">
        <w:t xml:space="preserve"> </w:t>
      </w:r>
      <w:r w:rsidR="00D336B7">
        <w:t>constant</w:t>
      </w:r>
      <w:r w:rsidR="00CB395D">
        <w:t xml:space="preserve">. The </w:t>
      </w:r>
      <w:r w:rsidR="00D336B7">
        <w:t>s</w:t>
      </w:r>
      <w:r w:rsidR="00CB395D">
        <w:t xml:space="preserve">preadsheets </w:t>
      </w:r>
      <w:r w:rsidR="00CA5D07">
        <w:t xml:space="preserve">differ by which model data they contain, one for the KROM and the others for the 2017/2018 and 2018/2019 versions of the IGD Calc. The R script </w:t>
      </w:r>
      <w:r w:rsidR="00555423">
        <w:t>requires the</w:t>
      </w:r>
      <w:r w:rsidR="00CA5D07">
        <w:t xml:space="preserve"> user</w:t>
      </w:r>
      <w:r w:rsidR="00555423">
        <w:t xml:space="preserve"> to</w:t>
      </w:r>
      <w:r w:rsidR="00CA5D07">
        <w:t xml:space="preserve"> input which spreadsheets are refe</w:t>
      </w:r>
      <w:r w:rsidR="004D3FD6">
        <w:t>re</w:t>
      </w:r>
      <w:r w:rsidR="00CA5D07">
        <w:t xml:space="preserve">nced and the </w:t>
      </w:r>
      <w:r w:rsidR="00F53C16">
        <w:t>run’s</w:t>
      </w:r>
      <w:r w:rsidR="00CA5D07">
        <w:t xml:space="preserve"> </w:t>
      </w:r>
      <w:r w:rsidR="005E6F88">
        <w:t>“</w:t>
      </w:r>
      <w:r w:rsidR="00CA5D07">
        <w:t>operation start dat</w:t>
      </w:r>
      <w:r w:rsidR="00F53C16">
        <w:t>e</w:t>
      </w:r>
      <w:r w:rsidR="005E6F88">
        <w:t>”</w:t>
      </w:r>
      <w:r w:rsidR="00F53C16">
        <w:t>.</w:t>
      </w:r>
    </w:p>
    <w:p w14:paraId="05036BAA" w14:textId="0C1499DB" w:rsidR="004251EB" w:rsidRDefault="00F53C16" w:rsidP="0027054D">
      <w:r>
        <w:t xml:space="preserve">With </w:t>
      </w:r>
      <w:r w:rsidR="00A32898">
        <w:t xml:space="preserve">this framework in place, the model is easily setup, </w:t>
      </w:r>
      <w:r>
        <w:t>ran</w:t>
      </w:r>
      <w:r w:rsidR="00A32898">
        <w:t>, and analyze</w:t>
      </w:r>
      <w:r>
        <w:t>d</w:t>
      </w:r>
      <w:r w:rsidR="00A32898">
        <w:t xml:space="preserve"> in a succinct process.</w:t>
      </w:r>
      <w:r>
        <w:t xml:space="preserve"> The testing process operates as follows: </w:t>
      </w:r>
    </w:p>
    <w:p w14:paraId="0D5F273A" w14:textId="77777777" w:rsidR="004251EB" w:rsidRDefault="004251EB" w:rsidP="0027054D"/>
    <w:p w14:paraId="538ACC34" w14:textId="28DB9CA1" w:rsidR="004251EB" w:rsidRPr="004251EB" w:rsidRDefault="00F53C16" w:rsidP="004136E2">
      <w:pPr>
        <w:pStyle w:val="ListParagraph"/>
        <w:numPr>
          <w:ilvl w:val="0"/>
          <w:numId w:val="23"/>
        </w:numPr>
        <w:rPr>
          <w:rFonts w:ascii="Times New Roman" w:hAnsi="Times New Roman" w:cs="Times New Roman"/>
        </w:rPr>
      </w:pPr>
      <w:r w:rsidRPr="004251EB">
        <w:rPr>
          <w:rFonts w:ascii="Times New Roman" w:hAnsi="Times New Roman" w:cs="Times New Roman"/>
        </w:rPr>
        <w:t>pick a</w:t>
      </w:r>
      <w:r w:rsidR="004251EB">
        <w:rPr>
          <w:rFonts w:ascii="Times New Roman" w:hAnsi="Times New Roman" w:cs="Times New Roman"/>
        </w:rPr>
        <w:t>n</w:t>
      </w:r>
      <w:r w:rsidRPr="004251EB">
        <w:rPr>
          <w:rFonts w:ascii="Times New Roman" w:hAnsi="Times New Roman" w:cs="Times New Roman"/>
        </w:rPr>
        <w:t xml:space="preserve"> operation start date</w:t>
      </w:r>
    </w:p>
    <w:p w14:paraId="7DE5C3A6" w14:textId="77777777" w:rsidR="004251EB" w:rsidRPr="004251EB" w:rsidRDefault="00F53C16" w:rsidP="004136E2">
      <w:pPr>
        <w:pStyle w:val="ListParagraph"/>
        <w:numPr>
          <w:ilvl w:val="0"/>
          <w:numId w:val="23"/>
        </w:numPr>
        <w:rPr>
          <w:rFonts w:ascii="Times New Roman" w:hAnsi="Times New Roman" w:cs="Times New Roman"/>
        </w:rPr>
      </w:pPr>
      <w:r w:rsidRPr="004251EB">
        <w:rPr>
          <w:rFonts w:ascii="Times New Roman" w:hAnsi="Times New Roman" w:cs="Times New Roman"/>
        </w:rPr>
        <w:t>setup the script accordingly</w:t>
      </w:r>
    </w:p>
    <w:p w14:paraId="15031292" w14:textId="77777777" w:rsidR="004251EB" w:rsidRPr="004251EB" w:rsidRDefault="00F53C16" w:rsidP="004136E2">
      <w:pPr>
        <w:pStyle w:val="ListParagraph"/>
        <w:numPr>
          <w:ilvl w:val="0"/>
          <w:numId w:val="23"/>
        </w:numPr>
        <w:rPr>
          <w:rFonts w:ascii="Times New Roman" w:hAnsi="Times New Roman" w:cs="Times New Roman"/>
        </w:rPr>
      </w:pPr>
      <w:r w:rsidRPr="004251EB">
        <w:rPr>
          <w:rFonts w:ascii="Times New Roman" w:hAnsi="Times New Roman" w:cs="Times New Roman"/>
        </w:rPr>
        <w:t>run the model</w:t>
      </w:r>
    </w:p>
    <w:p w14:paraId="75E29503" w14:textId="77777777" w:rsidR="004251EB" w:rsidRPr="004251EB" w:rsidRDefault="004251EB" w:rsidP="004136E2">
      <w:pPr>
        <w:pStyle w:val="ListParagraph"/>
        <w:numPr>
          <w:ilvl w:val="0"/>
          <w:numId w:val="23"/>
        </w:numPr>
        <w:rPr>
          <w:rFonts w:ascii="Times New Roman" w:hAnsi="Times New Roman" w:cs="Times New Roman"/>
        </w:rPr>
      </w:pPr>
      <w:r w:rsidRPr="004251EB">
        <w:rPr>
          <w:rFonts w:ascii="Times New Roman" w:hAnsi="Times New Roman" w:cs="Times New Roman"/>
        </w:rPr>
        <w:t>analyze deviations identified in the output report</w:t>
      </w:r>
    </w:p>
    <w:p w14:paraId="2B92DD89" w14:textId="77777777" w:rsidR="004251EB" w:rsidRPr="004251EB" w:rsidRDefault="00F53C16" w:rsidP="004136E2">
      <w:pPr>
        <w:pStyle w:val="ListParagraph"/>
        <w:numPr>
          <w:ilvl w:val="0"/>
          <w:numId w:val="23"/>
        </w:numPr>
        <w:rPr>
          <w:rFonts w:ascii="Times New Roman" w:hAnsi="Times New Roman" w:cs="Times New Roman"/>
        </w:rPr>
      </w:pPr>
      <w:r w:rsidRPr="004251EB">
        <w:rPr>
          <w:rFonts w:ascii="Times New Roman" w:hAnsi="Times New Roman" w:cs="Times New Roman"/>
        </w:rPr>
        <w:t>complete the necessary debugging</w:t>
      </w:r>
    </w:p>
    <w:p w14:paraId="269A33D6" w14:textId="217F0BD8" w:rsidR="004251EB" w:rsidRPr="004251EB" w:rsidRDefault="00F53C16" w:rsidP="004136E2">
      <w:pPr>
        <w:pStyle w:val="ListParagraph"/>
        <w:numPr>
          <w:ilvl w:val="0"/>
          <w:numId w:val="23"/>
        </w:numPr>
        <w:rPr>
          <w:rFonts w:ascii="Times New Roman" w:hAnsi="Times New Roman" w:cs="Times New Roman"/>
        </w:rPr>
      </w:pPr>
      <w:r w:rsidRPr="004251EB">
        <w:rPr>
          <w:rFonts w:ascii="Times New Roman" w:hAnsi="Times New Roman" w:cs="Times New Roman"/>
        </w:rPr>
        <w:t xml:space="preserve">rerun </w:t>
      </w:r>
      <w:r w:rsidR="004251EB" w:rsidRPr="004251EB">
        <w:rPr>
          <w:rFonts w:ascii="Times New Roman" w:hAnsi="Times New Roman" w:cs="Times New Roman"/>
        </w:rPr>
        <w:t>and debug until issues</w:t>
      </w:r>
      <w:r w:rsidRPr="004251EB">
        <w:rPr>
          <w:rFonts w:ascii="Times New Roman" w:hAnsi="Times New Roman" w:cs="Times New Roman"/>
        </w:rPr>
        <w:t xml:space="preserve"> are resolved</w:t>
      </w:r>
    </w:p>
    <w:p w14:paraId="1DA130AA" w14:textId="2A06EF6A" w:rsidR="004251EB" w:rsidRDefault="004251EB" w:rsidP="004136E2">
      <w:pPr>
        <w:pStyle w:val="ListParagraph"/>
        <w:numPr>
          <w:ilvl w:val="0"/>
          <w:numId w:val="23"/>
        </w:numPr>
        <w:rPr>
          <w:rFonts w:ascii="Times New Roman" w:hAnsi="Times New Roman" w:cs="Times New Roman"/>
        </w:rPr>
      </w:pPr>
      <w:r w:rsidRPr="004251EB">
        <w:rPr>
          <w:rFonts w:ascii="Times New Roman" w:hAnsi="Times New Roman" w:cs="Times New Roman"/>
        </w:rPr>
        <w:t>save final report</w:t>
      </w:r>
    </w:p>
    <w:p w14:paraId="671B8C0C" w14:textId="02876E7E" w:rsidR="004251EB" w:rsidRPr="004251EB" w:rsidRDefault="004251EB" w:rsidP="004136E2">
      <w:pPr>
        <w:pStyle w:val="ListParagraph"/>
        <w:numPr>
          <w:ilvl w:val="0"/>
          <w:numId w:val="23"/>
        </w:numPr>
        <w:rPr>
          <w:rFonts w:ascii="Times New Roman" w:hAnsi="Times New Roman" w:cs="Times New Roman"/>
        </w:rPr>
      </w:pPr>
      <w:r>
        <w:rPr>
          <w:rFonts w:ascii="Times New Roman" w:hAnsi="Times New Roman" w:cs="Times New Roman"/>
        </w:rPr>
        <w:t>note sources of deviations</w:t>
      </w:r>
    </w:p>
    <w:p w14:paraId="696FBDAD" w14:textId="03EC6549" w:rsidR="00F53C16" w:rsidRPr="004251EB" w:rsidRDefault="004251EB" w:rsidP="004136E2">
      <w:pPr>
        <w:pStyle w:val="ListParagraph"/>
        <w:numPr>
          <w:ilvl w:val="0"/>
          <w:numId w:val="23"/>
        </w:numPr>
        <w:rPr>
          <w:rFonts w:ascii="Times New Roman" w:hAnsi="Times New Roman" w:cs="Times New Roman"/>
        </w:rPr>
      </w:pPr>
      <w:r w:rsidRPr="004251EB">
        <w:rPr>
          <w:rFonts w:ascii="Times New Roman" w:hAnsi="Times New Roman" w:cs="Times New Roman"/>
        </w:rPr>
        <w:t>repeat process with new operation start date</w:t>
      </w:r>
    </w:p>
    <w:p w14:paraId="4106BC90" w14:textId="0D5823BB" w:rsidR="00D47BC3" w:rsidRDefault="005E6F88" w:rsidP="00D47BC3">
      <w:pPr>
        <w:pStyle w:val="Heading1"/>
      </w:pPr>
      <w:r>
        <w:t>Analysis</w:t>
      </w:r>
    </w:p>
    <w:p w14:paraId="095F8624" w14:textId="54C4400E" w:rsidR="005E6F88" w:rsidRDefault="005E6F88" w:rsidP="005E6F88">
      <w:r>
        <w:t>Based off the output report’s format, this analysi</w:t>
      </w:r>
      <w:r w:rsidR="004D3FD6">
        <w:t>s</w:t>
      </w:r>
      <w:r>
        <w:t xml:space="preserve"> cover</w:t>
      </w:r>
      <w:r w:rsidR="004D3FD6">
        <w:t>s</w:t>
      </w:r>
      <w:r>
        <w:t xml:space="preserve"> each variable chosen for comparison and detail</w:t>
      </w:r>
      <w:r w:rsidR="004D3FD6">
        <w:t>s</w:t>
      </w:r>
      <w:r>
        <w:t xml:space="preserve"> the relative scale, tendencies, and causes of the d</w:t>
      </w:r>
      <w:r w:rsidR="001E22B0">
        <w:t>ifferences</w:t>
      </w:r>
      <w:r>
        <w:t xml:space="preserve"> observed. </w:t>
      </w:r>
      <w:r w:rsidR="001E22B0">
        <w:t>If influenced by similar factors, s</w:t>
      </w:r>
      <w:r w:rsidR="005B7B64">
        <w:t xml:space="preserve">ome variables </w:t>
      </w:r>
      <w:r w:rsidR="004D3FD6">
        <w:t>are</w:t>
      </w:r>
      <w:r w:rsidR="005B7B64">
        <w:t xml:space="preserve"> grouped. </w:t>
      </w:r>
      <w:r w:rsidR="005C248C">
        <w:t>Variable</w:t>
      </w:r>
      <w:r w:rsidR="004D3FD6">
        <w:t xml:space="preserve"> f</w:t>
      </w:r>
      <w:r>
        <w:t xml:space="preserve">igures </w:t>
      </w:r>
      <w:r w:rsidR="005C248C">
        <w:t>from</w:t>
      </w:r>
      <w:r w:rsidR="004D3FD6">
        <w:t xml:space="preserve"> different</w:t>
      </w:r>
      <w:r w:rsidR="005B7B64">
        <w:t xml:space="preserve"> runs </w:t>
      </w:r>
      <w:r w:rsidR="004D3FD6">
        <w:t>are</w:t>
      </w:r>
      <w:r w:rsidR="005B7B64">
        <w:t xml:space="preserve"> provided for visualiz</w:t>
      </w:r>
      <w:r w:rsidR="004D3FD6">
        <w:t>ing</w:t>
      </w:r>
      <w:r w:rsidR="005B7B64">
        <w:t xml:space="preserve"> deviations </w:t>
      </w:r>
      <w:r w:rsidR="004D3FD6">
        <w:t>when</w:t>
      </w:r>
      <w:r w:rsidR="005B7B64">
        <w:t xml:space="preserve"> observed vs predicted time periods</w:t>
      </w:r>
      <w:r w:rsidR="005C248C">
        <w:t xml:space="preserve"> vary</w:t>
      </w:r>
      <w:r w:rsidR="005B7B64">
        <w:t>.</w:t>
      </w:r>
    </w:p>
    <w:p w14:paraId="2367AF1C" w14:textId="77777777" w:rsidR="003A10C8" w:rsidRPr="005E6F88" w:rsidRDefault="003A10C8" w:rsidP="005E6F88"/>
    <w:p w14:paraId="1D8DE567" w14:textId="5874DBEF" w:rsidR="00F55AB0" w:rsidRDefault="00F55AB0" w:rsidP="00D339CB">
      <w:pPr>
        <w:pStyle w:val="Heading2"/>
      </w:pPr>
      <w:r>
        <w:t>Net Accrete</w:t>
      </w:r>
    </w:p>
    <w:p w14:paraId="162639F7" w14:textId="76B68E50" w:rsidR="00F55AB0" w:rsidRDefault="00A151C4" w:rsidP="00F55AB0">
      <w:r>
        <w:rPr>
          <w:noProof/>
        </w:rPr>
        <w:drawing>
          <wp:inline distT="0" distB="0" distL="0" distR="0" wp14:anchorId="20842ACC" wp14:editId="116F5973">
            <wp:extent cx="2944368" cy="2103120"/>
            <wp:effectExtent l="0" t="0" r="8890" b="0"/>
            <wp:docPr id="9" name="Picture 9" descr="C:\Users\mifr1172\Downloads\Net Accrete Oct1_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fr1172\Downloads\Net Accrete Oct1_2018.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44368" cy="2103120"/>
                    </a:xfrm>
                    <a:prstGeom prst="rect">
                      <a:avLst/>
                    </a:prstGeom>
                    <a:noFill/>
                    <a:ln>
                      <a:noFill/>
                    </a:ln>
                  </pic:spPr>
                </pic:pic>
              </a:graphicData>
            </a:graphic>
          </wp:inline>
        </w:drawing>
      </w:r>
      <w:r>
        <w:rPr>
          <w:noProof/>
        </w:rPr>
        <w:drawing>
          <wp:inline distT="0" distB="0" distL="0" distR="0" wp14:anchorId="569C1C3A" wp14:editId="036C666C">
            <wp:extent cx="2944368" cy="2103120"/>
            <wp:effectExtent l="0" t="0" r="8890" b="0"/>
            <wp:docPr id="10" name="Picture 10" descr="C:\Users\mifr1172\Downloads\Net Accrete Apr1_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fr1172\Downloads\Net Accrete Apr1_2018.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44368" cy="2103120"/>
                    </a:xfrm>
                    <a:prstGeom prst="rect">
                      <a:avLst/>
                    </a:prstGeom>
                    <a:noFill/>
                    <a:ln>
                      <a:noFill/>
                    </a:ln>
                  </pic:spPr>
                </pic:pic>
              </a:graphicData>
            </a:graphic>
          </wp:inline>
        </w:drawing>
      </w:r>
    </w:p>
    <w:p w14:paraId="47D89DFE" w14:textId="7773BC1E" w:rsidR="00931621" w:rsidRDefault="00F55AB0" w:rsidP="00F55AB0">
      <w:r>
        <w:t>Figure 1. KROM d</w:t>
      </w:r>
      <w:r w:rsidR="001E22B0">
        <w:t>ifference</w:t>
      </w:r>
      <w:r>
        <w:t xml:space="preserve"> for the variable Net Accrete.</w:t>
      </w:r>
      <w:r w:rsidR="001E22B0">
        <w:t xml:space="preserve"> The plots are identified by</w:t>
      </w:r>
      <w:r>
        <w:t xml:space="preserve"> “Operation start dates”</w:t>
      </w:r>
      <w:r w:rsidR="001E22B0">
        <w:t>. O</w:t>
      </w:r>
      <w:r>
        <w:t>n the left is 1/5/2018</w:t>
      </w:r>
      <w:r w:rsidR="001E22B0">
        <w:t xml:space="preserve"> (</w:t>
      </w:r>
      <w:r w:rsidR="00D02ECB">
        <w:t>Plot A</w:t>
      </w:r>
      <w:r w:rsidR="001E22B0">
        <w:t>) and</w:t>
      </w:r>
      <w:r>
        <w:t xml:space="preserve"> on the right is 4/5/2018</w:t>
      </w:r>
      <w:r w:rsidR="001E22B0">
        <w:t xml:space="preserve"> (</w:t>
      </w:r>
      <w:r w:rsidR="00D02ECB">
        <w:t>Plot B</w:t>
      </w:r>
      <w:r w:rsidR="001E22B0">
        <w:t>)</w:t>
      </w:r>
      <w:r w:rsidR="00A4097F">
        <w:t>.</w:t>
      </w:r>
    </w:p>
    <w:p w14:paraId="509F6BFC" w14:textId="07BF0DF5" w:rsidR="00F823E7" w:rsidRDefault="005B76B6" w:rsidP="00F55AB0">
      <w:r>
        <w:t>Regardless of the run’s “operation start date” or “water year” the Net Accrete showed no d</w:t>
      </w:r>
      <w:r w:rsidR="00892F43">
        <w:t>ifference</w:t>
      </w:r>
      <w:r>
        <w:t xml:space="preserve"> </w:t>
      </w:r>
      <w:r w:rsidR="00FF161C">
        <w:t>between</w:t>
      </w:r>
      <w:r>
        <w:t xml:space="preserve"> models. There are </w:t>
      </w:r>
      <w:r w:rsidR="00FF161C">
        <w:t xml:space="preserve">a </w:t>
      </w:r>
      <w:r>
        <w:t xml:space="preserve">few reasons for this but in general it is a simple calculation with few dependencies. The Net Accrete is comprised of a sum of four main gain/loss locations, these are the following: Lost River Diversion Channel, Lake Ewauna, Keno Dam to Iron Gate Dam, and F and FF Pump. In addition, there are special considerations of usages for diversion or borrow, but these are all based off of historical values which match in both models. </w:t>
      </w:r>
      <w:r w:rsidR="00001C3D">
        <w:t>For the main four locations, the observed values are imported into the KROM from the IGD Calc (the intermediary excel sheet is linked to it) or they are calculated from other observed data</w:t>
      </w:r>
      <w:r w:rsidR="00FF161C">
        <w:t xml:space="preserve">. The </w:t>
      </w:r>
      <w:r w:rsidR="00001C3D">
        <w:t xml:space="preserve">location that uses a calculation is Lake Ewauna. For projected values, they all follow a similar process. To smooth the transition from observed to </w:t>
      </w:r>
      <w:r w:rsidR="00FF161C">
        <w:t>table</w:t>
      </w:r>
      <w:r w:rsidR="00001C3D">
        <w:t xml:space="preserve"> referenced values, the projection</w:t>
      </w:r>
      <w:r w:rsidR="00FF161C">
        <w:t xml:space="preserve"> is set as an</w:t>
      </w:r>
      <w:r w:rsidR="00001C3D">
        <w:t xml:space="preserve"> average of the past </w:t>
      </w:r>
      <w:r w:rsidR="005944D0" w:rsidRPr="00A151C4">
        <w:t>six to eight</w:t>
      </w:r>
      <w:r w:rsidR="00FF161C" w:rsidRPr="005944D0">
        <w:t xml:space="preserve"> </w:t>
      </w:r>
      <w:r w:rsidR="00FF161C">
        <w:t>days’</w:t>
      </w:r>
      <w:r w:rsidR="00001C3D">
        <w:t xml:space="preserve"> values. Thus, since the observed values match, so will the averaged. After this short period, all values are reference</w:t>
      </w:r>
      <w:r w:rsidR="00FF161C">
        <w:t>d</w:t>
      </w:r>
      <w:r w:rsidR="00001C3D">
        <w:t xml:space="preserve"> to a table </w:t>
      </w:r>
      <w:r w:rsidR="00FF161C">
        <w:t xml:space="preserve">which is controlled by an exceedance value. </w:t>
      </w:r>
      <w:r w:rsidR="00FF161C" w:rsidRPr="006D0ECF">
        <w:rPr>
          <w:color w:val="000000" w:themeColor="text1"/>
        </w:rPr>
        <w:t xml:space="preserve">The exceedance value is used to approximately match the current year’s condition to a column in the table containing historically averaged flows. </w:t>
      </w:r>
      <w:r w:rsidR="00FF161C">
        <w:t>These tables are identical in both modelling tools and the</w:t>
      </w:r>
      <w:r w:rsidR="00E3682E">
        <w:t>refore achieve the same result.</w:t>
      </w:r>
    </w:p>
    <w:p w14:paraId="326136F7" w14:textId="77777777" w:rsidR="00931621" w:rsidRDefault="00931621" w:rsidP="00F55AB0"/>
    <w:p w14:paraId="036F54D2" w14:textId="1D82BCA3" w:rsidR="00E3682E" w:rsidRDefault="00A151C4" w:rsidP="00F55AB0">
      <w:r>
        <w:rPr>
          <w:noProof/>
        </w:rPr>
        <w:drawing>
          <wp:inline distT="0" distB="0" distL="0" distR="0" wp14:anchorId="1ED7AAAB" wp14:editId="27B7039F">
            <wp:extent cx="2944368" cy="2103120"/>
            <wp:effectExtent l="0" t="0" r="8890" b="0"/>
            <wp:docPr id="21" name="Picture 21" descr="C:\Users\mifr1172\Downloads\FandFF Pump Jan1_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fr1172\Downloads\FandFF Pump Jan1_2019.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44368" cy="2103120"/>
                    </a:xfrm>
                    <a:prstGeom prst="rect">
                      <a:avLst/>
                    </a:prstGeom>
                    <a:noFill/>
                    <a:ln>
                      <a:noFill/>
                    </a:ln>
                  </pic:spPr>
                </pic:pic>
              </a:graphicData>
            </a:graphic>
          </wp:inline>
        </w:drawing>
      </w:r>
      <w:r>
        <w:rPr>
          <w:noProof/>
        </w:rPr>
        <w:drawing>
          <wp:inline distT="0" distB="0" distL="0" distR="0" wp14:anchorId="2009ED9C" wp14:editId="2CA8C4E8">
            <wp:extent cx="2944368" cy="2112264"/>
            <wp:effectExtent l="0" t="0" r="8890" b="2540"/>
            <wp:docPr id="24" name="Picture 24" descr="C:\Users\mifr1172\Downloads\FandFF Pump Oct1_2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fr1172\Downloads\FandFF Pump Oct1_2017.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44368" cy="2112264"/>
                    </a:xfrm>
                    <a:prstGeom prst="rect">
                      <a:avLst/>
                    </a:prstGeom>
                    <a:noFill/>
                    <a:ln>
                      <a:noFill/>
                    </a:ln>
                  </pic:spPr>
                </pic:pic>
              </a:graphicData>
            </a:graphic>
          </wp:inline>
        </w:drawing>
      </w:r>
    </w:p>
    <w:p w14:paraId="1C1B6EDE" w14:textId="0694D15B" w:rsidR="00E3682E" w:rsidRPr="00F55AB0" w:rsidRDefault="00E3682E" w:rsidP="00F55AB0">
      <w:r>
        <w:t>Figure 2. A primary component of the Net Accrete variable, the F and FF Pump Outflow also demonstrates no d</w:t>
      </w:r>
      <w:r w:rsidR="006D0ECF">
        <w:t>ifference</w:t>
      </w:r>
      <w:r>
        <w:t xml:space="preserve"> between the models. </w:t>
      </w:r>
      <w:r w:rsidR="006D0ECF">
        <w:t>The plots are identified by “Operation start dates”. On the left is 1/5/2019 (</w:t>
      </w:r>
      <w:r w:rsidR="00D02ECB">
        <w:t>Plot A</w:t>
      </w:r>
      <w:r w:rsidR="006D0ECF">
        <w:t>) and on the right is 10/5/2017 (</w:t>
      </w:r>
      <w:r w:rsidR="00D02ECB">
        <w:t>Plot B</w:t>
      </w:r>
      <w:r w:rsidR="006D0ECF">
        <w:t>).</w:t>
      </w:r>
    </w:p>
    <w:p w14:paraId="19861840" w14:textId="2D063BEE" w:rsidR="00FF161C" w:rsidRDefault="00FF161C" w:rsidP="00D339CB">
      <w:pPr>
        <w:pStyle w:val="Heading2"/>
      </w:pPr>
      <w:r>
        <w:t>Diversions</w:t>
      </w:r>
    </w:p>
    <w:p w14:paraId="6335E7E9" w14:textId="75C0F601" w:rsidR="00E64EDB" w:rsidRDefault="006A6045" w:rsidP="00E64EDB">
      <w:r>
        <w:rPr>
          <w:noProof/>
        </w:rPr>
        <w:drawing>
          <wp:inline distT="0" distB="0" distL="0" distR="0" wp14:anchorId="029D7447" wp14:editId="37F478E9">
            <wp:extent cx="2944368" cy="2103120"/>
            <wp:effectExtent l="0" t="0" r="8890" b="0"/>
            <wp:docPr id="30" name="Picture 30" descr="C:\Users\mifr1172\Downloads\A Canal May5_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fr1172\Downloads\A Canal May5_2018.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44368" cy="2103120"/>
                    </a:xfrm>
                    <a:prstGeom prst="rect">
                      <a:avLst/>
                    </a:prstGeom>
                    <a:noFill/>
                    <a:ln>
                      <a:noFill/>
                    </a:ln>
                  </pic:spPr>
                </pic:pic>
              </a:graphicData>
            </a:graphic>
          </wp:inline>
        </w:drawing>
      </w:r>
      <w:r>
        <w:rPr>
          <w:noProof/>
        </w:rPr>
        <w:drawing>
          <wp:inline distT="0" distB="0" distL="0" distR="0" wp14:anchorId="6072FB1E" wp14:editId="2E68831B">
            <wp:extent cx="2944368" cy="2103120"/>
            <wp:effectExtent l="0" t="0" r="8890" b="0"/>
            <wp:docPr id="37" name="Picture 37" descr="C:\Users\mifr1172\Downloads\A Canal Mar1_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fr1172\Downloads\A Canal Mar1_2019.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44368" cy="2103120"/>
                    </a:xfrm>
                    <a:prstGeom prst="rect">
                      <a:avLst/>
                    </a:prstGeom>
                    <a:noFill/>
                    <a:ln>
                      <a:noFill/>
                    </a:ln>
                  </pic:spPr>
                </pic:pic>
              </a:graphicData>
            </a:graphic>
          </wp:inline>
        </w:drawing>
      </w:r>
    </w:p>
    <w:p w14:paraId="13CB779B" w14:textId="530C226B" w:rsidR="00155FB2" w:rsidRDefault="00992BC4" w:rsidP="00155FB2">
      <w:r>
        <w:t xml:space="preserve">Figure 3. </w:t>
      </w:r>
      <w:r w:rsidR="00155FB2">
        <w:t>KROM difference for the variable A Canal Diversion. The plots are identified by “Operation start dates”. On the left is 05/01/2018 (</w:t>
      </w:r>
      <w:r w:rsidR="00D02ECB">
        <w:t>Plot A</w:t>
      </w:r>
      <w:r w:rsidR="00155FB2">
        <w:t>) and on the right is 03/01/2019 (</w:t>
      </w:r>
      <w:r w:rsidR="00D02ECB">
        <w:t>Plot B</w:t>
      </w:r>
      <w:r w:rsidR="00155FB2">
        <w:t>).</w:t>
      </w:r>
    </w:p>
    <w:p w14:paraId="19B1D046" w14:textId="386700CF" w:rsidR="00A4097F" w:rsidRDefault="00A4097F" w:rsidP="00E64EDB">
      <w:r>
        <w:t>In each of the canals, the sa</w:t>
      </w:r>
      <w:r w:rsidR="008E2BEA">
        <w:t>me pattern</w:t>
      </w:r>
      <w:r w:rsidR="00155FB2">
        <w:t xml:space="preserve"> of differences</w:t>
      </w:r>
      <w:r w:rsidR="008E2BEA">
        <w:t xml:space="preserve"> for predicted values is </w:t>
      </w:r>
      <w:r w:rsidR="00155FB2">
        <w:t>noticed</w:t>
      </w:r>
      <w:r w:rsidR="008E2BEA">
        <w:t xml:space="preserve"> to be repeated yearly. The nature of this trend is a product of the method used to predict </w:t>
      </w:r>
      <w:r w:rsidR="00ED0D61">
        <w:t>these values</w:t>
      </w:r>
      <w:r w:rsidR="008E2BEA">
        <w:t>. For a given water year, a total volume is assigned for use by a canal. The total volume is distributed daily by a setting a percent</w:t>
      </w:r>
      <w:r w:rsidR="00964DC2">
        <w:t xml:space="preserve"> to divert</w:t>
      </w:r>
      <w:r w:rsidR="00FF5C54">
        <w:t xml:space="preserve"> based off historical</w:t>
      </w:r>
      <w:r w:rsidR="008E2BEA">
        <w:t xml:space="preserve"> patterns.</w:t>
      </w:r>
      <w:r w:rsidR="00964DC2">
        <w:t xml:space="preserve"> In the A canal, this process is matched in both models. </w:t>
      </w:r>
      <w:r w:rsidR="00FF5C54">
        <w:t>The</w:t>
      </w:r>
      <w:r w:rsidR="00964DC2">
        <w:t xml:space="preserve"> </w:t>
      </w:r>
      <w:r w:rsidR="00ED0D61">
        <w:t>divergence</w:t>
      </w:r>
      <w:r w:rsidR="00964DC2">
        <w:t xml:space="preserve"> shown above </w:t>
      </w:r>
      <w:r w:rsidR="00ED0D61">
        <w:t>is</w:t>
      </w:r>
      <w:r w:rsidR="008E2BEA">
        <w:t xml:space="preserve"> </w:t>
      </w:r>
      <w:r w:rsidR="00964DC2">
        <w:t xml:space="preserve">a product of the different precision in which the models convert volumes to daily flows. </w:t>
      </w:r>
      <w:r w:rsidR="00B22406">
        <w:t>The IGD Calc’s conversion factor is as precise as the fourth decimal whereas the KROM’s is as precise as the tent</w:t>
      </w:r>
      <w:r w:rsidR="00FF5C54">
        <w:t>h decimal. This</w:t>
      </w:r>
      <w:r w:rsidR="00B22406">
        <w:t xml:space="preserve"> difference is near unnoticeable</w:t>
      </w:r>
      <w:r w:rsidR="00FF5C54">
        <w:t xml:space="preserve"> (&lt; 0.01 cfs difference)</w:t>
      </w:r>
      <w:r w:rsidR="00B22406">
        <w:t xml:space="preserve"> for low volumes</w:t>
      </w:r>
      <w:r w:rsidR="00FF5C54">
        <w:t xml:space="preserve"> converted</w:t>
      </w:r>
      <w:r w:rsidR="00B22406">
        <w:t xml:space="preserve"> to daily flows (&lt; 500 acre-feet). </w:t>
      </w:r>
      <w:r w:rsidR="00FF5C54">
        <w:t xml:space="preserve">Rather, </w:t>
      </w:r>
      <w:r w:rsidR="00AF58C7">
        <w:t>the d</w:t>
      </w:r>
      <w:r w:rsidR="00ED0D61">
        <w:t>ifference</w:t>
      </w:r>
      <w:r w:rsidR="00AF58C7">
        <w:t xml:space="preserve"> become</w:t>
      </w:r>
      <w:r w:rsidR="00ED0D61">
        <w:t>s</w:t>
      </w:r>
      <w:r w:rsidR="00AF58C7">
        <w:t xml:space="preserve"> especially apparent </w:t>
      </w:r>
      <w:r w:rsidR="00FF5C54">
        <w:t>when converting</w:t>
      </w:r>
      <w:r w:rsidR="00B22406">
        <w:t xml:space="preserve"> large volumes (&gt; 1500 acre-f</w:t>
      </w:r>
      <w:r w:rsidR="00AF58C7">
        <w:t>ee</w:t>
      </w:r>
      <w:r w:rsidR="00B22406">
        <w:t>t) to daily flows due to the</w:t>
      </w:r>
      <w:r w:rsidR="00FF5C54">
        <w:t xml:space="preserve"> corresponding</w:t>
      </w:r>
      <w:r w:rsidR="00B22406">
        <w:t xml:space="preserve"> proportion capture</w:t>
      </w:r>
      <w:r w:rsidR="00FF5C54">
        <w:t>d by the model’s more precise conversion factor.</w:t>
      </w:r>
      <w:r w:rsidR="00ED0D61">
        <w:t xml:space="preserve"> </w:t>
      </w:r>
      <w:r w:rsidR="00183AB8">
        <w:t>As</w:t>
      </w:r>
      <w:r w:rsidR="00ED0D61">
        <w:t xml:space="preserve"> a reoccurring source of differences for variables in the modeling </w:t>
      </w:r>
      <w:r w:rsidR="00183AB8">
        <w:t>tools, this cause is denoted as “Model Conversion Difference (MCD)” for referral throughout the re</w:t>
      </w:r>
      <w:r w:rsidR="00BD2B14">
        <w:t>mainder</w:t>
      </w:r>
      <w:r w:rsidR="00183AB8">
        <w:t xml:space="preserve"> of the report. </w:t>
      </w:r>
      <w:r w:rsidR="00AF58C7">
        <w:t>This explains the</w:t>
      </w:r>
      <w:r w:rsidR="00FF5C54">
        <w:t xml:space="preserve"> hu</w:t>
      </w:r>
      <w:r w:rsidR="00AF58C7">
        <w:t>mps seen in the figure above as</w:t>
      </w:r>
      <w:r w:rsidR="00FF5C54">
        <w:t xml:space="preserve"> a greater volume of water</w:t>
      </w:r>
      <w:r w:rsidR="00AF58C7">
        <w:t xml:space="preserve"> is</w:t>
      </w:r>
      <w:r w:rsidR="00FF5C54">
        <w:t xml:space="preserve"> assigned for diversion through the A canal in the summer than other seasons of the ye</w:t>
      </w:r>
      <w:r w:rsidR="00AF58C7">
        <w:t>ar.</w:t>
      </w:r>
    </w:p>
    <w:p w14:paraId="778E6725" w14:textId="77777777" w:rsidR="00931621" w:rsidRDefault="00931621" w:rsidP="00E64EDB"/>
    <w:p w14:paraId="0ED99F5B" w14:textId="141E5618" w:rsidR="00C64DB3" w:rsidRDefault="00C64DB3" w:rsidP="00E64EDB">
      <w:pPr>
        <w:rPr>
          <w:noProof/>
        </w:rPr>
      </w:pPr>
      <w:r w:rsidRPr="00C64DB3">
        <w:rPr>
          <w:noProof/>
        </w:rPr>
        <w:t xml:space="preserve"> </w:t>
      </w:r>
      <w:r w:rsidR="006A6045">
        <w:rPr>
          <w:noProof/>
        </w:rPr>
        <w:drawing>
          <wp:inline distT="0" distB="0" distL="0" distR="0" wp14:anchorId="0E12F072" wp14:editId="3E700A9B">
            <wp:extent cx="2944368" cy="2103120"/>
            <wp:effectExtent l="0" t="0" r="8890" b="0"/>
            <wp:docPr id="38" name="Picture 38" descr="C:\Users\mifr1172\Downloads\Miller Hill Pump Jun5_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fr1172\Downloads\Miller Hill Pump Jun5_2018.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44368" cy="2103120"/>
                    </a:xfrm>
                    <a:prstGeom prst="rect">
                      <a:avLst/>
                    </a:prstGeom>
                    <a:noFill/>
                    <a:ln>
                      <a:noFill/>
                    </a:ln>
                  </pic:spPr>
                </pic:pic>
              </a:graphicData>
            </a:graphic>
          </wp:inline>
        </w:drawing>
      </w:r>
      <w:r w:rsidR="0073458D">
        <w:rPr>
          <w:noProof/>
        </w:rPr>
        <w:drawing>
          <wp:inline distT="0" distB="0" distL="0" distR="0" wp14:anchorId="78583663" wp14:editId="4480096D">
            <wp:extent cx="2935224" cy="2103120"/>
            <wp:effectExtent l="0" t="0" r="0" b="0"/>
            <wp:docPr id="39" name="Picture 39" descr="C:\Users\mifr1172\Downloads\Station 48 Diversion Oct1_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ifr1172\Downloads\Station 48 Diversion Oct1_2018.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35224" cy="2103120"/>
                    </a:xfrm>
                    <a:prstGeom prst="rect">
                      <a:avLst/>
                    </a:prstGeom>
                    <a:noFill/>
                    <a:ln>
                      <a:noFill/>
                    </a:ln>
                  </pic:spPr>
                </pic:pic>
              </a:graphicData>
            </a:graphic>
          </wp:inline>
        </w:drawing>
      </w:r>
    </w:p>
    <w:p w14:paraId="05150551" w14:textId="455D0917" w:rsidR="00183AB8" w:rsidRDefault="00C64DB3" w:rsidP="00E11201">
      <w:r>
        <w:rPr>
          <w:noProof/>
        </w:rPr>
        <w:t xml:space="preserve">Figure 4. KROM </w:t>
      </w:r>
      <w:r w:rsidR="00E11201">
        <w:rPr>
          <w:noProof/>
        </w:rPr>
        <w:t>difference</w:t>
      </w:r>
      <w:r>
        <w:rPr>
          <w:noProof/>
        </w:rPr>
        <w:t xml:space="preserve"> for the variables Miller Hill Pump Diversion (Left) and Station 48 Diversion (Right). </w:t>
      </w:r>
      <w:r w:rsidR="00E11201">
        <w:rPr>
          <w:noProof/>
        </w:rPr>
        <w:t>The</w:t>
      </w:r>
      <w:r w:rsidR="00E11201">
        <w:t xml:space="preserve"> </w:t>
      </w:r>
      <w:r w:rsidR="00183AB8">
        <w:t>plots are identified by “Operation start dates”. On the left is 06/05/2018 (</w:t>
      </w:r>
      <w:r w:rsidR="00D02ECB">
        <w:t>Plot A</w:t>
      </w:r>
      <w:r w:rsidR="00183AB8">
        <w:t>) and on the right is 10/01/2018 (</w:t>
      </w:r>
      <w:r w:rsidR="00D02ECB">
        <w:t>Plot B</w:t>
      </w:r>
      <w:r w:rsidR="00183AB8">
        <w:t>).</w:t>
      </w:r>
    </w:p>
    <w:p w14:paraId="32F2E388" w14:textId="0C036DA1" w:rsidR="00434E6D" w:rsidRDefault="00C64DB3" w:rsidP="00E64EDB">
      <w:pPr>
        <w:rPr>
          <w:noProof/>
        </w:rPr>
      </w:pPr>
      <w:r>
        <w:rPr>
          <w:noProof/>
        </w:rPr>
        <w:t xml:space="preserve">While Station 48 and Miller Hill Pump are not </w:t>
      </w:r>
      <w:r w:rsidR="0061732A">
        <w:rPr>
          <w:noProof/>
        </w:rPr>
        <w:t xml:space="preserve">exempt from the </w:t>
      </w:r>
      <w:r w:rsidR="00E11201">
        <w:rPr>
          <w:noProof/>
        </w:rPr>
        <w:t>MCD</w:t>
      </w:r>
      <w:r w:rsidR="0061732A">
        <w:rPr>
          <w:noProof/>
        </w:rPr>
        <w:t xml:space="preserve"> covered above, it is simply unoticeable since the volumes assigned </w:t>
      </w:r>
      <w:r w:rsidR="00B33D4D">
        <w:rPr>
          <w:noProof/>
        </w:rPr>
        <w:t>remain under 400 acre-ft in addtion to</w:t>
      </w:r>
      <w:r w:rsidR="0061732A">
        <w:rPr>
          <w:noProof/>
        </w:rPr>
        <w:t xml:space="preserve"> </w:t>
      </w:r>
      <w:r w:rsidR="00E11201">
        <w:rPr>
          <w:noProof/>
        </w:rPr>
        <w:t>other differences</w:t>
      </w:r>
      <w:r w:rsidR="0061732A">
        <w:rPr>
          <w:noProof/>
        </w:rPr>
        <w:t xml:space="preserve"> of greater magnitude </w:t>
      </w:r>
      <w:r w:rsidR="00B33D4D">
        <w:rPr>
          <w:noProof/>
        </w:rPr>
        <w:t>being</w:t>
      </w:r>
      <w:r w:rsidR="0061732A">
        <w:rPr>
          <w:noProof/>
        </w:rPr>
        <w:t xml:space="preserve"> present. The other </w:t>
      </w:r>
      <w:r w:rsidR="00E11201">
        <w:rPr>
          <w:noProof/>
        </w:rPr>
        <w:t>difference</w:t>
      </w:r>
      <w:r w:rsidR="00B33D4D">
        <w:rPr>
          <w:noProof/>
        </w:rPr>
        <w:t xml:space="preserve">s in this case are </w:t>
      </w:r>
      <w:r w:rsidR="00E11201">
        <w:rPr>
          <w:noProof/>
        </w:rPr>
        <w:t>caused by</w:t>
      </w:r>
      <w:r w:rsidR="0061732A">
        <w:rPr>
          <w:noProof/>
        </w:rPr>
        <w:t xml:space="preserve"> </w:t>
      </w:r>
      <w:r w:rsidR="00E02405">
        <w:rPr>
          <w:noProof/>
        </w:rPr>
        <w:t xml:space="preserve">the </w:t>
      </w:r>
      <w:r w:rsidR="0061732A">
        <w:rPr>
          <w:noProof/>
        </w:rPr>
        <w:t>constraints of the KROM</w:t>
      </w:r>
      <w:r w:rsidR="00B33D4D">
        <w:rPr>
          <w:noProof/>
        </w:rPr>
        <w:t xml:space="preserve">. Specifically, </w:t>
      </w:r>
      <w:r w:rsidR="00E11201">
        <w:rPr>
          <w:noProof/>
        </w:rPr>
        <w:t xml:space="preserve">negative </w:t>
      </w:r>
      <w:r w:rsidR="0061732A">
        <w:rPr>
          <w:noProof/>
        </w:rPr>
        <w:t>diversion</w:t>
      </w:r>
      <w:r w:rsidR="00E11201">
        <w:rPr>
          <w:noProof/>
        </w:rPr>
        <w:t xml:space="preserve">s cannot be </w:t>
      </w:r>
      <w:r w:rsidR="00E02405">
        <w:rPr>
          <w:noProof/>
        </w:rPr>
        <w:t>routed through</w:t>
      </w:r>
      <w:r w:rsidR="00E11201">
        <w:rPr>
          <w:noProof/>
        </w:rPr>
        <w:t xml:space="preserve"> </w:t>
      </w:r>
      <w:r w:rsidR="0061732A">
        <w:rPr>
          <w:noProof/>
        </w:rPr>
        <w:t>the chann</w:t>
      </w:r>
      <w:r w:rsidR="00B33D4D">
        <w:rPr>
          <w:noProof/>
        </w:rPr>
        <w:t>el</w:t>
      </w:r>
      <w:r w:rsidR="0061732A">
        <w:rPr>
          <w:noProof/>
        </w:rPr>
        <w:t>. Pe</w:t>
      </w:r>
      <w:r w:rsidR="00B33D4D">
        <w:rPr>
          <w:noProof/>
        </w:rPr>
        <w:t>riodically, the IGD Calc</w:t>
      </w:r>
      <w:r w:rsidR="0061732A">
        <w:rPr>
          <w:noProof/>
        </w:rPr>
        <w:t xml:space="preserve"> </w:t>
      </w:r>
      <w:r w:rsidR="00B33D4D">
        <w:rPr>
          <w:noProof/>
        </w:rPr>
        <w:t>predicts a negative diversion request</w:t>
      </w:r>
      <w:r w:rsidR="0061732A">
        <w:rPr>
          <w:noProof/>
        </w:rPr>
        <w:t xml:space="preserve"> for the Miller Hill Pump. This is replicated in the KROM, but</w:t>
      </w:r>
      <w:r w:rsidR="00434E6D">
        <w:rPr>
          <w:noProof/>
        </w:rPr>
        <w:t xml:space="preserve"> the actual diversion can</w:t>
      </w:r>
      <w:r w:rsidR="00B33D4D">
        <w:rPr>
          <w:noProof/>
        </w:rPr>
        <w:t xml:space="preserve"> only</w:t>
      </w:r>
      <w:r w:rsidR="00434E6D">
        <w:rPr>
          <w:noProof/>
        </w:rPr>
        <w:t xml:space="preserve"> be</w:t>
      </w:r>
      <w:r w:rsidR="0061732A">
        <w:rPr>
          <w:noProof/>
        </w:rPr>
        <w:t xml:space="preserve"> as low as 0 cfs. Thus, </w:t>
      </w:r>
      <w:r w:rsidR="0037353A">
        <w:rPr>
          <w:noProof/>
        </w:rPr>
        <w:t>a</w:t>
      </w:r>
      <w:r w:rsidR="0061732A">
        <w:rPr>
          <w:noProof/>
        </w:rPr>
        <w:t xml:space="preserve"> surplus of</w:t>
      </w:r>
      <w:r w:rsidR="00B33D4D">
        <w:rPr>
          <w:noProof/>
        </w:rPr>
        <w:t xml:space="preserve"> up to ~ 0.9 cfs</w:t>
      </w:r>
      <w:r w:rsidR="0061732A">
        <w:rPr>
          <w:noProof/>
        </w:rPr>
        <w:t xml:space="preserve"> sent to t</w:t>
      </w:r>
      <w:r w:rsidR="009C1C2B">
        <w:rPr>
          <w:noProof/>
        </w:rPr>
        <w:t>he Miller Hill Pu</w:t>
      </w:r>
      <w:r w:rsidR="00E02405">
        <w:rPr>
          <w:noProof/>
        </w:rPr>
        <w:t>mp</w:t>
      </w:r>
      <w:r w:rsidR="009C1C2B">
        <w:rPr>
          <w:noProof/>
        </w:rPr>
        <w:t xml:space="preserve"> (diversion in KROM 0 cfs, diversion in IGD Calc -0.9 cfs)</w:t>
      </w:r>
      <w:r w:rsidR="0037353A">
        <w:rPr>
          <w:noProof/>
        </w:rPr>
        <w:t xml:space="preserve"> is observed</w:t>
      </w:r>
      <w:r w:rsidR="009C1C2B">
        <w:rPr>
          <w:noProof/>
        </w:rPr>
        <w:t>. Occasionaly, a corresponding</w:t>
      </w:r>
      <w:r w:rsidR="00B33D4D">
        <w:rPr>
          <w:noProof/>
        </w:rPr>
        <w:t xml:space="preserve"> (same day)</w:t>
      </w:r>
      <w:r w:rsidR="009C1C2B">
        <w:rPr>
          <w:noProof/>
        </w:rPr>
        <w:t xml:space="preserve"> shorta</w:t>
      </w:r>
      <w:r w:rsidR="00B33D4D">
        <w:rPr>
          <w:noProof/>
        </w:rPr>
        <w:t>ge of the same magnitude is</w:t>
      </w:r>
      <w:r w:rsidR="009C1C2B">
        <w:rPr>
          <w:noProof/>
        </w:rPr>
        <w:t xml:space="preserve"> observed in the Station 48.</w:t>
      </w:r>
      <w:r w:rsidR="00434E6D">
        <w:rPr>
          <w:noProof/>
        </w:rPr>
        <w:t xml:space="preserve"> To detail why, it first must be understood that t</w:t>
      </w:r>
      <w:r w:rsidR="0037353A">
        <w:rPr>
          <w:noProof/>
        </w:rPr>
        <w:t>he alotted water for both channels is sent as a sum of the diversion request</w:t>
      </w:r>
      <w:r w:rsidR="00434E6D">
        <w:rPr>
          <w:noProof/>
        </w:rPr>
        <w:t>s</w:t>
      </w:r>
      <w:r w:rsidR="0037353A">
        <w:rPr>
          <w:noProof/>
        </w:rPr>
        <w:t>. Since the diver</w:t>
      </w:r>
      <w:r w:rsidR="00B33D4D">
        <w:rPr>
          <w:noProof/>
        </w:rPr>
        <w:t xml:space="preserve">sion request can be negative but not the </w:t>
      </w:r>
      <w:r w:rsidR="005C248C">
        <w:rPr>
          <w:noProof/>
        </w:rPr>
        <w:t>physical</w:t>
      </w:r>
      <w:r w:rsidR="00B33D4D">
        <w:rPr>
          <w:noProof/>
        </w:rPr>
        <w:t xml:space="preserve"> diversion, the Miller Hill Pump uses wat</w:t>
      </w:r>
      <w:r w:rsidR="00434E6D">
        <w:rPr>
          <w:noProof/>
        </w:rPr>
        <w:t>er intended for Station 48 as</w:t>
      </w:r>
      <w:r w:rsidR="00B33D4D">
        <w:rPr>
          <w:noProof/>
        </w:rPr>
        <w:t xml:space="preserve"> it precedes </w:t>
      </w:r>
      <w:r w:rsidR="006923E4">
        <w:rPr>
          <w:noProof/>
        </w:rPr>
        <w:t xml:space="preserve">Station 48 </w:t>
      </w:r>
      <w:r w:rsidR="00B33D4D">
        <w:rPr>
          <w:noProof/>
        </w:rPr>
        <w:t>in the run of the river. The corresponding water</w:t>
      </w:r>
      <w:r w:rsidR="00434E6D">
        <w:rPr>
          <w:noProof/>
        </w:rPr>
        <w:t xml:space="preserve"> shortage is avoided when there is</w:t>
      </w:r>
      <w:r w:rsidR="00B33D4D">
        <w:rPr>
          <w:noProof/>
        </w:rPr>
        <w:t xml:space="preserve"> an excess of water</w:t>
      </w:r>
      <w:r w:rsidR="00434E6D">
        <w:rPr>
          <w:noProof/>
        </w:rPr>
        <w:t xml:space="preserve"> entering</w:t>
      </w:r>
      <w:r w:rsidR="00B33D4D">
        <w:rPr>
          <w:noProof/>
        </w:rPr>
        <w:t xml:space="preserve"> the Lost River Diversion Channel. In this scenario, Station 48 diverts </w:t>
      </w:r>
      <w:r w:rsidR="00434E6D">
        <w:rPr>
          <w:noProof/>
        </w:rPr>
        <w:t>from this flow to make up for its</w:t>
      </w:r>
      <w:r w:rsidR="00B33D4D">
        <w:rPr>
          <w:noProof/>
        </w:rPr>
        <w:t xml:space="preserve"> shortage.</w:t>
      </w:r>
    </w:p>
    <w:p w14:paraId="452E0A6C" w14:textId="77777777" w:rsidR="00931621" w:rsidRDefault="00931621" w:rsidP="00E64EDB">
      <w:pPr>
        <w:rPr>
          <w:noProof/>
        </w:rPr>
      </w:pPr>
    </w:p>
    <w:p w14:paraId="578E3E44" w14:textId="3A3AC2D8" w:rsidR="006923E4" w:rsidRDefault="00931621" w:rsidP="00E64EDB">
      <w:pPr>
        <w:rPr>
          <w:noProof/>
        </w:rPr>
      </w:pPr>
      <w:r w:rsidRPr="00931621">
        <w:rPr>
          <w:noProof/>
        </w:rPr>
        <w:t xml:space="preserve"> </w:t>
      </w:r>
      <w:r w:rsidR="0073458D">
        <w:rPr>
          <w:noProof/>
        </w:rPr>
        <w:drawing>
          <wp:inline distT="0" distB="0" distL="0" distR="0" wp14:anchorId="482085FF" wp14:editId="38BF57BE">
            <wp:extent cx="2935224" cy="2103120"/>
            <wp:effectExtent l="0" t="0" r="0" b="0"/>
            <wp:docPr id="40" name="Picture 40" descr="C:\Users\mifr1172\Downloads\Ady Canal Mar5_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ifr1172\Downloads\Ady Canal Mar5_201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35224" cy="2103120"/>
                    </a:xfrm>
                    <a:prstGeom prst="rect">
                      <a:avLst/>
                    </a:prstGeom>
                    <a:noFill/>
                    <a:ln>
                      <a:noFill/>
                    </a:ln>
                  </pic:spPr>
                </pic:pic>
              </a:graphicData>
            </a:graphic>
          </wp:inline>
        </w:drawing>
      </w:r>
      <w:r w:rsidR="0073458D">
        <w:rPr>
          <w:noProof/>
        </w:rPr>
        <w:drawing>
          <wp:inline distT="0" distB="0" distL="0" distR="0" wp14:anchorId="40961445" wp14:editId="38C551C7">
            <wp:extent cx="2935224" cy="2103120"/>
            <wp:effectExtent l="0" t="0" r="0" b="0"/>
            <wp:docPr id="41" name="Picture 41" descr="C:\Users\mifr1172\Downloads\North Canal Apr5_2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ifr1172\Downloads\North Canal Apr5_2017.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35224" cy="2103120"/>
                    </a:xfrm>
                    <a:prstGeom prst="rect">
                      <a:avLst/>
                    </a:prstGeom>
                    <a:noFill/>
                    <a:ln>
                      <a:noFill/>
                    </a:ln>
                  </pic:spPr>
                </pic:pic>
              </a:graphicData>
            </a:graphic>
          </wp:inline>
        </w:drawing>
      </w:r>
      <w:r w:rsidR="006923E4">
        <w:rPr>
          <w:noProof/>
        </w:rPr>
        <w:t xml:space="preserve">Figure </w:t>
      </w:r>
      <w:r w:rsidR="00366F4D">
        <w:rPr>
          <w:noProof/>
        </w:rPr>
        <w:t>5</w:t>
      </w:r>
      <w:r w:rsidR="006923E4">
        <w:rPr>
          <w:noProof/>
        </w:rPr>
        <w:t>. KROM difference for the variables Miller Hill Pump Diversion (Left) and Station 48 Diversion (Right). The</w:t>
      </w:r>
      <w:r w:rsidR="006923E4">
        <w:t xml:space="preserve"> plots are identified by “Operation start dates”. On the left is 03/05/2018 (</w:t>
      </w:r>
      <w:r w:rsidR="00D02ECB">
        <w:t>Plot A</w:t>
      </w:r>
      <w:r w:rsidR="006923E4">
        <w:t>) and on the right is 04/05/2017 (</w:t>
      </w:r>
      <w:r w:rsidR="00D02ECB">
        <w:t>Plot B</w:t>
      </w:r>
      <w:r w:rsidR="006923E4">
        <w:t>).</w:t>
      </w:r>
    </w:p>
    <w:p w14:paraId="761B6476" w14:textId="3FE74EC1" w:rsidR="00261F0A" w:rsidRDefault="00102B7F" w:rsidP="00E64EDB">
      <w:pPr>
        <w:rPr>
          <w:noProof/>
        </w:rPr>
      </w:pPr>
      <w:r>
        <w:rPr>
          <w:noProof/>
        </w:rPr>
        <w:t xml:space="preserve">Unlike the other channels, both Ady and North Canal show a scattered </w:t>
      </w:r>
      <w:r w:rsidR="006923E4">
        <w:rPr>
          <w:noProof/>
        </w:rPr>
        <w:t>difference pattern</w:t>
      </w:r>
      <w:r>
        <w:rPr>
          <w:noProof/>
        </w:rPr>
        <w:t xml:space="preserve"> throughout their diversion schedule. While the </w:t>
      </w:r>
      <w:r w:rsidR="006923E4">
        <w:rPr>
          <w:noProof/>
        </w:rPr>
        <w:t>MCD</w:t>
      </w:r>
      <w:r>
        <w:rPr>
          <w:noProof/>
        </w:rPr>
        <w:t xml:space="preserve"> plays a minor part in this occurance, the</w:t>
      </w:r>
      <w:r w:rsidR="00F56A74">
        <w:rPr>
          <w:noProof/>
        </w:rPr>
        <w:t xml:space="preserve"> </w:t>
      </w:r>
      <w:r w:rsidR="006923E4">
        <w:rPr>
          <w:noProof/>
        </w:rPr>
        <w:t>primary source</w:t>
      </w:r>
      <w:r w:rsidR="00F56A74">
        <w:rPr>
          <w:noProof/>
        </w:rPr>
        <w:t xml:space="preserve"> is the method in which the models assign daily percentages of the yearly volume. In the IGD Calc, a rounding function is used to make the flow for diversion an integer amount. This rounding is not mimiced in the KROM. Thus, a deviation of up to 0.499 cfs is able to be observed for either channel. Larger deviations are not observed since the rounding function will always assign the nearest interger (must be &lt; 0.5 away). </w:t>
      </w:r>
    </w:p>
    <w:p w14:paraId="18A92075" w14:textId="341D6442" w:rsidR="00261F0A" w:rsidRDefault="00261F0A" w:rsidP="00E64EDB">
      <w:pPr>
        <w:rPr>
          <w:noProof/>
        </w:rPr>
      </w:pPr>
    </w:p>
    <w:p w14:paraId="669C11D0" w14:textId="77777777" w:rsidR="00261F0A" w:rsidRDefault="00261F0A" w:rsidP="00E64EDB">
      <w:pPr>
        <w:rPr>
          <w:noProof/>
        </w:rPr>
      </w:pPr>
    </w:p>
    <w:p w14:paraId="74586200" w14:textId="06748AA0" w:rsidR="00F56A74" w:rsidRDefault="00261F0A" w:rsidP="00E64EDB">
      <w:pPr>
        <w:rPr>
          <w:noProof/>
        </w:rPr>
      </w:pPr>
      <w:r w:rsidRPr="00261F0A">
        <w:rPr>
          <w:noProof/>
        </w:rPr>
        <w:t xml:space="preserve"> </w:t>
      </w:r>
      <w:r w:rsidR="0073458D">
        <w:rPr>
          <w:noProof/>
        </w:rPr>
        <w:drawing>
          <wp:inline distT="0" distB="0" distL="0" distR="0" wp14:anchorId="56F15661" wp14:editId="3EBA7BFE">
            <wp:extent cx="2944368" cy="2103120"/>
            <wp:effectExtent l="0" t="0" r="8890" b="0"/>
            <wp:docPr id="43" name="Picture 43" descr="C:\Users\mifr1172\Downloads\Ag Demand Dec12_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ifr1172\Downloads\Ag Demand Dec12_2018.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44368" cy="2103120"/>
                    </a:xfrm>
                    <a:prstGeom prst="rect">
                      <a:avLst/>
                    </a:prstGeom>
                    <a:noFill/>
                    <a:ln>
                      <a:noFill/>
                    </a:ln>
                  </pic:spPr>
                </pic:pic>
              </a:graphicData>
            </a:graphic>
          </wp:inline>
        </w:drawing>
      </w:r>
      <w:r w:rsidR="0073458D">
        <w:rPr>
          <w:noProof/>
        </w:rPr>
        <w:drawing>
          <wp:inline distT="0" distB="0" distL="0" distR="0" wp14:anchorId="0DA39613" wp14:editId="2558BAFF">
            <wp:extent cx="2944368" cy="2103120"/>
            <wp:effectExtent l="0" t="0" r="8890" b="0"/>
            <wp:docPr id="44" name="Picture 44" descr="C:\Users\mifr1172\Downloads\Ag Demand Apr5_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ifr1172\Downloads\Ag Demand Apr5_2018.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44368" cy="2103120"/>
                    </a:xfrm>
                    <a:prstGeom prst="rect">
                      <a:avLst/>
                    </a:prstGeom>
                    <a:noFill/>
                    <a:ln>
                      <a:noFill/>
                    </a:ln>
                  </pic:spPr>
                </pic:pic>
              </a:graphicData>
            </a:graphic>
          </wp:inline>
        </w:drawing>
      </w:r>
    </w:p>
    <w:p w14:paraId="47915624" w14:textId="04BA1A56" w:rsidR="00366F4D" w:rsidRDefault="00261F0A" w:rsidP="00366F4D">
      <w:r>
        <w:rPr>
          <w:noProof/>
        </w:rPr>
        <w:t>Figure 6.</w:t>
      </w:r>
      <w:r w:rsidR="00366F4D">
        <w:t xml:space="preserve"> KROM difference for the variable UKL Ag Demand. The plots are identified by “Operation start dates”. On the left is 12/01/2018 (</w:t>
      </w:r>
      <w:r w:rsidR="00D02ECB">
        <w:t>Plot A</w:t>
      </w:r>
      <w:r w:rsidR="00366F4D">
        <w:t>) and on the right is 04/05/2018 (</w:t>
      </w:r>
      <w:r w:rsidR="00D02ECB">
        <w:t>Plot B</w:t>
      </w:r>
      <w:r w:rsidR="00366F4D">
        <w:t>).</w:t>
      </w:r>
    </w:p>
    <w:p w14:paraId="16D2DD18" w14:textId="09DB03BA" w:rsidR="00FF161C" w:rsidRPr="00FF161C" w:rsidRDefault="008E78DA" w:rsidP="00FF161C">
      <w:pPr>
        <w:rPr>
          <w:noProof/>
        </w:rPr>
      </w:pPr>
      <w:r>
        <w:rPr>
          <w:noProof/>
        </w:rPr>
        <w:t>The origin of model d</w:t>
      </w:r>
      <w:r w:rsidR="00366F4D">
        <w:rPr>
          <w:noProof/>
        </w:rPr>
        <w:t>ifference</w:t>
      </w:r>
      <w:r>
        <w:rPr>
          <w:noProof/>
        </w:rPr>
        <w:t xml:space="preserve"> for the variable</w:t>
      </w:r>
      <w:r w:rsidR="006D3FDA">
        <w:rPr>
          <w:noProof/>
        </w:rPr>
        <w:t xml:space="preserve"> UKL Ag Demand</w:t>
      </w:r>
      <w:r>
        <w:rPr>
          <w:noProof/>
        </w:rPr>
        <w:t xml:space="preserve"> is two-fold and can be seperated by which period it</w:t>
      </w:r>
      <w:r w:rsidR="006D3FDA">
        <w:rPr>
          <w:noProof/>
        </w:rPr>
        <w:t xml:space="preserve"> occur</w:t>
      </w:r>
      <w:r>
        <w:rPr>
          <w:noProof/>
        </w:rPr>
        <w:t>s</w:t>
      </w:r>
      <w:r w:rsidR="006D3FDA">
        <w:rPr>
          <w:noProof/>
        </w:rPr>
        <w:t>. For the observed period, it is not entirely certain what causes the difference</w:t>
      </w:r>
      <w:r w:rsidR="006E4F35">
        <w:rPr>
          <w:noProof/>
        </w:rPr>
        <w:t xml:space="preserve"> (Figure 6, left plot)</w:t>
      </w:r>
      <w:r w:rsidR="006D3FDA">
        <w:rPr>
          <w:noProof/>
        </w:rPr>
        <w:t xml:space="preserve">. The IGD Calc values are hard input and transferred over from another </w:t>
      </w:r>
      <w:r w:rsidR="00366F4D">
        <w:rPr>
          <w:noProof/>
        </w:rPr>
        <w:t xml:space="preserve">excel </w:t>
      </w:r>
      <w:r w:rsidR="006D3FDA">
        <w:rPr>
          <w:noProof/>
        </w:rPr>
        <w:t xml:space="preserve">sheet used for recording observations. The KROM calculates these values with a rule </w:t>
      </w:r>
      <w:r>
        <w:rPr>
          <w:noProof/>
        </w:rPr>
        <w:t>dependent on</w:t>
      </w:r>
      <w:r w:rsidR="006D3FDA">
        <w:rPr>
          <w:noProof/>
        </w:rPr>
        <w:t xml:space="preserve"> the inputs </w:t>
      </w:r>
      <w:r>
        <w:rPr>
          <w:noProof/>
        </w:rPr>
        <w:t xml:space="preserve">attained </w:t>
      </w:r>
      <w:r w:rsidR="006D3FDA">
        <w:rPr>
          <w:noProof/>
        </w:rPr>
        <w:t>from the IGD Calc. Thus, either there is a variable not accounted for in the KROM</w:t>
      </w:r>
      <w:r w:rsidR="006E4F35">
        <w:rPr>
          <w:noProof/>
        </w:rPr>
        <w:t>’s calculation</w:t>
      </w:r>
      <w:r w:rsidR="006D3FDA">
        <w:rPr>
          <w:noProof/>
        </w:rPr>
        <w:t xml:space="preserve"> or an error in the IG</w:t>
      </w:r>
      <w:r w:rsidR="006E4F35">
        <w:rPr>
          <w:noProof/>
        </w:rPr>
        <w:t>D Calc</w:t>
      </w:r>
      <w:r w:rsidR="00366F4D">
        <w:rPr>
          <w:noProof/>
        </w:rPr>
        <w:t>’s</w:t>
      </w:r>
      <w:r w:rsidR="006E4F35">
        <w:rPr>
          <w:noProof/>
        </w:rPr>
        <w:t xml:space="preserve"> input</w:t>
      </w:r>
      <w:r>
        <w:rPr>
          <w:noProof/>
        </w:rPr>
        <w:t xml:space="preserve"> for UKL Ag Demand</w:t>
      </w:r>
      <w:r w:rsidR="006E4F35">
        <w:rPr>
          <w:noProof/>
        </w:rPr>
        <w:t>. As for the predicted period, the d</w:t>
      </w:r>
      <w:r w:rsidR="00366F4D">
        <w:rPr>
          <w:noProof/>
        </w:rPr>
        <w:t>ifference</w:t>
      </w:r>
      <w:r w:rsidR="006E4F35">
        <w:rPr>
          <w:noProof/>
        </w:rPr>
        <w:t xml:space="preserve"> is a sum of all the d</w:t>
      </w:r>
      <w:r w:rsidR="00366F4D">
        <w:rPr>
          <w:noProof/>
        </w:rPr>
        <w:t>ifferences</w:t>
      </w:r>
      <w:r w:rsidR="006E4F35">
        <w:rPr>
          <w:noProof/>
        </w:rPr>
        <w:t xml:space="preserve"> analyzed above (Figure 6, right plot). This explains the scattered nature (Ady and North Canal) and</w:t>
      </w:r>
      <w:r>
        <w:rPr>
          <w:noProof/>
        </w:rPr>
        <w:t xml:space="preserve"> the</w:t>
      </w:r>
      <w:r w:rsidR="006E4F35">
        <w:rPr>
          <w:noProof/>
        </w:rPr>
        <w:t xml:space="preserve"> extremes occuring in the summer months (A Canal, Station 48, Miller Hill Pump). </w:t>
      </w:r>
    </w:p>
    <w:p w14:paraId="75823F6D" w14:textId="0F95278D" w:rsidR="008E78DA" w:rsidRDefault="008E78DA" w:rsidP="00D339CB">
      <w:pPr>
        <w:pStyle w:val="Heading2"/>
      </w:pPr>
      <w:r>
        <w:t>UKL Pool Elevation</w:t>
      </w:r>
    </w:p>
    <w:p w14:paraId="681B1055" w14:textId="38F0A4DA" w:rsidR="008E78DA" w:rsidRDefault="003009E9" w:rsidP="008E78DA">
      <w:pPr>
        <w:rPr>
          <w:noProof/>
        </w:rPr>
      </w:pPr>
      <w:r w:rsidRPr="003009E9">
        <w:rPr>
          <w:noProof/>
        </w:rPr>
        <w:t xml:space="preserve"> </w:t>
      </w:r>
      <w:r w:rsidR="007D1D48">
        <w:rPr>
          <w:noProof/>
        </w:rPr>
        <w:drawing>
          <wp:inline distT="0" distB="0" distL="0" distR="0" wp14:anchorId="06C21AE0" wp14:editId="5A5B2E2E">
            <wp:extent cx="2944368" cy="2103120"/>
            <wp:effectExtent l="0" t="0" r="8890" b="0"/>
            <wp:docPr id="45" name="Picture 45" descr="C:\Users\mifr1172\Downloads\UKL Elevation Jan5_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ifr1172\Downloads\UKL Elevation Jan5_2019.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44368" cy="2103120"/>
                    </a:xfrm>
                    <a:prstGeom prst="rect">
                      <a:avLst/>
                    </a:prstGeom>
                    <a:noFill/>
                    <a:ln>
                      <a:noFill/>
                    </a:ln>
                  </pic:spPr>
                </pic:pic>
              </a:graphicData>
            </a:graphic>
          </wp:inline>
        </w:drawing>
      </w:r>
      <w:r w:rsidR="007D1D48">
        <w:rPr>
          <w:noProof/>
        </w:rPr>
        <w:drawing>
          <wp:inline distT="0" distB="0" distL="0" distR="0" wp14:anchorId="2C983B94" wp14:editId="68C2AB30">
            <wp:extent cx="2944368" cy="2103120"/>
            <wp:effectExtent l="0" t="0" r="8890" b="0"/>
            <wp:docPr id="46" name="Picture 46" descr="C:\Users\mifr1172\Downloads\UKL Elevation Mar5_2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ifr1172\Downloads\UKL Elevation Mar5_2017.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44368" cy="2103120"/>
                    </a:xfrm>
                    <a:prstGeom prst="rect">
                      <a:avLst/>
                    </a:prstGeom>
                    <a:noFill/>
                    <a:ln>
                      <a:noFill/>
                    </a:ln>
                  </pic:spPr>
                </pic:pic>
              </a:graphicData>
            </a:graphic>
          </wp:inline>
        </w:drawing>
      </w:r>
    </w:p>
    <w:p w14:paraId="25BB5092" w14:textId="4216805C" w:rsidR="00547757" w:rsidRDefault="003009E9" w:rsidP="008E78DA">
      <w:r>
        <w:rPr>
          <w:noProof/>
        </w:rPr>
        <w:t xml:space="preserve">Figure 7. </w:t>
      </w:r>
      <w:r w:rsidR="00547757">
        <w:t>KROM difference for the variable UKL Pool Elevation. The plots are identified by “Operation start dates”. On the left is 01/05/2019 (</w:t>
      </w:r>
      <w:r w:rsidR="00D02ECB">
        <w:t>Plot A</w:t>
      </w:r>
      <w:r w:rsidR="00547757">
        <w:t>) and on the right is 03/05/2017 (</w:t>
      </w:r>
      <w:r w:rsidR="00D02ECB">
        <w:t>Plot B</w:t>
      </w:r>
      <w:r w:rsidR="00547757">
        <w:t>).</w:t>
      </w:r>
    </w:p>
    <w:p w14:paraId="1376256A" w14:textId="34AF266B" w:rsidR="008F4C2B" w:rsidRPr="008E78DA" w:rsidRDefault="008F4C2B" w:rsidP="008E78DA">
      <w:pPr>
        <w:rPr>
          <w:noProof/>
        </w:rPr>
      </w:pPr>
      <w:r>
        <w:rPr>
          <w:noProof/>
        </w:rPr>
        <w:t>To analyze the model d</w:t>
      </w:r>
      <w:r w:rsidR="00547757">
        <w:rPr>
          <w:noProof/>
        </w:rPr>
        <w:t>ifference</w:t>
      </w:r>
      <w:r>
        <w:rPr>
          <w:noProof/>
        </w:rPr>
        <w:t xml:space="preserve">s identified for UKL Pool Elevation, it is best to split the periods in two (observed and predicted). For the observed period, it was decided that an effort to obtain flow/elevation/volume data from the source rather than import </w:t>
      </w:r>
      <w:r w:rsidR="00887B76">
        <w:rPr>
          <w:noProof/>
        </w:rPr>
        <w:t xml:space="preserve">it </w:t>
      </w:r>
      <w:r>
        <w:rPr>
          <w:noProof/>
        </w:rPr>
        <w:t xml:space="preserve">from the IGD Calc would be made. </w:t>
      </w:r>
      <w:r w:rsidR="000F274D">
        <w:rPr>
          <w:noProof/>
        </w:rPr>
        <w:t>One o</w:t>
      </w:r>
      <w:r w:rsidR="009639AF">
        <w:rPr>
          <w:noProof/>
        </w:rPr>
        <w:t>f the variables</w:t>
      </w:r>
      <w:r w:rsidR="00887B76">
        <w:rPr>
          <w:noProof/>
        </w:rPr>
        <w:t xml:space="preserve"> with</w:t>
      </w:r>
      <w:r w:rsidR="009639AF">
        <w:rPr>
          <w:noProof/>
        </w:rPr>
        <w:t xml:space="preserve"> an identified source</w:t>
      </w:r>
      <w:r w:rsidR="00887B76">
        <w:rPr>
          <w:noProof/>
        </w:rPr>
        <w:t xml:space="preserve"> was UKL Pool Elevation. Thus, from the USGS website four gauges with data for this variable </w:t>
      </w:r>
      <w:r w:rsidR="009639AF">
        <w:rPr>
          <w:noProof/>
        </w:rPr>
        <w:t>were</w:t>
      </w:r>
      <w:r w:rsidR="00887B76">
        <w:rPr>
          <w:noProof/>
        </w:rPr>
        <w:t xml:space="preserve"> collect</w:t>
      </w:r>
      <w:r w:rsidR="009639AF">
        <w:rPr>
          <w:noProof/>
        </w:rPr>
        <w:t>ed</w:t>
      </w:r>
      <w:r w:rsidR="00887B76">
        <w:rPr>
          <w:noProof/>
        </w:rPr>
        <w:t xml:space="preserve"> and transferred to an i</w:t>
      </w:r>
      <w:r w:rsidR="009639AF">
        <w:rPr>
          <w:noProof/>
        </w:rPr>
        <w:t xml:space="preserve">nput DMI. These four </w:t>
      </w:r>
      <w:r w:rsidR="000F274D">
        <w:rPr>
          <w:noProof/>
        </w:rPr>
        <w:t xml:space="preserve">guage </w:t>
      </w:r>
      <w:r w:rsidR="009639AF">
        <w:rPr>
          <w:noProof/>
        </w:rPr>
        <w:t>values are</w:t>
      </w:r>
      <w:r w:rsidR="00887B76">
        <w:rPr>
          <w:noProof/>
        </w:rPr>
        <w:t xml:space="preserve"> averaged to provide the</w:t>
      </w:r>
      <w:r w:rsidR="00F1529B">
        <w:rPr>
          <w:noProof/>
        </w:rPr>
        <w:t xml:space="preserve"> KROM’s</w:t>
      </w:r>
      <w:r w:rsidR="00887B76">
        <w:rPr>
          <w:noProof/>
        </w:rPr>
        <w:t xml:space="preserve"> observed UKL Pool Elevation. This method </w:t>
      </w:r>
      <w:r w:rsidR="009639AF">
        <w:rPr>
          <w:noProof/>
        </w:rPr>
        <w:t>yields</w:t>
      </w:r>
      <w:r w:rsidR="00887B76">
        <w:rPr>
          <w:noProof/>
        </w:rPr>
        <w:t xml:space="preserve"> a different result than the IGD Calc as</w:t>
      </w:r>
      <w:r w:rsidR="000F274D">
        <w:rPr>
          <w:noProof/>
        </w:rPr>
        <w:t xml:space="preserve"> it is unknown what process </w:t>
      </w:r>
      <w:r w:rsidR="00F1529B">
        <w:rPr>
          <w:noProof/>
        </w:rPr>
        <w:t>it</w:t>
      </w:r>
      <w:r w:rsidR="00887B76">
        <w:rPr>
          <w:noProof/>
        </w:rPr>
        <w:t xml:space="preserve"> uses to calculate UKL Pool Ele</w:t>
      </w:r>
      <w:r w:rsidR="000F274D">
        <w:rPr>
          <w:noProof/>
        </w:rPr>
        <w:t xml:space="preserve">vation </w:t>
      </w:r>
      <w:r w:rsidR="00F1529B">
        <w:rPr>
          <w:noProof/>
        </w:rPr>
        <w:t>(hard input)</w:t>
      </w:r>
      <w:r w:rsidR="00887B76">
        <w:rPr>
          <w:noProof/>
        </w:rPr>
        <w:t xml:space="preserve">. </w:t>
      </w:r>
      <w:r w:rsidR="009639AF">
        <w:rPr>
          <w:noProof/>
        </w:rPr>
        <w:t>Until the IGD Calc’s method is revealed, these d</w:t>
      </w:r>
      <w:r w:rsidR="00547757">
        <w:rPr>
          <w:noProof/>
        </w:rPr>
        <w:t>ifferences</w:t>
      </w:r>
      <w:r w:rsidR="009639AF">
        <w:rPr>
          <w:noProof/>
        </w:rPr>
        <w:t xml:space="preserve"> are to be accepted as suitable </w:t>
      </w:r>
      <w:r w:rsidR="001E5AA9">
        <w:rPr>
          <w:noProof/>
        </w:rPr>
        <w:t>for the purpose of testing. F</w:t>
      </w:r>
      <w:r w:rsidR="009639AF">
        <w:rPr>
          <w:noProof/>
        </w:rPr>
        <w:t xml:space="preserve">or the predicted period, the scattered </w:t>
      </w:r>
      <w:r w:rsidR="006E0E45">
        <w:rPr>
          <w:noProof/>
        </w:rPr>
        <w:t>pattern shown in both plots of Figur</w:t>
      </w:r>
      <w:r w:rsidR="00D37852">
        <w:rPr>
          <w:noProof/>
        </w:rPr>
        <w:t>e 7 is a result of</w:t>
      </w:r>
      <w:r w:rsidR="00E16CE2">
        <w:rPr>
          <w:noProof/>
        </w:rPr>
        <w:t xml:space="preserve"> the</w:t>
      </w:r>
      <w:r w:rsidR="001E5AA9">
        <w:rPr>
          <w:noProof/>
        </w:rPr>
        <w:t xml:space="preserve"> </w:t>
      </w:r>
      <w:r w:rsidR="00E16CE2">
        <w:rPr>
          <w:noProof/>
        </w:rPr>
        <w:t>MCD</w:t>
      </w:r>
      <w:r w:rsidR="0070616E">
        <w:rPr>
          <w:noProof/>
        </w:rPr>
        <w:t>. Both the KROM and IGD Calc posses</w:t>
      </w:r>
      <w:r w:rsidR="006E0E45">
        <w:rPr>
          <w:noProof/>
        </w:rPr>
        <w:t xml:space="preserve"> an identical “Elevation to Volume Table”</w:t>
      </w:r>
      <w:r w:rsidR="00D37852">
        <w:rPr>
          <w:noProof/>
        </w:rPr>
        <w:t xml:space="preserve"> to which a</w:t>
      </w:r>
      <w:r w:rsidR="0070616E">
        <w:rPr>
          <w:noProof/>
        </w:rPr>
        <w:t xml:space="preserve"> calculated volume is refenced. In the IGD Calc, a “Look Up” operation is used to pull the nearest corresponding elevation, r</w:t>
      </w:r>
      <w:r w:rsidR="00C737E9">
        <w:rPr>
          <w:noProof/>
        </w:rPr>
        <w:t>eferencing</w:t>
      </w:r>
      <w:r w:rsidR="0070616E">
        <w:rPr>
          <w:noProof/>
        </w:rPr>
        <w:t xml:space="preserve"> down. This is preci</w:t>
      </w:r>
      <w:r w:rsidR="00D37852">
        <w:rPr>
          <w:noProof/>
        </w:rPr>
        <w:t>se to the second decimal. In</w:t>
      </w:r>
      <w:r w:rsidR="0070616E">
        <w:rPr>
          <w:noProof/>
        </w:rPr>
        <w:t xml:space="preserve"> the KROM, an “interpolation” function is used to estimate the approximate elevation between the two nearest values. This is precise to the tenth decimal.</w:t>
      </w:r>
      <w:r w:rsidR="00A97C6C">
        <w:rPr>
          <w:noProof/>
        </w:rPr>
        <w:t xml:space="preserve"> </w:t>
      </w:r>
      <w:r w:rsidR="00E16CE2">
        <w:rPr>
          <w:noProof/>
        </w:rPr>
        <w:t xml:space="preserve">The “Look Up” versus “Interpolation” difference </w:t>
      </w:r>
      <w:r w:rsidR="00BD2B14">
        <w:rPr>
          <w:noProof/>
        </w:rPr>
        <w:t>is also a common cause of variable difference for the modelling tools and is denoted as “Look Up vs Interpolation</w:t>
      </w:r>
      <w:r w:rsidR="00D02ECB">
        <w:rPr>
          <w:noProof/>
        </w:rPr>
        <w:t xml:space="preserve"> (LUvI)</w:t>
      </w:r>
      <w:r w:rsidR="00BD2B14">
        <w:rPr>
          <w:noProof/>
        </w:rPr>
        <w:t xml:space="preserve">” </w:t>
      </w:r>
      <w:r w:rsidR="00BD2B14">
        <w:t>for referral throughout the remainder of the report.</w:t>
      </w:r>
      <w:r w:rsidR="00BD2B14">
        <w:rPr>
          <w:noProof/>
        </w:rPr>
        <w:t xml:space="preserve"> </w:t>
      </w:r>
      <w:r w:rsidR="00A97C6C">
        <w:rPr>
          <w:noProof/>
        </w:rPr>
        <w:t>Sometimes sudden shif</w:t>
      </w:r>
      <w:r w:rsidR="00FD3C32">
        <w:rPr>
          <w:noProof/>
        </w:rPr>
        <w:t>ts in elevation will occur</w:t>
      </w:r>
      <w:r w:rsidR="00A97C6C">
        <w:rPr>
          <w:noProof/>
        </w:rPr>
        <w:t xml:space="preserve"> as in </w:t>
      </w:r>
      <w:r w:rsidR="00D02ECB">
        <w:rPr>
          <w:noProof/>
        </w:rPr>
        <w:t>Plot A</w:t>
      </w:r>
      <w:r w:rsidR="00BD2B14">
        <w:rPr>
          <w:noProof/>
        </w:rPr>
        <w:t xml:space="preserve"> of</w:t>
      </w:r>
      <w:r w:rsidR="00A97C6C">
        <w:rPr>
          <w:noProof/>
        </w:rPr>
        <w:t xml:space="preserve"> Figure 7. This example is a result of flood control operations </w:t>
      </w:r>
      <w:r w:rsidR="00C737E9">
        <w:rPr>
          <w:noProof/>
        </w:rPr>
        <w:t>setting elevation and outflows</w:t>
      </w:r>
      <w:r w:rsidR="00FD3C32">
        <w:rPr>
          <w:noProof/>
        </w:rPr>
        <w:t>. O</w:t>
      </w:r>
      <w:r w:rsidR="00C737E9">
        <w:rPr>
          <w:noProof/>
        </w:rPr>
        <w:t>ther shifts may</w:t>
      </w:r>
      <w:r w:rsidR="00A97C6C">
        <w:rPr>
          <w:noProof/>
        </w:rPr>
        <w:t xml:space="preserve"> be explained by </w:t>
      </w:r>
      <w:r w:rsidR="00C737E9">
        <w:rPr>
          <w:noProof/>
        </w:rPr>
        <w:t xml:space="preserve">elevation dependent fill rates being triggered early. The general scattered </w:t>
      </w:r>
      <w:r w:rsidR="00FD3C32">
        <w:rPr>
          <w:noProof/>
        </w:rPr>
        <w:t>pattern</w:t>
      </w:r>
      <w:r w:rsidR="00C737E9">
        <w:rPr>
          <w:noProof/>
        </w:rPr>
        <w:t xml:space="preserve"> of the plot is attributed to slight precision differences in variables used to set the outflow or even the outflow itself (see </w:t>
      </w:r>
      <w:r w:rsidR="00BD2B14">
        <w:rPr>
          <w:noProof/>
        </w:rPr>
        <w:t>MCD</w:t>
      </w:r>
      <w:r w:rsidR="00C737E9">
        <w:rPr>
          <w:noProof/>
        </w:rPr>
        <w:t xml:space="preserve">). </w:t>
      </w:r>
      <w:r w:rsidR="00BD2B14">
        <w:rPr>
          <w:noProof/>
        </w:rPr>
        <w:t>The KROM UKL Pool Elevation</w:t>
      </w:r>
      <w:r w:rsidR="00C737E9">
        <w:rPr>
          <w:noProof/>
        </w:rPr>
        <w:t xml:space="preserve"> typically stay</w:t>
      </w:r>
      <w:r w:rsidR="00FD3C32">
        <w:rPr>
          <w:noProof/>
        </w:rPr>
        <w:t>s</w:t>
      </w:r>
      <w:r w:rsidR="00C737E9">
        <w:rPr>
          <w:noProof/>
        </w:rPr>
        <w:t xml:space="preserve"> within a hundreth above the IGD Calc’s elevation.</w:t>
      </w:r>
      <w:r w:rsidR="00FD3C32">
        <w:rPr>
          <w:noProof/>
        </w:rPr>
        <w:t xml:space="preserve"> </w:t>
      </w:r>
      <w:r w:rsidR="00F1529B">
        <w:rPr>
          <w:noProof/>
        </w:rPr>
        <w:t>The KROM</w:t>
      </w:r>
      <w:r w:rsidR="00FD3C32">
        <w:rPr>
          <w:noProof/>
        </w:rPr>
        <w:t xml:space="preserve"> maintain</w:t>
      </w:r>
      <w:r w:rsidR="00F1529B">
        <w:rPr>
          <w:noProof/>
        </w:rPr>
        <w:t>s</w:t>
      </w:r>
      <w:r w:rsidR="00FD3C32">
        <w:rPr>
          <w:noProof/>
        </w:rPr>
        <w:t xml:space="preserve"> this </w:t>
      </w:r>
      <w:r w:rsidR="00FD3C32" w:rsidRPr="00BD2B14">
        <w:rPr>
          <w:noProof/>
          <w:highlight w:val="yellow"/>
        </w:rPr>
        <w:t>accuracy</w:t>
      </w:r>
      <w:r w:rsidR="00FD3C32">
        <w:rPr>
          <w:noProof/>
        </w:rPr>
        <w:t xml:space="preserve"> since outflows are dependent on elevation and </w:t>
      </w:r>
      <w:r w:rsidR="00F1529B">
        <w:rPr>
          <w:noProof/>
        </w:rPr>
        <w:t xml:space="preserve">are </w:t>
      </w:r>
      <w:r w:rsidR="00FD3C32">
        <w:rPr>
          <w:noProof/>
        </w:rPr>
        <w:t>designed to keep elevation near a</w:t>
      </w:r>
      <w:r w:rsidR="00EA3E6C">
        <w:rPr>
          <w:noProof/>
        </w:rPr>
        <w:t>n idealized</w:t>
      </w:r>
      <w:r w:rsidR="00FD3C32">
        <w:rPr>
          <w:noProof/>
        </w:rPr>
        <w:t xml:space="preserve"> seasonal curve. Thus, once the elevation diverges too far, the out</w:t>
      </w:r>
      <w:r w:rsidR="00EA3E6C">
        <w:rPr>
          <w:noProof/>
        </w:rPr>
        <w:t>flow</w:t>
      </w:r>
      <w:r w:rsidR="00FD3C32">
        <w:rPr>
          <w:noProof/>
        </w:rPr>
        <w:t xml:space="preserve"> automatically</w:t>
      </w:r>
      <w:r w:rsidR="00EA3E6C">
        <w:rPr>
          <w:noProof/>
        </w:rPr>
        <w:t xml:space="preserve"> adjusts to shift</w:t>
      </w:r>
      <w:r w:rsidR="00F1529B">
        <w:rPr>
          <w:noProof/>
        </w:rPr>
        <w:t xml:space="preserve"> elevation</w:t>
      </w:r>
      <w:r w:rsidR="00FD3C32">
        <w:rPr>
          <w:noProof/>
        </w:rPr>
        <w:t xml:space="preserve"> towards the curve value. The KROM’s elevation tends to be</w:t>
      </w:r>
      <w:r w:rsidR="00C737E9">
        <w:rPr>
          <w:noProof/>
        </w:rPr>
        <w:t xml:space="preserve"> above as the IGD Calc </w:t>
      </w:r>
      <w:r w:rsidR="00FD3C32">
        <w:rPr>
          <w:noProof/>
        </w:rPr>
        <w:t>references the lower elevation with its “Look Up” function.</w:t>
      </w:r>
      <w:r w:rsidR="00C737E9">
        <w:rPr>
          <w:noProof/>
        </w:rPr>
        <w:t xml:space="preserve"> </w:t>
      </w:r>
    </w:p>
    <w:p w14:paraId="22BC8AA8" w14:textId="062675C8" w:rsidR="00EA3E6C" w:rsidRDefault="00EA3E6C" w:rsidP="00D339CB">
      <w:pPr>
        <w:pStyle w:val="Heading2"/>
      </w:pPr>
      <w:r>
        <w:t>Flood Release</w:t>
      </w:r>
    </w:p>
    <w:p w14:paraId="0C8135AD" w14:textId="57A83C3F" w:rsidR="00EA3E6C" w:rsidRDefault="00766787" w:rsidP="00EA3E6C">
      <w:pPr>
        <w:rPr>
          <w:noProof/>
        </w:rPr>
      </w:pPr>
      <w:r w:rsidRPr="00766787">
        <w:rPr>
          <w:noProof/>
        </w:rPr>
        <w:t xml:space="preserve"> </w:t>
      </w:r>
      <w:r w:rsidR="007D1D48">
        <w:rPr>
          <w:noProof/>
        </w:rPr>
        <w:drawing>
          <wp:inline distT="0" distB="0" distL="0" distR="0" wp14:anchorId="356D85B4" wp14:editId="7826EE5F">
            <wp:extent cx="2944368" cy="2103120"/>
            <wp:effectExtent l="0" t="0" r="8890" b="0"/>
            <wp:docPr id="47" name="Picture 47" descr="C:\Users\mifr1172\Downloads\Flood Release Dec1_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ifr1172\Downloads\Flood Release Dec1_201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44368" cy="2103120"/>
                    </a:xfrm>
                    <a:prstGeom prst="rect">
                      <a:avLst/>
                    </a:prstGeom>
                    <a:noFill/>
                    <a:ln>
                      <a:noFill/>
                    </a:ln>
                  </pic:spPr>
                </pic:pic>
              </a:graphicData>
            </a:graphic>
          </wp:inline>
        </w:drawing>
      </w:r>
      <w:r w:rsidR="007D1D48">
        <w:rPr>
          <w:noProof/>
        </w:rPr>
        <w:drawing>
          <wp:inline distT="0" distB="0" distL="0" distR="0" wp14:anchorId="57EFE870" wp14:editId="3F2840F5">
            <wp:extent cx="2944368" cy="2103120"/>
            <wp:effectExtent l="0" t="0" r="8890" b="0"/>
            <wp:docPr id="48" name="Picture 48" descr="C:\Users\mifr1172\Downloads\Flood Release Jun5_2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ifr1172\Downloads\Flood Release Jun5_2017.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44368" cy="2103120"/>
                    </a:xfrm>
                    <a:prstGeom prst="rect">
                      <a:avLst/>
                    </a:prstGeom>
                    <a:noFill/>
                    <a:ln>
                      <a:noFill/>
                    </a:ln>
                  </pic:spPr>
                </pic:pic>
              </a:graphicData>
            </a:graphic>
          </wp:inline>
        </w:drawing>
      </w:r>
    </w:p>
    <w:p w14:paraId="00BBE725" w14:textId="677F9A40" w:rsidR="00AB252C" w:rsidRDefault="00766787" w:rsidP="00EA3E6C">
      <w:r>
        <w:rPr>
          <w:noProof/>
        </w:rPr>
        <w:t>Figure 8.</w:t>
      </w:r>
      <w:r w:rsidR="00AB252C">
        <w:t xml:space="preserve"> KROM difference for the variable Flood Release. The plots are identified by “Operation start dates”. On the left is 12/01/2018 (</w:t>
      </w:r>
      <w:r w:rsidR="00D02ECB">
        <w:t>Plot A</w:t>
      </w:r>
      <w:r w:rsidR="00AB252C">
        <w:t>) and on the right is 06/05/2017 (</w:t>
      </w:r>
      <w:r w:rsidR="00D02ECB">
        <w:t>Plot B</w:t>
      </w:r>
      <w:r w:rsidR="00AB252C">
        <w:t>).</w:t>
      </w:r>
    </w:p>
    <w:p w14:paraId="4C036B98" w14:textId="09192693" w:rsidR="00B066F5" w:rsidRDefault="00D126DA" w:rsidP="00EA3E6C">
      <w:pPr>
        <w:rPr>
          <w:noProof/>
        </w:rPr>
      </w:pPr>
      <w:r w:rsidRPr="00317B7D">
        <w:rPr>
          <w:noProof/>
          <w:color w:val="FFC000" w:themeColor="accent4"/>
        </w:rPr>
        <w:t>In the scenario where flood control operations are iniated, the deviation between the KROM and IGD Calc will depend on one factor, the storage volume in Upper Klamath Lake</w:t>
      </w:r>
      <w:r w:rsidR="00DA5EA9" w:rsidRPr="00317B7D">
        <w:rPr>
          <w:noProof/>
          <w:color w:val="FFC000" w:themeColor="accent4"/>
        </w:rPr>
        <w:t xml:space="preserve"> (UKL)</w:t>
      </w:r>
      <w:r w:rsidRPr="00317B7D">
        <w:rPr>
          <w:noProof/>
          <w:color w:val="FFC000" w:themeColor="accent4"/>
        </w:rPr>
        <w:t>.</w:t>
      </w:r>
      <w:r w:rsidR="00F44832" w:rsidRPr="00317B7D">
        <w:rPr>
          <w:noProof/>
          <w:color w:val="FFC000" w:themeColor="accent4"/>
        </w:rPr>
        <w:t xml:space="preserve"> </w:t>
      </w:r>
      <w:r w:rsidR="00F44832">
        <w:rPr>
          <w:noProof/>
        </w:rPr>
        <w:t xml:space="preserve">When flood control operations are initated, the </w:t>
      </w:r>
      <w:r w:rsidR="00DA5EA9">
        <w:rPr>
          <w:noProof/>
        </w:rPr>
        <w:t>UKL</w:t>
      </w:r>
      <w:r w:rsidR="00F44832">
        <w:rPr>
          <w:noProof/>
        </w:rPr>
        <w:t xml:space="preserve"> is forced</w:t>
      </w:r>
      <w:r w:rsidR="00DA5EA9">
        <w:rPr>
          <w:noProof/>
        </w:rPr>
        <w:t xml:space="preserve"> to an elevation</w:t>
      </w:r>
      <w:r w:rsidR="002F2464">
        <w:rPr>
          <w:noProof/>
        </w:rPr>
        <w:t xml:space="preserve"> that averts the risk of</w:t>
      </w:r>
      <w:r w:rsidR="00DA5EA9">
        <w:rPr>
          <w:noProof/>
        </w:rPr>
        <w:t xml:space="preserve"> overtopping by</w:t>
      </w:r>
      <w:r w:rsidR="002F2464">
        <w:rPr>
          <w:noProof/>
        </w:rPr>
        <w:t xml:space="preserve"> releasing a calculated</w:t>
      </w:r>
      <w:r w:rsidR="00317B7D">
        <w:rPr>
          <w:noProof/>
        </w:rPr>
        <w:t xml:space="preserve"> volume</w:t>
      </w:r>
      <w:r w:rsidR="00DA5EA9">
        <w:rPr>
          <w:noProof/>
        </w:rPr>
        <w:t xml:space="preserve"> of water</w:t>
      </w:r>
      <w:r w:rsidR="00F44832">
        <w:rPr>
          <w:noProof/>
        </w:rPr>
        <w:t xml:space="preserve">. A release which is dependent on the </w:t>
      </w:r>
      <w:r w:rsidR="00B066F5">
        <w:rPr>
          <w:noProof/>
        </w:rPr>
        <w:t>mass balance of:</w:t>
      </w:r>
    </w:p>
    <w:p w14:paraId="76F53ABC" w14:textId="0CA5E9FF" w:rsidR="00F44832" w:rsidRDefault="00F44832" w:rsidP="00EA3E6C">
      <w:pPr>
        <w:rPr>
          <w:noProof/>
        </w:rPr>
      </w:pPr>
      <w:r>
        <w:rPr>
          <w:noProof/>
        </w:rPr>
        <w:t xml:space="preserve"> Inflows</w:t>
      </w:r>
      <w:r w:rsidR="00B066F5">
        <w:rPr>
          <w:noProof/>
        </w:rPr>
        <w:t xml:space="preserve"> (@”t”)</w:t>
      </w:r>
      <w:r>
        <w:rPr>
          <w:noProof/>
        </w:rPr>
        <w:t xml:space="preserve"> </w:t>
      </w:r>
      <w:r w:rsidR="00B066F5">
        <w:rPr>
          <w:noProof/>
        </w:rPr>
        <w:t xml:space="preserve">+ </w:t>
      </w:r>
      <w:r w:rsidR="002F2464">
        <w:rPr>
          <w:noProof/>
        </w:rPr>
        <w:t>Storage</w:t>
      </w:r>
      <w:r w:rsidR="00B066F5">
        <w:rPr>
          <w:noProof/>
        </w:rPr>
        <w:t xml:space="preserve"> (@”t-1”) – </w:t>
      </w:r>
      <w:r w:rsidR="002F2464">
        <w:rPr>
          <w:noProof/>
        </w:rPr>
        <w:t>Storage</w:t>
      </w:r>
      <w:r w:rsidR="00B066F5">
        <w:rPr>
          <w:noProof/>
        </w:rPr>
        <w:t xml:space="preserve"> (@”t”) – Diversions(@”t”) = Release(@”t”)</w:t>
      </w:r>
      <w:r w:rsidR="00317B7D">
        <w:rPr>
          <w:noProof/>
        </w:rPr>
        <w:t xml:space="preserve"> </w:t>
      </w:r>
      <w:r w:rsidR="00317B7D">
        <w:rPr>
          <w:noProof/>
        </w:rPr>
        <w:sym w:font="Wingdings" w:char="F0E0"/>
      </w:r>
      <w:r w:rsidR="00317B7D">
        <w:rPr>
          <w:noProof/>
        </w:rPr>
        <w:t xml:space="preserve"> vol to flow</w:t>
      </w:r>
    </w:p>
    <w:p w14:paraId="540E91F5" w14:textId="7433E7C9" w:rsidR="00AB252C" w:rsidRDefault="000459E0" w:rsidP="00AB252C">
      <w:pPr>
        <w:rPr>
          <w:noProof/>
        </w:rPr>
      </w:pPr>
      <w:r>
        <w:rPr>
          <w:noProof/>
        </w:rPr>
        <w:t xml:space="preserve">The @”t” symbod denote the occurance of a one day period. Thus @“t” is the current day and @“t-1” is the previous. The values above can either be in average flow for the day or the volume of flow delivered that day. In this context, volumes are used as this is the units used in both modelling tools. </w:t>
      </w:r>
    </w:p>
    <w:p w14:paraId="427D35B7" w14:textId="2AAA784C" w:rsidR="00EA3E6C" w:rsidRPr="00EA3E6C" w:rsidRDefault="00B066F5" w:rsidP="00EA3E6C">
      <w:pPr>
        <w:rPr>
          <w:noProof/>
        </w:rPr>
      </w:pPr>
      <w:r>
        <w:rPr>
          <w:noProof/>
        </w:rPr>
        <w:t>Of the variables abov</w:t>
      </w:r>
      <w:r w:rsidR="00DC44FB">
        <w:rPr>
          <w:noProof/>
        </w:rPr>
        <w:t xml:space="preserve">e, the inflows and new </w:t>
      </w:r>
      <w:r w:rsidR="005F37FD">
        <w:rPr>
          <w:noProof/>
        </w:rPr>
        <w:t>storages</w:t>
      </w:r>
      <w:r>
        <w:rPr>
          <w:noProof/>
        </w:rPr>
        <w:t xml:space="preserve"> are both referenced from tables </w:t>
      </w:r>
      <w:r w:rsidR="002F2464">
        <w:rPr>
          <w:noProof/>
        </w:rPr>
        <w:t>which</w:t>
      </w:r>
      <w:r>
        <w:rPr>
          <w:noProof/>
        </w:rPr>
        <w:t xml:space="preserve"> </w:t>
      </w:r>
      <w:r w:rsidR="002121F5">
        <w:rPr>
          <w:noProof/>
        </w:rPr>
        <w:t xml:space="preserve">are identical in </w:t>
      </w:r>
      <w:r w:rsidR="002D7041">
        <w:rPr>
          <w:noProof/>
        </w:rPr>
        <w:t>the</w:t>
      </w:r>
      <w:r w:rsidR="002121F5">
        <w:rPr>
          <w:noProof/>
        </w:rPr>
        <w:t xml:space="preserve"> model</w:t>
      </w:r>
      <w:r w:rsidR="002D7041">
        <w:rPr>
          <w:noProof/>
        </w:rPr>
        <w:t>s.</w:t>
      </w:r>
      <w:r w:rsidR="002121F5">
        <w:rPr>
          <w:noProof/>
        </w:rPr>
        <w:t xml:space="preserve"> In addition, </w:t>
      </w:r>
      <w:r w:rsidR="00317B7D">
        <w:rPr>
          <w:noProof/>
        </w:rPr>
        <w:t xml:space="preserve">the </w:t>
      </w:r>
      <w:r>
        <w:rPr>
          <w:noProof/>
        </w:rPr>
        <w:t>diversion (A Canal)</w:t>
      </w:r>
      <w:r w:rsidR="002F2464">
        <w:rPr>
          <w:noProof/>
        </w:rPr>
        <w:t xml:space="preserve"> is known to have a</w:t>
      </w:r>
      <w:r w:rsidR="00317B7D">
        <w:rPr>
          <w:noProof/>
        </w:rPr>
        <w:t xml:space="preserve"> </w:t>
      </w:r>
      <w:r w:rsidR="005F37FD">
        <w:rPr>
          <w:noProof/>
        </w:rPr>
        <w:t>slight</w:t>
      </w:r>
      <w:r w:rsidR="002F2464">
        <w:rPr>
          <w:noProof/>
        </w:rPr>
        <w:t xml:space="preserve"> </w:t>
      </w:r>
      <w:r w:rsidR="000459E0">
        <w:rPr>
          <w:noProof/>
        </w:rPr>
        <w:t>difference</w:t>
      </w:r>
      <w:r w:rsidR="002121F5">
        <w:rPr>
          <w:noProof/>
        </w:rPr>
        <w:t xml:space="preserve"> (see </w:t>
      </w:r>
      <w:r w:rsidR="000459E0">
        <w:rPr>
          <w:noProof/>
        </w:rPr>
        <w:t>the MCD</w:t>
      </w:r>
      <w:r w:rsidR="005F37FD">
        <w:rPr>
          <w:noProof/>
        </w:rPr>
        <w:t xml:space="preserve"> and A Canal Diversion</w:t>
      </w:r>
      <w:r w:rsidR="002F2464">
        <w:rPr>
          <w:noProof/>
        </w:rPr>
        <w:t>). Thus, leaving the</w:t>
      </w:r>
      <w:r w:rsidR="002D7041">
        <w:rPr>
          <w:noProof/>
        </w:rPr>
        <w:t xml:space="preserve"> primary</w:t>
      </w:r>
      <w:r w:rsidR="00317B7D">
        <w:rPr>
          <w:noProof/>
        </w:rPr>
        <w:t xml:space="preserve"> source of</w:t>
      </w:r>
      <w:r w:rsidR="002F2464">
        <w:rPr>
          <w:noProof/>
        </w:rPr>
        <w:t xml:space="preserve"> difference as the previous day’s storage</w:t>
      </w:r>
      <w:r w:rsidR="002121F5">
        <w:rPr>
          <w:noProof/>
        </w:rPr>
        <w:t xml:space="preserve"> (see Elevelation section). Figure 8 demonstrates the extent that the</w:t>
      </w:r>
      <w:r w:rsidR="00317B7D">
        <w:rPr>
          <w:noProof/>
        </w:rPr>
        <w:t xml:space="preserve"> flood</w:t>
      </w:r>
      <w:r w:rsidR="002121F5">
        <w:rPr>
          <w:noProof/>
        </w:rPr>
        <w:t xml:space="preserve"> release is affected. On </w:t>
      </w:r>
      <w:r w:rsidR="00D02ECB">
        <w:rPr>
          <w:noProof/>
        </w:rPr>
        <w:t>Plot A</w:t>
      </w:r>
      <w:r w:rsidR="002121F5">
        <w:rPr>
          <w:noProof/>
        </w:rPr>
        <w:t>, the previous day’</w:t>
      </w:r>
      <w:r w:rsidR="00317B7D">
        <w:rPr>
          <w:noProof/>
        </w:rPr>
        <w:t xml:space="preserve">s </w:t>
      </w:r>
      <w:r w:rsidR="00DC44FB">
        <w:rPr>
          <w:noProof/>
        </w:rPr>
        <w:t xml:space="preserve">volumes </w:t>
      </w:r>
      <w:r w:rsidR="00317B7D">
        <w:rPr>
          <w:noProof/>
        </w:rPr>
        <w:t>are near identical</w:t>
      </w:r>
      <w:r w:rsidR="0076539B">
        <w:rPr>
          <w:noProof/>
        </w:rPr>
        <w:t xml:space="preserve"> an</w:t>
      </w:r>
      <w:r w:rsidR="00F1529B">
        <w:rPr>
          <w:noProof/>
        </w:rPr>
        <w:t xml:space="preserve">d </w:t>
      </w:r>
      <w:r w:rsidR="002121F5">
        <w:rPr>
          <w:noProof/>
        </w:rPr>
        <w:t>the re</w:t>
      </w:r>
      <w:r w:rsidR="00317B7D">
        <w:rPr>
          <w:noProof/>
        </w:rPr>
        <w:t>lease for flooding never excedes</w:t>
      </w:r>
      <w:r w:rsidR="002121F5">
        <w:rPr>
          <w:noProof/>
        </w:rPr>
        <w:t xml:space="preserve"> a d</w:t>
      </w:r>
      <w:r w:rsidR="005F37FD">
        <w:rPr>
          <w:noProof/>
        </w:rPr>
        <w:t>ifference</w:t>
      </w:r>
      <w:r w:rsidR="002121F5">
        <w:rPr>
          <w:noProof/>
        </w:rPr>
        <w:t xml:space="preserve"> above 1 cfs. D</w:t>
      </w:r>
      <w:r w:rsidR="005F37FD">
        <w:rPr>
          <w:noProof/>
        </w:rPr>
        <w:t>ifference</w:t>
      </w:r>
      <w:r w:rsidR="002D7041">
        <w:rPr>
          <w:noProof/>
        </w:rPr>
        <w:t>s</w:t>
      </w:r>
      <w:r w:rsidR="002121F5">
        <w:rPr>
          <w:noProof/>
        </w:rPr>
        <w:t xml:space="preserve"> </w:t>
      </w:r>
      <w:r w:rsidR="005F37FD">
        <w:rPr>
          <w:noProof/>
        </w:rPr>
        <w:t>noticed in</w:t>
      </w:r>
      <w:r w:rsidR="002121F5">
        <w:rPr>
          <w:noProof/>
        </w:rPr>
        <w:t xml:space="preserve"> this run </w:t>
      </w:r>
      <w:r w:rsidR="00317B7D">
        <w:rPr>
          <w:noProof/>
        </w:rPr>
        <w:t>are</w:t>
      </w:r>
      <w:r w:rsidR="002121F5">
        <w:rPr>
          <w:noProof/>
        </w:rPr>
        <w:t xml:space="preserve"> caused by </w:t>
      </w:r>
      <w:r w:rsidR="00317B7D">
        <w:rPr>
          <w:noProof/>
        </w:rPr>
        <w:t>A Canal D</w:t>
      </w:r>
      <w:r w:rsidR="002121F5">
        <w:rPr>
          <w:noProof/>
        </w:rPr>
        <w:t xml:space="preserve">iversion </w:t>
      </w:r>
      <w:r w:rsidR="00DC44FB">
        <w:rPr>
          <w:noProof/>
        </w:rPr>
        <w:t>and</w:t>
      </w:r>
      <w:r w:rsidR="00317B7D">
        <w:rPr>
          <w:noProof/>
        </w:rPr>
        <w:t xml:space="preserve"> UKL Inflow</w:t>
      </w:r>
      <w:r w:rsidR="005F37FD">
        <w:rPr>
          <w:noProof/>
        </w:rPr>
        <w:t xml:space="preserve"> (product of the MCD)</w:t>
      </w:r>
      <w:r w:rsidR="002121F5">
        <w:rPr>
          <w:noProof/>
        </w:rPr>
        <w:t xml:space="preserve">. On </w:t>
      </w:r>
      <w:r w:rsidR="00D02ECB">
        <w:rPr>
          <w:noProof/>
        </w:rPr>
        <w:t>Plot B</w:t>
      </w:r>
      <w:r w:rsidR="002121F5">
        <w:rPr>
          <w:noProof/>
        </w:rPr>
        <w:t>, the previous day</w:t>
      </w:r>
      <w:r w:rsidR="00151C12">
        <w:rPr>
          <w:noProof/>
        </w:rPr>
        <w:t>’</w:t>
      </w:r>
      <w:r w:rsidR="00DC44FB">
        <w:rPr>
          <w:noProof/>
        </w:rPr>
        <w:t xml:space="preserve">s </w:t>
      </w:r>
      <w:r w:rsidR="005F37FD">
        <w:rPr>
          <w:noProof/>
        </w:rPr>
        <w:t>storage</w:t>
      </w:r>
      <w:r w:rsidR="002121F5">
        <w:rPr>
          <w:noProof/>
        </w:rPr>
        <w:t xml:space="preserve"> </w:t>
      </w:r>
      <w:r w:rsidR="00317B7D">
        <w:rPr>
          <w:noProof/>
        </w:rPr>
        <w:t xml:space="preserve">differed by approximately </w:t>
      </w:r>
      <w:r w:rsidR="00151C12">
        <w:rPr>
          <w:noProof/>
        </w:rPr>
        <w:t xml:space="preserve">700 </w:t>
      </w:r>
      <w:r w:rsidR="00DC44FB">
        <w:rPr>
          <w:noProof/>
        </w:rPr>
        <w:t>acre-feet</w:t>
      </w:r>
      <w:r w:rsidR="00BD22EC">
        <w:rPr>
          <w:noProof/>
        </w:rPr>
        <w:t xml:space="preserve"> </w:t>
      </w:r>
      <w:r w:rsidR="0076539B">
        <w:rPr>
          <w:noProof/>
        </w:rPr>
        <w:t xml:space="preserve">and </w:t>
      </w:r>
      <w:r w:rsidR="00DC44FB">
        <w:rPr>
          <w:noProof/>
        </w:rPr>
        <w:t xml:space="preserve">releases are </w:t>
      </w:r>
      <w:r w:rsidR="00DC44FB" w:rsidRPr="0076539B">
        <w:rPr>
          <w:noProof/>
        </w:rPr>
        <w:t>off up to ~ 350 cfs</w:t>
      </w:r>
      <w:r w:rsidR="00BD22EC">
        <w:rPr>
          <w:noProof/>
        </w:rPr>
        <w:t xml:space="preserve"> f</w:t>
      </w:r>
      <w:r w:rsidR="00DC44FB">
        <w:rPr>
          <w:noProof/>
        </w:rPr>
        <w:t>or two days to reach an equivalent flood elevation level. If the difference was made up in one day, the release would have resulted in flooding downstream. Logic in the flood control operations prevents that to a certain extent.</w:t>
      </w:r>
    </w:p>
    <w:p w14:paraId="100C422F" w14:textId="02AB2D54" w:rsidR="00206367" w:rsidRDefault="00206367" w:rsidP="00206367">
      <w:pPr>
        <w:pStyle w:val="Heading2"/>
      </w:pPr>
      <w:r>
        <w:t>EWA Used and Remain</w:t>
      </w:r>
    </w:p>
    <w:p w14:paraId="7BF6AC34" w14:textId="5F474A78" w:rsidR="00206367" w:rsidRDefault="00687A3F" w:rsidP="00206367">
      <w:pPr>
        <w:rPr>
          <w:noProof/>
        </w:rPr>
      </w:pPr>
      <w:r>
        <w:rPr>
          <w:noProof/>
        </w:rPr>
        <w:drawing>
          <wp:inline distT="0" distB="0" distL="0" distR="0" wp14:anchorId="5A071762" wp14:editId="3C870B26">
            <wp:extent cx="2944368" cy="2103120"/>
            <wp:effectExtent l="0" t="0" r="8890" b="0"/>
            <wp:docPr id="49" name="Picture 49" descr="C:\Users\mifr1172\Downloads\EWA Used Mar1_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ifr1172\Downloads\EWA Used Mar1_2019.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944368" cy="2103120"/>
                    </a:xfrm>
                    <a:prstGeom prst="rect">
                      <a:avLst/>
                    </a:prstGeom>
                    <a:noFill/>
                    <a:ln>
                      <a:noFill/>
                    </a:ln>
                  </pic:spPr>
                </pic:pic>
              </a:graphicData>
            </a:graphic>
          </wp:inline>
        </w:drawing>
      </w:r>
      <w:r>
        <w:rPr>
          <w:noProof/>
        </w:rPr>
        <w:drawing>
          <wp:inline distT="0" distB="0" distL="0" distR="0" wp14:anchorId="460975E0" wp14:editId="27FCD4BE">
            <wp:extent cx="2944368" cy="2103120"/>
            <wp:effectExtent l="0" t="0" r="8890" b="0"/>
            <wp:docPr id="50" name="Picture 50" descr="C:\Users\mifr1172\Downloads\EWA Used May5_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ifr1172\Downloads\EWA Used May5_2018.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44368" cy="2103120"/>
                    </a:xfrm>
                    <a:prstGeom prst="rect">
                      <a:avLst/>
                    </a:prstGeom>
                    <a:noFill/>
                    <a:ln>
                      <a:noFill/>
                    </a:ln>
                  </pic:spPr>
                </pic:pic>
              </a:graphicData>
            </a:graphic>
          </wp:inline>
        </w:drawing>
      </w:r>
    </w:p>
    <w:p w14:paraId="6A14317E" w14:textId="6BE0CBAD" w:rsidR="00AB252C" w:rsidRDefault="00AB252C" w:rsidP="00206367">
      <w:r>
        <w:rPr>
          <w:noProof/>
        </w:rPr>
        <w:t>Figure 9.</w:t>
      </w:r>
      <w:r>
        <w:t xml:space="preserve"> KROM difference for the variable EWA Used. The plots are identified by “Operation start dates”. On the left is 03/01/2019 (</w:t>
      </w:r>
      <w:r w:rsidR="00D02ECB">
        <w:t>Plot A</w:t>
      </w:r>
      <w:r>
        <w:t>) and on the right is 05/05/2018 (</w:t>
      </w:r>
      <w:r w:rsidR="00D02ECB">
        <w:t>Plot B</w:t>
      </w:r>
      <w:r>
        <w:t>).</w:t>
      </w:r>
    </w:p>
    <w:p w14:paraId="7E11C5D4" w14:textId="7483DD6D" w:rsidR="003A2782" w:rsidRDefault="005A56F3" w:rsidP="00206367">
      <w:pPr>
        <w:rPr>
          <w:noProof/>
        </w:rPr>
      </w:pPr>
      <w:r>
        <w:rPr>
          <w:noProof/>
        </w:rPr>
        <w:t>The variable EWA Used is a sum of all the releases from UKL for environmental purpos</w:t>
      </w:r>
      <w:r w:rsidR="00150C31">
        <w:rPr>
          <w:noProof/>
        </w:rPr>
        <w:t>es</w:t>
      </w:r>
      <w:r>
        <w:rPr>
          <w:noProof/>
        </w:rPr>
        <w:t xml:space="preserve">. </w:t>
      </w:r>
      <w:r w:rsidR="002458E8">
        <w:rPr>
          <w:noProof/>
        </w:rPr>
        <w:t xml:space="preserve">Thus, releases for </w:t>
      </w:r>
      <w:r w:rsidR="00CC1CB7">
        <w:rPr>
          <w:noProof/>
        </w:rPr>
        <w:t>IGD</w:t>
      </w:r>
      <w:r w:rsidR="002458E8">
        <w:rPr>
          <w:noProof/>
        </w:rPr>
        <w:t xml:space="preserve">, flooding, minimum river flows, and ramping all contribute to this volume. </w:t>
      </w:r>
      <w:r w:rsidR="003F1C54">
        <w:rPr>
          <w:noProof/>
        </w:rPr>
        <w:t xml:space="preserve">Analyzing </w:t>
      </w:r>
      <w:r w:rsidR="00D02ECB">
        <w:rPr>
          <w:noProof/>
        </w:rPr>
        <w:t>Plot A</w:t>
      </w:r>
      <w:r w:rsidR="003F1C54">
        <w:rPr>
          <w:noProof/>
        </w:rPr>
        <w:t xml:space="preserve"> of Figure 9, </w:t>
      </w:r>
      <w:r w:rsidR="00FA41FA">
        <w:rPr>
          <w:noProof/>
        </w:rPr>
        <w:t>the</w:t>
      </w:r>
      <w:r w:rsidR="003F1C54">
        <w:rPr>
          <w:noProof/>
        </w:rPr>
        <w:t xml:space="preserve"> KROM</w:t>
      </w:r>
      <w:r w:rsidR="00FA41FA">
        <w:rPr>
          <w:noProof/>
        </w:rPr>
        <w:t>’s value tends to keep</w:t>
      </w:r>
      <w:r w:rsidR="003F1C54">
        <w:rPr>
          <w:noProof/>
        </w:rPr>
        <w:t xml:space="preserve"> near the IGD </w:t>
      </w:r>
      <w:r w:rsidR="00FA41FA">
        <w:rPr>
          <w:noProof/>
        </w:rPr>
        <w:t>Calc’s</w:t>
      </w:r>
      <w:r w:rsidR="003F1C54">
        <w:rPr>
          <w:noProof/>
        </w:rPr>
        <w:t xml:space="preserve">. Near is a relative term as the EWA Used </w:t>
      </w:r>
      <w:r w:rsidR="00CC1CB7">
        <w:rPr>
          <w:noProof/>
        </w:rPr>
        <w:t>volume</w:t>
      </w:r>
      <w:r w:rsidR="003F1C54">
        <w:rPr>
          <w:noProof/>
        </w:rPr>
        <w:t xml:space="preserve"> grows to upwards of 500,000 acre-feet, making a d</w:t>
      </w:r>
      <w:r w:rsidR="006619DF">
        <w:rPr>
          <w:noProof/>
        </w:rPr>
        <w:t>ifference</w:t>
      </w:r>
      <w:r w:rsidR="003F1C54">
        <w:rPr>
          <w:noProof/>
        </w:rPr>
        <w:t xml:space="preserve"> of 50 acre-feet insign</w:t>
      </w:r>
      <w:r w:rsidR="00CC1CB7">
        <w:rPr>
          <w:noProof/>
        </w:rPr>
        <w:t xml:space="preserve">ificant. </w:t>
      </w:r>
      <w:r w:rsidR="00D02ECB">
        <w:rPr>
          <w:noProof/>
        </w:rPr>
        <w:t>The</w:t>
      </w:r>
      <w:r w:rsidR="006619DF">
        <w:rPr>
          <w:noProof/>
        </w:rPr>
        <w:t xml:space="preserve"> </w:t>
      </w:r>
      <w:r w:rsidR="00D02ECB">
        <w:rPr>
          <w:noProof/>
        </w:rPr>
        <w:t>Plot A</w:t>
      </w:r>
      <w:r w:rsidR="00CC1CB7">
        <w:rPr>
          <w:noProof/>
        </w:rPr>
        <w:t xml:space="preserve"> run keeps close for a</w:t>
      </w:r>
      <w:r w:rsidR="003F1C54">
        <w:rPr>
          <w:noProof/>
        </w:rPr>
        <w:t xml:space="preserve"> couple </w:t>
      </w:r>
      <w:r w:rsidR="00CC1CB7">
        <w:rPr>
          <w:noProof/>
        </w:rPr>
        <w:t>of reasons</w:t>
      </w:r>
      <w:r w:rsidR="003F1C54">
        <w:rPr>
          <w:noProof/>
        </w:rPr>
        <w:t xml:space="preserve">. First, no flood operations </w:t>
      </w:r>
      <w:r w:rsidR="00CC1CB7">
        <w:rPr>
          <w:noProof/>
        </w:rPr>
        <w:t>occur</w:t>
      </w:r>
      <w:r w:rsidR="003F1C54">
        <w:rPr>
          <w:noProof/>
        </w:rPr>
        <w:t xml:space="preserve"> during this run. Second, the Spring Fill Rate is active </w:t>
      </w:r>
      <w:r w:rsidR="00D02ECB">
        <w:rPr>
          <w:noProof/>
        </w:rPr>
        <w:t>on the same timesteps</w:t>
      </w:r>
      <w:r w:rsidR="003F1C54">
        <w:rPr>
          <w:noProof/>
        </w:rPr>
        <w:t xml:space="preserve"> as the IGD Calc.</w:t>
      </w:r>
      <w:r w:rsidR="006619DF">
        <w:rPr>
          <w:noProof/>
        </w:rPr>
        <w:t xml:space="preserve"> </w:t>
      </w:r>
      <w:r w:rsidR="003F1C54">
        <w:rPr>
          <w:noProof/>
        </w:rPr>
        <w:t>The</w:t>
      </w:r>
      <w:r w:rsidR="002E70B8">
        <w:rPr>
          <w:noProof/>
        </w:rPr>
        <w:t>refore, the</w:t>
      </w:r>
      <w:r w:rsidR="003F1C54">
        <w:rPr>
          <w:noProof/>
        </w:rPr>
        <w:t xml:space="preserve"> influence</w:t>
      </w:r>
      <w:r w:rsidR="006619DF">
        <w:rPr>
          <w:noProof/>
        </w:rPr>
        <w:t xml:space="preserve"> driving</w:t>
      </w:r>
      <w:r w:rsidR="003F1C54">
        <w:rPr>
          <w:noProof/>
        </w:rPr>
        <w:t xml:space="preserve"> variation between the models is the Spring Fill Rate</w:t>
      </w:r>
      <w:r w:rsidR="006619DF">
        <w:rPr>
          <w:noProof/>
        </w:rPr>
        <w:t>’s value</w:t>
      </w:r>
      <w:r w:rsidR="003F1C54">
        <w:rPr>
          <w:noProof/>
        </w:rPr>
        <w:t>. This value is calculated a</w:t>
      </w:r>
      <w:r w:rsidR="00CC1CB7">
        <w:rPr>
          <w:noProof/>
        </w:rPr>
        <w:t>s</w:t>
      </w:r>
      <w:r w:rsidR="003F1C54">
        <w:rPr>
          <w:noProof/>
        </w:rPr>
        <w:t xml:space="preserve"> ratio of the current day’s elevation over </w:t>
      </w:r>
      <w:r w:rsidR="00474986">
        <w:rPr>
          <w:noProof/>
        </w:rPr>
        <w:t xml:space="preserve">the target elevation when a max elevation hasn’t been established for six days or the </w:t>
      </w:r>
      <w:r w:rsidR="00D02ECB">
        <w:rPr>
          <w:noProof/>
        </w:rPr>
        <w:t>date</w:t>
      </w:r>
      <w:r w:rsidR="00474986">
        <w:rPr>
          <w:noProof/>
        </w:rPr>
        <w:t xml:space="preserve"> falls after June 1</w:t>
      </w:r>
      <w:r w:rsidR="00474986" w:rsidRPr="00474986">
        <w:rPr>
          <w:noProof/>
          <w:vertAlign w:val="superscript"/>
        </w:rPr>
        <w:t>st</w:t>
      </w:r>
      <w:r w:rsidR="00474986">
        <w:rPr>
          <w:noProof/>
        </w:rPr>
        <w:t xml:space="preserve">. Since </w:t>
      </w:r>
      <w:r w:rsidR="008F474C">
        <w:rPr>
          <w:noProof/>
        </w:rPr>
        <w:t>its</w:t>
      </w:r>
      <w:r w:rsidR="00474986">
        <w:rPr>
          <w:noProof/>
        </w:rPr>
        <w:t xml:space="preserve"> established that elevation varies</w:t>
      </w:r>
      <w:r w:rsidR="00D02ECB">
        <w:rPr>
          <w:noProof/>
        </w:rPr>
        <w:t xml:space="preserve"> (see LUvI)</w:t>
      </w:r>
      <w:r w:rsidR="00474986">
        <w:rPr>
          <w:noProof/>
        </w:rPr>
        <w:t xml:space="preserve"> in both the observed and predicted period</w:t>
      </w:r>
      <w:r w:rsidR="00FA41FA">
        <w:rPr>
          <w:noProof/>
        </w:rPr>
        <w:t>s</w:t>
      </w:r>
      <w:r w:rsidR="00474986">
        <w:rPr>
          <w:noProof/>
        </w:rPr>
        <w:t xml:space="preserve">, this ratio expectedly differs and influences an over or under release from UKL. </w:t>
      </w:r>
      <w:r w:rsidR="00474986" w:rsidRPr="002E70B8">
        <w:rPr>
          <w:noProof/>
          <w:highlight w:val="yellow"/>
        </w:rPr>
        <w:t>As a sum of these releases, the EWA Used volume d</w:t>
      </w:r>
      <w:r w:rsidR="006619DF" w:rsidRPr="002E70B8">
        <w:rPr>
          <w:noProof/>
          <w:highlight w:val="yellow"/>
        </w:rPr>
        <w:t>iffers</w:t>
      </w:r>
      <w:r w:rsidR="00474986" w:rsidRPr="002E70B8">
        <w:rPr>
          <w:noProof/>
          <w:highlight w:val="yellow"/>
        </w:rPr>
        <w:t xml:space="preserve"> as well.</w:t>
      </w:r>
      <w:r w:rsidR="00474986">
        <w:rPr>
          <w:noProof/>
        </w:rPr>
        <w:t xml:space="preserve"> </w:t>
      </w:r>
      <w:r w:rsidR="006619DF">
        <w:rPr>
          <w:noProof/>
        </w:rPr>
        <w:t>In</w:t>
      </w:r>
      <w:r w:rsidR="00474986">
        <w:rPr>
          <w:noProof/>
        </w:rPr>
        <w:t xml:space="preserve"> the</w:t>
      </w:r>
      <w:r w:rsidR="006619DF">
        <w:rPr>
          <w:noProof/>
        </w:rPr>
        <w:t xml:space="preserve"> </w:t>
      </w:r>
      <w:r w:rsidR="00D02ECB">
        <w:rPr>
          <w:noProof/>
        </w:rPr>
        <w:t>Plot B</w:t>
      </w:r>
      <w:r w:rsidR="00474986">
        <w:rPr>
          <w:noProof/>
        </w:rPr>
        <w:t xml:space="preserve"> run, both flooding and</w:t>
      </w:r>
      <w:r w:rsidR="00C52293">
        <w:rPr>
          <w:noProof/>
        </w:rPr>
        <w:t xml:space="preserve"> late deactivation of the Spring Fill Rate occur. </w:t>
      </w:r>
      <w:r w:rsidR="00474986">
        <w:rPr>
          <w:noProof/>
        </w:rPr>
        <w:t xml:space="preserve"> </w:t>
      </w:r>
      <w:r w:rsidR="00C52293">
        <w:rPr>
          <w:noProof/>
        </w:rPr>
        <w:t>T</w:t>
      </w:r>
      <w:r w:rsidR="00900418">
        <w:rPr>
          <w:noProof/>
        </w:rPr>
        <w:t>he d</w:t>
      </w:r>
      <w:r w:rsidR="006619DF">
        <w:rPr>
          <w:noProof/>
        </w:rPr>
        <w:t>ifference</w:t>
      </w:r>
      <w:r w:rsidR="00900418">
        <w:rPr>
          <w:noProof/>
        </w:rPr>
        <w:t xml:space="preserve"> in 2018 is caused by the KROM’s Spring Fill Rate </w:t>
      </w:r>
      <w:r w:rsidR="008F474C">
        <w:rPr>
          <w:noProof/>
        </w:rPr>
        <w:t>activating</w:t>
      </w:r>
      <w:r w:rsidR="00900418">
        <w:rPr>
          <w:noProof/>
        </w:rPr>
        <w:t xml:space="preserve"> longer than the IGD Calc’</w:t>
      </w:r>
      <w:r w:rsidR="00FA41FA">
        <w:rPr>
          <w:noProof/>
        </w:rPr>
        <w:t xml:space="preserve">s. This </w:t>
      </w:r>
      <w:r w:rsidR="00900418">
        <w:rPr>
          <w:noProof/>
        </w:rPr>
        <w:t>r</w:t>
      </w:r>
      <w:r w:rsidR="00FA41FA">
        <w:rPr>
          <w:noProof/>
        </w:rPr>
        <w:t>educes the</w:t>
      </w:r>
      <w:r w:rsidR="00900418">
        <w:rPr>
          <w:noProof/>
        </w:rPr>
        <w:t xml:space="preserve"> release from UKL for IGD by ~ 80 cfs and</w:t>
      </w:r>
      <w:r w:rsidR="00FA41FA">
        <w:rPr>
          <w:noProof/>
        </w:rPr>
        <w:t xml:space="preserve"> causes</w:t>
      </w:r>
      <w:r w:rsidR="00900418">
        <w:rPr>
          <w:noProof/>
        </w:rPr>
        <w:t xml:space="preserve"> a corresponding ~ 160 acre-ft deficit in EWA Used. </w:t>
      </w:r>
      <w:r w:rsidR="00FA41FA">
        <w:rPr>
          <w:noProof/>
        </w:rPr>
        <w:t>In 2019, the deficit is</w:t>
      </w:r>
      <w:r w:rsidR="00900418">
        <w:rPr>
          <w:noProof/>
        </w:rPr>
        <w:t xml:space="preserve"> caused by a difference in flood release between the model</w:t>
      </w:r>
      <w:r w:rsidR="00FA41FA">
        <w:rPr>
          <w:noProof/>
        </w:rPr>
        <w:t>s</w:t>
      </w:r>
      <w:r w:rsidR="00900418">
        <w:rPr>
          <w:noProof/>
        </w:rPr>
        <w:t xml:space="preserve">. Since the KROM </w:t>
      </w:r>
      <w:r w:rsidR="00FA41FA">
        <w:rPr>
          <w:noProof/>
        </w:rPr>
        <w:t>is at a</w:t>
      </w:r>
      <w:r w:rsidR="00900418">
        <w:rPr>
          <w:noProof/>
        </w:rPr>
        <w:t xml:space="preserve"> closer elevation to the desired level</w:t>
      </w:r>
      <w:r w:rsidR="00FA41FA">
        <w:rPr>
          <w:noProof/>
        </w:rPr>
        <w:t xml:space="preserve"> when flood operation</w:t>
      </w:r>
      <w:r w:rsidR="008F474C">
        <w:rPr>
          <w:noProof/>
        </w:rPr>
        <w:t>s</w:t>
      </w:r>
      <w:r w:rsidR="00FA41FA">
        <w:rPr>
          <w:noProof/>
        </w:rPr>
        <w:t xml:space="preserve"> begin, it releases</w:t>
      </w:r>
      <w:r w:rsidR="00900418">
        <w:rPr>
          <w:noProof/>
        </w:rPr>
        <w:t xml:space="preserve"> less water than the IGD Calc. This </w:t>
      </w:r>
      <w:r w:rsidR="00FA41FA">
        <w:rPr>
          <w:noProof/>
        </w:rPr>
        <w:t xml:space="preserve">~ 60 cfs reduction in flow leads to a ~120 acre-ft defecit in the EWA Used volume. </w:t>
      </w:r>
      <w:r w:rsidR="00150C31">
        <w:rPr>
          <w:noProof/>
        </w:rPr>
        <w:t xml:space="preserve">Additionally, </w:t>
      </w:r>
      <w:r w:rsidR="00CC1CB7">
        <w:rPr>
          <w:noProof/>
        </w:rPr>
        <w:t>the KROM’s EWA Used</w:t>
      </w:r>
      <w:r w:rsidR="00150C31">
        <w:rPr>
          <w:noProof/>
        </w:rPr>
        <w:t xml:space="preserve"> volume</w:t>
      </w:r>
      <w:r w:rsidR="00CC1CB7">
        <w:rPr>
          <w:noProof/>
        </w:rPr>
        <w:t xml:space="preserve"> </w:t>
      </w:r>
      <w:r w:rsidR="00150C31">
        <w:rPr>
          <w:noProof/>
        </w:rPr>
        <w:t>appears to</w:t>
      </w:r>
      <w:r w:rsidR="00D02ECB">
        <w:rPr>
          <w:noProof/>
        </w:rPr>
        <w:t xml:space="preserve"> exhibit a</w:t>
      </w:r>
      <w:r w:rsidR="00CC1CB7">
        <w:rPr>
          <w:noProof/>
        </w:rPr>
        <w:t xml:space="preserve"> </w:t>
      </w:r>
      <w:r w:rsidR="00150C31">
        <w:rPr>
          <w:noProof/>
        </w:rPr>
        <w:t>trend</w:t>
      </w:r>
      <w:r w:rsidR="00CC1CB7">
        <w:rPr>
          <w:noProof/>
        </w:rPr>
        <w:t xml:space="preserve"> </w:t>
      </w:r>
      <w:r w:rsidR="00D02ECB">
        <w:rPr>
          <w:noProof/>
        </w:rPr>
        <w:t>of drifting back</w:t>
      </w:r>
      <w:r w:rsidR="00CC1CB7">
        <w:rPr>
          <w:noProof/>
        </w:rPr>
        <w:t xml:space="preserve"> towards the IGD Calc’s</w:t>
      </w:r>
      <w:r w:rsidR="00D02ECB">
        <w:rPr>
          <w:noProof/>
        </w:rPr>
        <w:t xml:space="preserve"> EWA Used volume</w:t>
      </w:r>
      <w:r w:rsidR="00CC1CB7">
        <w:rPr>
          <w:noProof/>
        </w:rPr>
        <w:t xml:space="preserve">. This </w:t>
      </w:r>
      <w:r w:rsidR="00150C31">
        <w:rPr>
          <w:noProof/>
        </w:rPr>
        <w:t>occurs</w:t>
      </w:r>
      <w:r w:rsidR="00CC1CB7">
        <w:rPr>
          <w:noProof/>
        </w:rPr>
        <w:t xml:space="preserve"> </w:t>
      </w:r>
      <w:r w:rsidR="00150C31">
        <w:rPr>
          <w:noProof/>
        </w:rPr>
        <w:t>as</w:t>
      </w:r>
      <w:r w:rsidR="00CC1CB7">
        <w:rPr>
          <w:noProof/>
        </w:rPr>
        <w:t xml:space="preserve"> the EWA Used is</w:t>
      </w:r>
      <w:r w:rsidR="002E70B8">
        <w:rPr>
          <w:noProof/>
        </w:rPr>
        <w:t xml:space="preserve"> designed</w:t>
      </w:r>
      <w:r w:rsidR="00CC1CB7">
        <w:rPr>
          <w:noProof/>
        </w:rPr>
        <w:t xml:space="preserve"> to sum to </w:t>
      </w:r>
      <w:r w:rsidR="002E70B8">
        <w:rPr>
          <w:noProof/>
        </w:rPr>
        <w:t>a</w:t>
      </w:r>
      <w:r w:rsidR="00CC1CB7">
        <w:rPr>
          <w:noProof/>
        </w:rPr>
        <w:t xml:space="preserve"> total volume alotted for the year. The total volume being the Environmental Water Account or EWA. Thus, the rate will adjust to empty the EWA over the Spring-Summer</w:t>
      </w:r>
      <w:r w:rsidR="008F474C">
        <w:rPr>
          <w:noProof/>
        </w:rPr>
        <w:t xml:space="preserve"> season which </w:t>
      </w:r>
      <w:r w:rsidR="002E70B8">
        <w:rPr>
          <w:noProof/>
        </w:rPr>
        <w:t>causes</w:t>
      </w:r>
      <w:r w:rsidR="00150C31">
        <w:rPr>
          <w:noProof/>
        </w:rPr>
        <w:t xml:space="preserve"> the</w:t>
      </w:r>
      <w:r w:rsidR="008F474C">
        <w:rPr>
          <w:noProof/>
        </w:rPr>
        <w:t xml:space="preserve"> models’</w:t>
      </w:r>
      <w:r w:rsidR="00CC1CB7">
        <w:rPr>
          <w:noProof/>
        </w:rPr>
        <w:t xml:space="preserve"> EWA Used volume</w:t>
      </w:r>
      <w:r w:rsidR="002E70B8">
        <w:rPr>
          <w:noProof/>
        </w:rPr>
        <w:t xml:space="preserve"> to</w:t>
      </w:r>
      <w:r w:rsidR="00CC1CB7">
        <w:rPr>
          <w:noProof/>
        </w:rPr>
        <w:t xml:space="preserve"> converg</w:t>
      </w:r>
      <w:r w:rsidR="002E70B8">
        <w:rPr>
          <w:noProof/>
        </w:rPr>
        <w:t>e</w:t>
      </w:r>
      <w:r w:rsidR="00CC1CB7">
        <w:rPr>
          <w:noProof/>
        </w:rPr>
        <w:t>.</w:t>
      </w:r>
    </w:p>
    <w:p w14:paraId="0DE7C046" w14:textId="4F573351" w:rsidR="008F474C" w:rsidRDefault="004D6ADF" w:rsidP="00206367">
      <w:pPr>
        <w:rPr>
          <w:noProof/>
        </w:rPr>
      </w:pPr>
      <w:r w:rsidRPr="004D6ADF">
        <w:rPr>
          <w:noProof/>
        </w:rPr>
        <w:t xml:space="preserve"> </w:t>
      </w:r>
      <w:r w:rsidR="00C157B6">
        <w:rPr>
          <w:noProof/>
        </w:rPr>
        <w:drawing>
          <wp:inline distT="0" distB="0" distL="0" distR="0" wp14:anchorId="239B44BE" wp14:editId="16C9D4DD">
            <wp:extent cx="2944368" cy="2103120"/>
            <wp:effectExtent l="0" t="0" r="8890" b="0"/>
            <wp:docPr id="51" name="Picture 51" descr="C:\Users\mifr1172\Downloads\EWA Remain Mar1_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ifr1172\Downloads\EWA Remain Mar1_2019.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944368" cy="2103120"/>
                    </a:xfrm>
                    <a:prstGeom prst="rect">
                      <a:avLst/>
                    </a:prstGeom>
                    <a:noFill/>
                    <a:ln>
                      <a:noFill/>
                    </a:ln>
                  </pic:spPr>
                </pic:pic>
              </a:graphicData>
            </a:graphic>
          </wp:inline>
        </w:drawing>
      </w:r>
      <w:r w:rsidR="00C157B6">
        <w:rPr>
          <w:noProof/>
        </w:rPr>
        <w:drawing>
          <wp:inline distT="0" distB="0" distL="0" distR="0" wp14:anchorId="5F587F8B" wp14:editId="01C30033">
            <wp:extent cx="2944368" cy="2103120"/>
            <wp:effectExtent l="0" t="0" r="8890" b="0"/>
            <wp:docPr id="52" name="Picture 52" descr="C:\Users\mifr1172\Downloads\EWA Remain May5_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ifr1172\Downloads\EWA Remain May5_2018.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944368" cy="2103120"/>
                    </a:xfrm>
                    <a:prstGeom prst="rect">
                      <a:avLst/>
                    </a:prstGeom>
                    <a:noFill/>
                    <a:ln>
                      <a:noFill/>
                    </a:ln>
                  </pic:spPr>
                </pic:pic>
              </a:graphicData>
            </a:graphic>
          </wp:inline>
        </w:drawing>
      </w:r>
    </w:p>
    <w:p w14:paraId="5431AEB6" w14:textId="3EBB961E" w:rsidR="00AB252C" w:rsidRDefault="00AB252C" w:rsidP="004D6ADF">
      <w:r>
        <w:rPr>
          <w:noProof/>
        </w:rPr>
        <w:t>Figure 10.</w:t>
      </w:r>
      <w:r>
        <w:t xml:space="preserve"> KROM difference for the variable EWA Remain. The plots are identified by “Operation start dates”. On the left is 03/01/2019 (</w:t>
      </w:r>
      <w:r w:rsidR="00D02ECB">
        <w:t>Plot A</w:t>
      </w:r>
      <w:r>
        <w:t>) and on the right is 05/05/2018 (</w:t>
      </w:r>
      <w:r w:rsidR="00D02ECB">
        <w:t>Plot B</w:t>
      </w:r>
      <w:r>
        <w:t>).</w:t>
      </w:r>
    </w:p>
    <w:p w14:paraId="1EFE2810" w14:textId="7CE37F66" w:rsidR="004D6ADF" w:rsidRPr="00206367" w:rsidRDefault="004D6ADF" w:rsidP="00206367">
      <w:pPr>
        <w:rPr>
          <w:noProof/>
        </w:rPr>
      </w:pPr>
      <w:r>
        <w:rPr>
          <w:noProof/>
        </w:rPr>
        <w:t xml:space="preserve">The EWA Remain is </w:t>
      </w:r>
      <w:r w:rsidR="002E70B8">
        <w:rPr>
          <w:noProof/>
        </w:rPr>
        <w:t>the difference</w:t>
      </w:r>
      <w:r>
        <w:rPr>
          <w:noProof/>
        </w:rPr>
        <w:t xml:space="preserve"> of two variables, the EWA and</w:t>
      </w:r>
      <w:r w:rsidR="00C10FE1">
        <w:rPr>
          <w:noProof/>
        </w:rPr>
        <w:t xml:space="preserve"> EWA Used</w:t>
      </w:r>
      <w:r w:rsidR="002E70B8">
        <w:rPr>
          <w:noProof/>
        </w:rPr>
        <w:t>, and i</w:t>
      </w:r>
      <w:r w:rsidR="00C10FE1">
        <w:rPr>
          <w:noProof/>
        </w:rPr>
        <w:t>s calculated</w:t>
      </w:r>
      <w:r>
        <w:rPr>
          <w:noProof/>
        </w:rPr>
        <w:t xml:space="preserve"> at the beginning o</w:t>
      </w:r>
      <w:r w:rsidR="00C10FE1">
        <w:rPr>
          <w:noProof/>
        </w:rPr>
        <w:t>f each Spring-Summer</w:t>
      </w:r>
      <w:r>
        <w:rPr>
          <w:noProof/>
        </w:rPr>
        <w:t xml:space="preserve"> month. Thus, if </w:t>
      </w:r>
      <w:r w:rsidR="002E70B8">
        <w:rPr>
          <w:noProof/>
        </w:rPr>
        <w:t xml:space="preserve">the </w:t>
      </w:r>
      <w:r>
        <w:rPr>
          <w:noProof/>
        </w:rPr>
        <w:t>EWA Used</w:t>
      </w:r>
      <w:r w:rsidR="002E70B8">
        <w:rPr>
          <w:noProof/>
        </w:rPr>
        <w:t xml:space="preserve"> volume</w:t>
      </w:r>
      <w:r>
        <w:rPr>
          <w:noProof/>
        </w:rPr>
        <w:t xml:space="preserve"> </w:t>
      </w:r>
      <w:r w:rsidR="00C10FE1">
        <w:rPr>
          <w:noProof/>
        </w:rPr>
        <w:t xml:space="preserve">is off at the beginning of a month, so </w:t>
      </w:r>
      <w:r w:rsidR="002E70B8">
        <w:rPr>
          <w:noProof/>
        </w:rPr>
        <w:t>is</w:t>
      </w:r>
      <w:r w:rsidR="00C10FE1">
        <w:rPr>
          <w:noProof/>
        </w:rPr>
        <w:t xml:space="preserve"> the EWA Remain</w:t>
      </w:r>
      <w:r w:rsidR="002E70B8">
        <w:rPr>
          <w:noProof/>
        </w:rPr>
        <w:t>’s</w:t>
      </w:r>
      <w:r w:rsidR="00C10FE1">
        <w:rPr>
          <w:noProof/>
        </w:rPr>
        <w:t xml:space="preserve">. A </w:t>
      </w:r>
      <w:r w:rsidR="002E70B8">
        <w:rPr>
          <w:noProof/>
        </w:rPr>
        <w:t>differing</w:t>
      </w:r>
      <w:r w:rsidR="00C10FE1">
        <w:rPr>
          <w:noProof/>
        </w:rPr>
        <w:t xml:space="preserve"> EWA Remain </w:t>
      </w:r>
      <w:r w:rsidR="002E70B8">
        <w:rPr>
          <w:noProof/>
        </w:rPr>
        <w:t>does</w:t>
      </w:r>
      <w:r w:rsidR="00C10FE1">
        <w:rPr>
          <w:noProof/>
        </w:rPr>
        <w:t xml:space="preserve"> not affect other model outputs until July. </w:t>
      </w:r>
      <w:r w:rsidR="002E70B8">
        <w:rPr>
          <w:noProof/>
        </w:rPr>
        <w:t>From July</w:t>
      </w:r>
      <w:r w:rsidR="00C10FE1">
        <w:rPr>
          <w:noProof/>
        </w:rPr>
        <w:t xml:space="preserve"> til the end of the summer, the UKL for IGD is taken as the EWA Remain for July thru September divided over the days in the month. </w:t>
      </w:r>
      <w:r w:rsidR="002E70B8">
        <w:rPr>
          <w:noProof/>
        </w:rPr>
        <w:t>This value is</w:t>
      </w:r>
      <w:r w:rsidR="00C10FE1">
        <w:rPr>
          <w:noProof/>
        </w:rPr>
        <w:t xml:space="preserve"> referenced from a table using the total EWA Remain as the lookup. Thus, any deviation in EWA Remain is reflected in the UKL for IGD release.</w:t>
      </w:r>
    </w:p>
    <w:p w14:paraId="2613F20C" w14:textId="0A922EFE" w:rsidR="008F474C" w:rsidRDefault="008F474C" w:rsidP="00C157B6">
      <w:pPr>
        <w:pStyle w:val="Heading2"/>
      </w:pPr>
      <w:r>
        <w:t>Link Fall Winter Target</w:t>
      </w:r>
    </w:p>
    <w:p w14:paraId="25218FA1" w14:textId="7D96B4EB" w:rsidR="00C157B6" w:rsidRPr="00C157B6" w:rsidRDefault="00C157B6" w:rsidP="00C157B6">
      <w:r>
        <w:rPr>
          <w:noProof/>
        </w:rPr>
        <w:drawing>
          <wp:inline distT="0" distB="0" distL="0" distR="0" wp14:anchorId="7D03A20A" wp14:editId="6EE5864B">
            <wp:extent cx="2944368" cy="2103120"/>
            <wp:effectExtent l="0" t="0" r="8890" b="0"/>
            <wp:docPr id="53" name="Picture 53" descr="C:\Users\mifr1172\Downloads\Link Fall Winter Target Oct1_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ifr1172\Downloads\Link Fall Winter Target Oct1_2018.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944368" cy="2103120"/>
                    </a:xfrm>
                    <a:prstGeom prst="rect">
                      <a:avLst/>
                    </a:prstGeom>
                    <a:noFill/>
                    <a:ln>
                      <a:noFill/>
                    </a:ln>
                  </pic:spPr>
                </pic:pic>
              </a:graphicData>
            </a:graphic>
          </wp:inline>
        </w:drawing>
      </w:r>
      <w:r>
        <w:rPr>
          <w:noProof/>
        </w:rPr>
        <w:drawing>
          <wp:inline distT="0" distB="0" distL="0" distR="0" wp14:anchorId="783174B2" wp14:editId="19F13A0A">
            <wp:extent cx="2944368" cy="2103120"/>
            <wp:effectExtent l="0" t="0" r="8890" b="0"/>
            <wp:docPr id="54" name="Picture 54" descr="C:\Users\mifr1172\Downloads\Link Fall Winter Target Oct1_2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ifr1172\Downloads\Link Fall Winter Target Oct1_2017.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944368" cy="2103120"/>
                    </a:xfrm>
                    <a:prstGeom prst="rect">
                      <a:avLst/>
                    </a:prstGeom>
                    <a:noFill/>
                    <a:ln>
                      <a:noFill/>
                    </a:ln>
                  </pic:spPr>
                </pic:pic>
              </a:graphicData>
            </a:graphic>
          </wp:inline>
        </w:drawing>
      </w:r>
    </w:p>
    <w:p w14:paraId="4477C9CF" w14:textId="2C3F45D3" w:rsidR="00AB252C" w:rsidRDefault="00C10FE1" w:rsidP="008F474C">
      <w:r>
        <w:rPr>
          <w:noProof/>
        </w:rPr>
        <w:t>Figure 1</w:t>
      </w:r>
      <w:r w:rsidR="00772699">
        <w:rPr>
          <w:noProof/>
        </w:rPr>
        <w:t>1</w:t>
      </w:r>
      <w:r>
        <w:rPr>
          <w:noProof/>
        </w:rPr>
        <w:t>.</w:t>
      </w:r>
      <w:r w:rsidR="00AB252C">
        <w:t xml:space="preserve"> KROM difference for the variable Link Fall Winter Target. The plots are identified by “Operation start dates”. On the left is 10/01/2018 (</w:t>
      </w:r>
      <w:r w:rsidR="00D02ECB">
        <w:t>Plot A</w:t>
      </w:r>
      <w:r w:rsidR="00AB252C">
        <w:t>) and on the right is 10/01/2017 (</w:t>
      </w:r>
      <w:r w:rsidR="00D02ECB">
        <w:t>Plot B</w:t>
      </w:r>
      <w:r w:rsidR="00AB252C">
        <w:t>).</w:t>
      </w:r>
    </w:p>
    <w:p w14:paraId="30DA15BC" w14:textId="21078C8E" w:rsidR="00865738" w:rsidRDefault="00F95B86" w:rsidP="008F474C">
      <w:r>
        <w:t>In both datasets (2017/2018 and 2018/2019),</w:t>
      </w:r>
      <w:r w:rsidR="00027392">
        <w:t xml:space="preserve"> scarcely any</w:t>
      </w:r>
      <w:r>
        <w:t xml:space="preserve"> d</w:t>
      </w:r>
      <w:r w:rsidR="008A16E1">
        <w:t>ifferences</w:t>
      </w:r>
      <w:r>
        <w:t xml:space="preserve"> </w:t>
      </w:r>
      <w:r w:rsidR="004919B3">
        <w:t>occur</w:t>
      </w:r>
      <w:r>
        <w:t xml:space="preserve"> during the observed period. Only in the 2018/2019 dataset </w:t>
      </w:r>
      <w:r w:rsidR="003D3157">
        <w:t>are</w:t>
      </w:r>
      <w:r>
        <w:t xml:space="preserve"> a f</w:t>
      </w:r>
      <w:r w:rsidR="00C86927">
        <w:t xml:space="preserve">ew caused by </w:t>
      </w:r>
      <w:r w:rsidR="004919B3">
        <w:t>varying</w:t>
      </w:r>
      <w:r w:rsidR="00C86927">
        <w:t xml:space="preserve"> elevation</w:t>
      </w:r>
      <w:r w:rsidR="004919B3">
        <w:t>s</w:t>
      </w:r>
      <w:r>
        <w:t xml:space="preserve"> (see Elevation section). However, for the predicted period, </w:t>
      </w:r>
      <w:r w:rsidR="00217236">
        <w:t>unique</w:t>
      </w:r>
      <w:r>
        <w:t xml:space="preserve"> trends </w:t>
      </w:r>
      <w:r w:rsidR="003D3157">
        <w:t>arise in each set</w:t>
      </w:r>
      <w:r w:rsidR="004919B3">
        <w:t>. In</w:t>
      </w:r>
      <w:r>
        <w:t xml:space="preserve"> the 2017/2018 set, d</w:t>
      </w:r>
      <w:r w:rsidR="000C75AA">
        <w:t>ifferences</w:t>
      </w:r>
      <w:r>
        <w:t xml:space="preserve"> of 6 to 20 cfs commonly </w:t>
      </w:r>
      <w:r w:rsidR="003D3157">
        <w:t>occur</w:t>
      </w:r>
      <w:r w:rsidR="00865738">
        <w:t>.</w:t>
      </w:r>
      <w:r>
        <w:t xml:space="preserve"> </w:t>
      </w:r>
      <w:r w:rsidR="00865738">
        <w:t>Whereas,</w:t>
      </w:r>
      <w:r>
        <w:t xml:space="preserve"> </w:t>
      </w:r>
      <w:r w:rsidR="004919B3">
        <w:t>little</w:t>
      </w:r>
      <w:r>
        <w:t xml:space="preserve"> to no</w:t>
      </w:r>
      <w:r w:rsidR="000C75AA">
        <w:t xml:space="preserve"> differences</w:t>
      </w:r>
      <w:r>
        <w:t xml:space="preserve"> </w:t>
      </w:r>
      <w:r w:rsidR="003D3157">
        <w:t>appear</w:t>
      </w:r>
      <w:r>
        <w:t xml:space="preserve"> throughout the 2018/2019 set. Even when d</w:t>
      </w:r>
      <w:r w:rsidR="000C75AA">
        <w:t>ifferences</w:t>
      </w:r>
      <w:r w:rsidR="00865738">
        <w:t xml:space="preserve"> do</w:t>
      </w:r>
      <w:r>
        <w:t xml:space="preserve"> occur in the 2018/2019 set, they are marginal, equating to 0.1 thru 0.5 cfs. </w:t>
      </w:r>
      <w:r w:rsidR="00C86927">
        <w:t xml:space="preserve">These minor differences </w:t>
      </w:r>
      <w:r w:rsidR="00865738">
        <w:t>are correlated to</w:t>
      </w:r>
      <w:r w:rsidR="00C86927">
        <w:t xml:space="preserve"> the variable Link Release</w:t>
      </w:r>
      <w:r w:rsidR="00D9262B">
        <w:t xml:space="preserve"> FW set</w:t>
      </w:r>
      <w:r w:rsidR="00865738">
        <w:t>ting</w:t>
      </w:r>
      <w:r w:rsidR="00D9262B">
        <w:t xml:space="preserve"> the target flow. </w:t>
      </w:r>
      <w:r w:rsidR="00865738">
        <w:t>A</w:t>
      </w:r>
      <w:r w:rsidR="00D9262B">
        <w:t xml:space="preserve"> difference</w:t>
      </w:r>
      <w:r w:rsidR="00865738">
        <w:t xml:space="preserve"> whose</w:t>
      </w:r>
      <w:r w:rsidR="00C001C2">
        <w:t xml:space="preserve"> source</w:t>
      </w:r>
      <w:r w:rsidR="00100146">
        <w:t xml:space="preserve"> </w:t>
      </w:r>
      <w:r w:rsidR="003D3157">
        <w:t>is</w:t>
      </w:r>
      <w:r w:rsidR="00D9262B">
        <w:t xml:space="preserve"> traced back to the Williamson </w:t>
      </w:r>
      <w:r w:rsidR="003D3157">
        <w:t>Inf</w:t>
      </w:r>
      <w:r w:rsidR="00D9262B">
        <w:t>low</w:t>
      </w:r>
      <w:r w:rsidR="00217236">
        <w:t xml:space="preserve">. </w:t>
      </w:r>
      <w:r w:rsidR="00865738">
        <w:t>D</w:t>
      </w:r>
      <w:r w:rsidR="00D9262B">
        <w:t>iffer</w:t>
      </w:r>
      <w:r w:rsidR="00865738">
        <w:t>ing</w:t>
      </w:r>
      <w:r w:rsidR="00C001C2">
        <w:t xml:space="preserve"> by a</w:t>
      </w:r>
      <w:r w:rsidR="00D9262B">
        <w:t xml:space="preserve"> thousandth</w:t>
      </w:r>
      <w:r w:rsidR="00100146">
        <w:t xml:space="preserve"> of a decimal</w:t>
      </w:r>
      <w:r w:rsidR="00217236">
        <w:t xml:space="preserve"> between models</w:t>
      </w:r>
      <w:r w:rsidR="00865738">
        <w:t xml:space="preserve">, </w:t>
      </w:r>
      <w:r w:rsidR="003D3157">
        <w:t>it</w:t>
      </w:r>
      <w:r w:rsidR="00D9262B">
        <w:t xml:space="preserve"> </w:t>
      </w:r>
      <w:r w:rsidR="00100146">
        <w:t>propagates</w:t>
      </w:r>
      <w:r w:rsidR="00D9262B">
        <w:t xml:space="preserve"> when multipl</w:t>
      </w:r>
      <w:r w:rsidR="00865738">
        <w:t>ied</w:t>
      </w:r>
      <w:r w:rsidR="00D9262B">
        <w:t xml:space="preserve"> by the W</w:t>
      </w:r>
      <w:r w:rsidR="00100146">
        <w:t>illiamson Proportion Factor</w:t>
      </w:r>
      <w:r w:rsidR="003D3157">
        <w:t>. A factor that sets</w:t>
      </w:r>
      <w:r w:rsidR="00D9262B">
        <w:t xml:space="preserve"> the Link </w:t>
      </w:r>
      <w:r w:rsidR="00C001C2">
        <w:t>Release FW and sequentially</w:t>
      </w:r>
      <w:r w:rsidR="00D9262B">
        <w:t xml:space="preserve"> the </w:t>
      </w:r>
      <w:r w:rsidR="00C001C2">
        <w:t xml:space="preserve">Link Fall Winter Target. </w:t>
      </w:r>
    </w:p>
    <w:p w14:paraId="67F883E6" w14:textId="78DF7D62" w:rsidR="00C10FE1" w:rsidRPr="008F474C" w:rsidRDefault="00C64A18" w:rsidP="008F474C">
      <w:r>
        <w:t xml:space="preserve">There are no </w:t>
      </w:r>
      <w:r w:rsidR="00217236">
        <w:t>differences</w:t>
      </w:r>
      <w:r>
        <w:t xml:space="preserve"> when the target release is set by the variable Link Release for IGD Min, </w:t>
      </w:r>
      <w:r w:rsidR="00100146">
        <w:t xml:space="preserve">the </w:t>
      </w:r>
      <w:r w:rsidR="00545E88">
        <w:t>target flow’s</w:t>
      </w:r>
      <w:r>
        <w:t xml:space="preserve"> other dependency. This is due to Link Release for IGD Min being set by the Net Accrete and a table referenced minimum flow. As covered earlier, the Net Accrete </w:t>
      </w:r>
      <w:r w:rsidR="004919B3">
        <w:t>exhibits no difference</w:t>
      </w:r>
      <w:r>
        <w:t xml:space="preserve"> and the table reference won’t either as long as it is identical in both models. Just as the 2018/2019 dataset’s d</w:t>
      </w:r>
      <w:r w:rsidR="004919B3">
        <w:t>ifference</w:t>
      </w:r>
      <w:r>
        <w:t xml:space="preserve"> is traced back to the Link Release FW, so can the 2017/2018 dataset’s d</w:t>
      </w:r>
      <w:r w:rsidR="004919B3">
        <w:t>ifference</w:t>
      </w:r>
      <w:r>
        <w:t>. Except, in this set the Williamson River Inflow is not the source. Rather, it is the UKL Pool Elevation. The UKL Pool Elevation is used to set the fill rates which determine the Accretion Adj Factor</w:t>
      </w:r>
      <w:r w:rsidR="00100146">
        <w:t>. The Accretion Adj Factor is one of the dependencies of the Link Release FW and transitively the Link Fall Winter Target. It has been established that the UKL Pool Elevation deviation is highly variable (</w:t>
      </w:r>
      <w:r w:rsidR="004919B3">
        <w:t>LUvI</w:t>
      </w:r>
      <w:r w:rsidR="00100146">
        <w:t xml:space="preserve">). Thus, this variability propagates through the chain of calculations used to set the </w:t>
      </w:r>
      <w:r w:rsidR="00545E88">
        <w:t>target flow</w:t>
      </w:r>
      <w:r w:rsidR="00100146">
        <w:t xml:space="preserve"> and skews </w:t>
      </w:r>
      <w:r w:rsidR="00545E88">
        <w:t>models’ difference</w:t>
      </w:r>
      <w:r w:rsidR="004919B3">
        <w:t>s</w:t>
      </w:r>
      <w:r w:rsidR="00545E88">
        <w:t xml:space="preserve"> up</w:t>
      </w:r>
      <w:r w:rsidR="00100146">
        <w:t xml:space="preserve"> to 20 cfs. </w:t>
      </w:r>
    </w:p>
    <w:p w14:paraId="4E286DF5" w14:textId="1A34D0F4" w:rsidR="00545E88" w:rsidRDefault="00545E88" w:rsidP="00D339CB">
      <w:pPr>
        <w:pStyle w:val="Heading2"/>
      </w:pPr>
      <w:r>
        <w:t>UKL for IGD, for River, and Outflow</w:t>
      </w:r>
    </w:p>
    <w:p w14:paraId="7740CF2B" w14:textId="659997E6" w:rsidR="00545E88" w:rsidRDefault="005045A4" w:rsidP="00545E88">
      <w:r>
        <w:rPr>
          <w:noProof/>
        </w:rPr>
        <w:drawing>
          <wp:inline distT="0" distB="0" distL="0" distR="0" wp14:anchorId="509AE9CF" wp14:editId="785AF87A">
            <wp:extent cx="2944368" cy="2103120"/>
            <wp:effectExtent l="0" t="0" r="8890" b="0"/>
            <wp:docPr id="55" name="Picture 55" descr="C:\Users\mifr1172\Downloads\UKL for IGD Mar1_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mifr1172\Downloads\UKL for IGD Mar1_2019.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944368" cy="2103120"/>
                    </a:xfrm>
                    <a:prstGeom prst="rect">
                      <a:avLst/>
                    </a:prstGeom>
                    <a:noFill/>
                    <a:ln>
                      <a:noFill/>
                    </a:ln>
                  </pic:spPr>
                </pic:pic>
              </a:graphicData>
            </a:graphic>
          </wp:inline>
        </w:drawing>
      </w:r>
      <w:r>
        <w:rPr>
          <w:noProof/>
        </w:rPr>
        <w:drawing>
          <wp:inline distT="0" distB="0" distL="0" distR="0" wp14:anchorId="657C0AAC" wp14:editId="4911A04D">
            <wp:extent cx="2944368" cy="2103120"/>
            <wp:effectExtent l="0" t="0" r="8890" b="0"/>
            <wp:docPr id="56" name="Picture 56" descr="C:\Users\mifr1172\Downloads\UKL for IGD Mar5_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mifr1172\Downloads\UKL for IGD Mar5_2018.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944368" cy="2103120"/>
                    </a:xfrm>
                    <a:prstGeom prst="rect">
                      <a:avLst/>
                    </a:prstGeom>
                    <a:noFill/>
                    <a:ln>
                      <a:noFill/>
                    </a:ln>
                  </pic:spPr>
                </pic:pic>
              </a:graphicData>
            </a:graphic>
          </wp:inline>
        </w:drawing>
      </w:r>
    </w:p>
    <w:p w14:paraId="023DD152" w14:textId="02119FD2" w:rsidR="000459E0" w:rsidRDefault="00545E88" w:rsidP="00545E88">
      <w:r>
        <w:rPr>
          <w:noProof/>
        </w:rPr>
        <w:t>Figure 1</w:t>
      </w:r>
      <w:r w:rsidR="00772699">
        <w:rPr>
          <w:noProof/>
        </w:rPr>
        <w:t>2</w:t>
      </w:r>
      <w:r>
        <w:rPr>
          <w:noProof/>
        </w:rPr>
        <w:t>.</w:t>
      </w:r>
      <w:r w:rsidR="000459E0">
        <w:t xml:space="preserve"> KROM difference for the variable UKL for IGD. The plots are identified by “Operation start dates”. On the left is 03/01/2019 (</w:t>
      </w:r>
      <w:r w:rsidR="00D02ECB">
        <w:t>Plot A</w:t>
      </w:r>
      <w:r w:rsidR="000459E0">
        <w:t>) and on the right is 03/05/2018 (</w:t>
      </w:r>
      <w:r w:rsidR="00D02ECB">
        <w:t>Plot B</w:t>
      </w:r>
      <w:r w:rsidR="000459E0">
        <w:t>).</w:t>
      </w:r>
    </w:p>
    <w:p w14:paraId="78280DB8" w14:textId="7C1DC108" w:rsidR="00A00C20" w:rsidRDefault="00C60F39" w:rsidP="00545E88">
      <w:r>
        <w:t xml:space="preserve">Regardless of period (observed or projected), UKL for IGD is expected to </w:t>
      </w:r>
      <w:r w:rsidR="00906CBF">
        <w:t xml:space="preserve">always </w:t>
      </w:r>
      <w:r>
        <w:t>deviate slightly due to the</w:t>
      </w:r>
      <w:r w:rsidR="00906CBF">
        <w:t xml:space="preserve"> models’</w:t>
      </w:r>
      <w:r>
        <w:t xml:space="preserve"> precisi</w:t>
      </w:r>
      <w:r w:rsidR="00906CBF">
        <w:t>on differences</w:t>
      </w:r>
      <w:r>
        <w:t>. The three areas or dependencies the precision differences are traced to are the following: EWA Used, Spring Fill Rate, and Flood Release. As evaluated in an earlier section, flood release d</w:t>
      </w:r>
      <w:r w:rsidR="000A4CAF">
        <w:t>ifference</w:t>
      </w:r>
      <w:r>
        <w:t>s are a product of differing elevations</w:t>
      </w:r>
      <w:r w:rsidR="000A4CAF">
        <w:t xml:space="preserve"> (LUvI)</w:t>
      </w:r>
      <w:r>
        <w:t>, especially in the predicted period. Since UKL for IGD is dependent on the previous day’</w:t>
      </w:r>
      <w:r w:rsidR="00906CBF">
        <w:t>s flood release, the e</w:t>
      </w:r>
      <w:r>
        <w:t xml:space="preserve">ffect is lagged one </w:t>
      </w:r>
      <w:r w:rsidR="00906CBF">
        <w:t>day. Flood release d</w:t>
      </w:r>
      <w:r w:rsidR="000A4CAF">
        <w:t>ifferences</w:t>
      </w:r>
      <w:r w:rsidR="00906CBF">
        <w:t xml:space="preserve"> tend to cause significant</w:t>
      </w:r>
      <w:r w:rsidR="005B15EA">
        <w:t xml:space="preserve"> (&gt;10 cfs)</w:t>
      </w:r>
      <w:r w:rsidR="00906CBF">
        <w:t xml:space="preserve"> UKL for IGD </w:t>
      </w:r>
      <w:r w:rsidR="000A4CAF">
        <w:t>differences</w:t>
      </w:r>
      <w:r w:rsidR="00906CBF">
        <w:t xml:space="preserve"> due to the magnitude of flows they induce (see </w:t>
      </w:r>
      <w:r w:rsidR="005B15EA">
        <w:t xml:space="preserve">Flood Release section), this is shown in the right plot in Figure 10. Here, the </w:t>
      </w:r>
      <w:r w:rsidR="000A4CAF">
        <w:t>difference</w:t>
      </w:r>
      <w:r w:rsidR="005B15EA">
        <w:t xml:space="preserve"> is </w:t>
      </w:r>
      <w:r w:rsidR="000A4CAF">
        <w:t>~</w:t>
      </w:r>
      <w:r w:rsidR="005B15EA">
        <w:t xml:space="preserve"> 70 cfs, although in other runs it has reached up to </w:t>
      </w:r>
      <w:r w:rsidR="000A4CAF">
        <w:t>~ 470</w:t>
      </w:r>
      <w:r w:rsidR="005B15EA">
        <w:t xml:space="preserve"> cfs as result of flooding. </w:t>
      </w:r>
    </w:p>
    <w:p w14:paraId="0924E90E" w14:textId="739B6CC1" w:rsidR="00A00C20" w:rsidRDefault="005B15EA" w:rsidP="00545E88">
      <w:r>
        <w:t xml:space="preserve">Spring Fill Rate </w:t>
      </w:r>
      <w:r w:rsidR="000A4CAF">
        <w:t>differences</w:t>
      </w:r>
      <w:r>
        <w:t xml:space="preserve"> </w:t>
      </w:r>
      <w:r w:rsidR="000A4CAF">
        <w:t>are</w:t>
      </w:r>
      <w:r>
        <w:t xml:space="preserve"> the other source of significant UKL for IGD d</w:t>
      </w:r>
      <w:r w:rsidR="000A4CAF">
        <w:t>ifference</w:t>
      </w:r>
      <w:r>
        <w:t>s. To occur, the status of Spring Fill Rate must differ between the models. Thus, one must have it activated and the other deactivated or vice versa. When active, the rate typically fall</w:t>
      </w:r>
      <w:r w:rsidR="009B4CED">
        <w:t>s</w:t>
      </w:r>
      <w:r>
        <w:t xml:space="preserve"> in the range of 0.85 to 0.95. When inactiv</w:t>
      </w:r>
      <w:r w:rsidR="002D417F">
        <w:t>e, it is set to 1</w:t>
      </w:r>
      <w:r>
        <w:t xml:space="preserve"> and thus by multiplying it no change is incurred.</w:t>
      </w:r>
      <w:r w:rsidR="002D417F">
        <w:t xml:space="preserve"> This difference of 0.5 to 0.15 is inflated as the Spring Fill Rate is multiplied directly to the release. Thus, a UKL for IGD release of 800 cfs when Spring Fill Rate is inactive becomes anywhere from 680 to 760 cfs when Spring Fill Rate is active.</w:t>
      </w:r>
      <w:r w:rsidR="002F6E8E">
        <w:t xml:space="preserve"> Even when both models’ Spring Fill Rate is active at the same time</w:t>
      </w:r>
      <w:r w:rsidR="00A00C20">
        <w:t xml:space="preserve">, differences in elevation </w:t>
      </w:r>
      <w:r w:rsidR="002F6E8E">
        <w:t>lead to Spring Fill Rate d</w:t>
      </w:r>
      <w:r w:rsidR="000A4CAF">
        <w:t>ifferences</w:t>
      </w:r>
      <w:r w:rsidR="002F6E8E">
        <w:t xml:space="preserve"> of up to 0.01. That is enough to</w:t>
      </w:r>
      <w:r w:rsidR="000A4CAF">
        <w:t xml:space="preserve"> alter</w:t>
      </w:r>
      <w:r w:rsidR="002F6E8E">
        <w:t xml:space="preserve"> UKL for IGD releases </w:t>
      </w:r>
      <w:r w:rsidR="00A00C20">
        <w:t xml:space="preserve">by </w:t>
      </w:r>
      <w:r w:rsidR="002F6E8E">
        <w:t xml:space="preserve">up to 4.25 cfs in the March 1, 2019 run as shown in the </w:t>
      </w:r>
      <w:r w:rsidR="000A4CAF">
        <w:t>Plot A of</w:t>
      </w:r>
      <w:r w:rsidR="002F6E8E">
        <w:t xml:space="preserve"> Figure 10.</w:t>
      </w:r>
      <w:r w:rsidR="009B4CED">
        <w:t xml:space="preserve"> </w:t>
      </w:r>
    </w:p>
    <w:p w14:paraId="71FC1C00" w14:textId="3109ABD9" w:rsidR="008219B2" w:rsidRDefault="009B4CED" w:rsidP="00545E88">
      <w:r>
        <w:t xml:space="preserve">The most prevalent cause of </w:t>
      </w:r>
      <w:r w:rsidR="002B1A27">
        <w:t>difference</w:t>
      </w:r>
      <w:r>
        <w:t xml:space="preserve"> is the EWA Used. While minor in comparison, the EWA Used frequently </w:t>
      </w:r>
      <w:r w:rsidR="002B1A27">
        <w:t xml:space="preserve">differs </w:t>
      </w:r>
      <w:r>
        <w:t>UKL for IGD by 0.1 to 1.5 cfs over the Spring-Summer Period</w:t>
      </w:r>
      <w:r w:rsidR="00A00C20">
        <w:t>, demonstrated in the left side plot in Figure 10</w:t>
      </w:r>
      <w:r>
        <w:t>. When no othe</w:t>
      </w:r>
      <w:r w:rsidR="00173DF1">
        <w:t>r factors influence</w:t>
      </w:r>
      <w:r>
        <w:t xml:space="preserve"> UKL for IGD d</w:t>
      </w:r>
      <w:r w:rsidR="002B1A27">
        <w:t>ifference</w:t>
      </w:r>
      <w:r>
        <w:t xml:space="preserve">s, the magnitude of </w:t>
      </w:r>
      <w:r w:rsidR="00A00C20">
        <w:t>the</w:t>
      </w:r>
      <w:r w:rsidR="00173DF1">
        <w:t xml:space="preserve"> </w:t>
      </w:r>
      <w:r w:rsidR="00A00C20">
        <w:t>d</w:t>
      </w:r>
      <w:r w:rsidR="002B1A27">
        <w:t>ifference</w:t>
      </w:r>
      <w:r w:rsidR="00A00C20">
        <w:t>s produced</w:t>
      </w:r>
      <w:r>
        <w:t xml:space="preserve"> by the EWA Used </w:t>
      </w:r>
      <w:r w:rsidR="00173DF1">
        <w:t>decrease</w:t>
      </w:r>
      <w:r>
        <w:t xml:space="preserve">. </w:t>
      </w:r>
      <w:r w:rsidR="00173DF1">
        <w:t xml:space="preserve">This happens for two reasons. First, the EWA Used </w:t>
      </w:r>
      <w:r w:rsidR="00A00C20">
        <w:t>is meant to sum to the</w:t>
      </w:r>
      <w:r w:rsidR="00173DF1">
        <w:t xml:space="preserve"> EWA</w:t>
      </w:r>
      <w:r w:rsidR="00A00C20">
        <w:t xml:space="preserve"> (see EWA Used and Remain section)</w:t>
      </w:r>
      <w:r w:rsidR="00173DF1">
        <w:t>. Second, both the EWA Used and UKL for IGD are dependent on each other. EWA Used is dependent on the previous day’s UKL for IGD release</w:t>
      </w:r>
      <w:r w:rsidR="00A00C20">
        <w:t xml:space="preserve"> and</w:t>
      </w:r>
      <w:r w:rsidR="00173DF1">
        <w:t xml:space="preserve"> UKL for IGD is dependent on the current day’s EWA Used. Thus, to </w:t>
      </w:r>
      <w:r w:rsidR="00A00C20">
        <w:t>sum to</w:t>
      </w:r>
      <w:r w:rsidR="00173DF1">
        <w:t xml:space="preserve"> the EWA volume, the EWA Used </w:t>
      </w:r>
      <w:r w:rsidR="00A00C20">
        <w:t>adjusts</w:t>
      </w:r>
      <w:r w:rsidR="00173DF1">
        <w:t xml:space="preserve"> the rel</w:t>
      </w:r>
      <w:r w:rsidR="00A00C20">
        <w:t>ease from UKL to IGD to meet its</w:t>
      </w:r>
      <w:r w:rsidR="00173DF1">
        <w:t xml:space="preserve"> target. This causes higher UKL for IGD d</w:t>
      </w:r>
      <w:r w:rsidR="002B1A27">
        <w:t>ifferences</w:t>
      </w:r>
      <w:r w:rsidR="00173DF1">
        <w:t xml:space="preserve"> at first and decreases as t</w:t>
      </w:r>
      <w:r w:rsidR="00A00C20">
        <w:t>he</w:t>
      </w:r>
      <w:r w:rsidR="00173DF1">
        <w:t xml:space="preserve"> models’ EWA Used c</w:t>
      </w:r>
      <w:r w:rsidR="00A00C20">
        <w:t>onverges on</w:t>
      </w:r>
      <w:r w:rsidR="00173DF1">
        <w:t xml:space="preserve"> the</w:t>
      </w:r>
      <w:r w:rsidR="00A00C20">
        <w:t xml:space="preserve"> EWA.</w:t>
      </w:r>
    </w:p>
    <w:p w14:paraId="779A475B" w14:textId="77777777" w:rsidR="000F3DC6" w:rsidRDefault="000F3DC6" w:rsidP="00545E88"/>
    <w:p w14:paraId="69A1FDE9" w14:textId="5D6C12CF" w:rsidR="00273A11" w:rsidRDefault="008219B2" w:rsidP="00545E88">
      <w:pPr>
        <w:rPr>
          <w:noProof/>
        </w:rPr>
      </w:pPr>
      <w:r w:rsidRPr="008219B2">
        <w:rPr>
          <w:noProof/>
        </w:rPr>
        <w:t xml:space="preserve"> </w:t>
      </w:r>
      <w:r w:rsidR="00E633DF">
        <w:rPr>
          <w:noProof/>
        </w:rPr>
        <w:drawing>
          <wp:inline distT="0" distB="0" distL="0" distR="0" wp14:anchorId="7312B3C5" wp14:editId="2CCE0893">
            <wp:extent cx="2944368" cy="2103120"/>
            <wp:effectExtent l="0" t="0" r="8890" b="0"/>
            <wp:docPr id="57" name="Picture 57" descr="C:\Users\mifr1172\Downloads\UKL for River Jun5_2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ifr1172\Downloads\UKL for River Jun5_2017.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944368" cy="2103120"/>
                    </a:xfrm>
                    <a:prstGeom prst="rect">
                      <a:avLst/>
                    </a:prstGeom>
                    <a:noFill/>
                    <a:ln>
                      <a:noFill/>
                    </a:ln>
                  </pic:spPr>
                </pic:pic>
              </a:graphicData>
            </a:graphic>
          </wp:inline>
        </w:drawing>
      </w:r>
      <w:r w:rsidR="00E633DF">
        <w:rPr>
          <w:noProof/>
        </w:rPr>
        <w:drawing>
          <wp:inline distT="0" distB="0" distL="0" distR="0" wp14:anchorId="05CD810C" wp14:editId="0DCFD321">
            <wp:extent cx="2944368" cy="2103120"/>
            <wp:effectExtent l="0" t="0" r="8890" b="0"/>
            <wp:docPr id="58" name="Picture 58" descr="C:\Users\mifr1172\Downloads\UKL for River Apr5_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mifr1172\Downloads\UKL for River Apr5_2018.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944368" cy="2103120"/>
                    </a:xfrm>
                    <a:prstGeom prst="rect">
                      <a:avLst/>
                    </a:prstGeom>
                    <a:noFill/>
                    <a:ln>
                      <a:noFill/>
                    </a:ln>
                  </pic:spPr>
                </pic:pic>
              </a:graphicData>
            </a:graphic>
          </wp:inline>
        </w:drawing>
      </w:r>
    </w:p>
    <w:p w14:paraId="6C746DE2" w14:textId="4C747F81" w:rsidR="000459E0" w:rsidRDefault="008219B2" w:rsidP="008219B2">
      <w:r>
        <w:rPr>
          <w:noProof/>
        </w:rPr>
        <w:t>Figure 1</w:t>
      </w:r>
      <w:r w:rsidR="00772699">
        <w:rPr>
          <w:noProof/>
        </w:rPr>
        <w:t>3</w:t>
      </w:r>
      <w:r>
        <w:rPr>
          <w:noProof/>
        </w:rPr>
        <w:t>.</w:t>
      </w:r>
      <w:r w:rsidR="000459E0">
        <w:t xml:space="preserve"> KROM difference for the variable EWA Used. The plots are identified by “Operation start dates”. On the left is 05/05/2017 (</w:t>
      </w:r>
      <w:r w:rsidR="00D02ECB">
        <w:t>Plot A</w:t>
      </w:r>
      <w:r w:rsidR="000459E0">
        <w:t>) and on the right is 04/05/2018 (</w:t>
      </w:r>
      <w:r w:rsidR="00D02ECB">
        <w:t>Plot B</w:t>
      </w:r>
      <w:r w:rsidR="000459E0">
        <w:t>).</w:t>
      </w:r>
    </w:p>
    <w:p w14:paraId="3404D300" w14:textId="445045F1" w:rsidR="003E406D" w:rsidRDefault="008219B2" w:rsidP="00672403">
      <w:r>
        <w:t>The variable UKL for River is</w:t>
      </w:r>
      <w:r w:rsidR="00672403">
        <w:t xml:space="preserve"> the daily sum of environmental releases from UKL. This includes releases for IGD, minimum flows, ramping, and flooding. The most common release from UKL is for IGD. Thus, d</w:t>
      </w:r>
      <w:r w:rsidR="003354A2">
        <w:t>ifference</w:t>
      </w:r>
      <w:r w:rsidR="00672403">
        <w:t>s in UKL for IGD</w:t>
      </w:r>
      <w:r w:rsidR="007964FF">
        <w:t xml:space="preserve"> are mirrored by UKL for River. In scenarios where </w:t>
      </w:r>
      <w:r w:rsidR="009563E6">
        <w:t>more</w:t>
      </w:r>
      <w:r w:rsidR="007964FF">
        <w:t xml:space="preserve"> releases are present, the d</w:t>
      </w:r>
      <w:r w:rsidR="003354A2">
        <w:t>ifference</w:t>
      </w:r>
      <w:r w:rsidR="007964FF">
        <w:t>s tend to stay under 5 cfs except in the case of flooding. Due to the magnitude of flooding releases and their d</w:t>
      </w:r>
      <w:r w:rsidR="003354A2">
        <w:t>ifference</w:t>
      </w:r>
      <w:r w:rsidR="007964FF">
        <w:t xml:space="preserve"> between models, the resultant</w:t>
      </w:r>
      <w:r w:rsidR="000F3DC6">
        <w:t xml:space="preserve"> UKL for River d</w:t>
      </w:r>
      <w:r w:rsidR="003354A2">
        <w:t>ifference</w:t>
      </w:r>
      <w:r w:rsidR="000F3DC6">
        <w:t xml:space="preserve"> is shown to exceed 400 cfs. The 30 cfs d</w:t>
      </w:r>
      <w:r w:rsidR="003354A2">
        <w:t>ifference</w:t>
      </w:r>
      <w:r w:rsidR="000F3DC6">
        <w:t xml:space="preserve"> shown in </w:t>
      </w:r>
      <w:r w:rsidR="009563E6">
        <w:t>Plot A</w:t>
      </w:r>
      <w:r w:rsidR="000F3DC6">
        <w:t xml:space="preserve"> of Figure 12 is the product</w:t>
      </w:r>
      <w:r w:rsidR="00894928">
        <w:t xml:space="preserve"> of flood</w:t>
      </w:r>
      <w:r w:rsidR="000F3DC6">
        <w:t xml:space="preserve"> release d</w:t>
      </w:r>
      <w:r w:rsidR="003354A2">
        <w:t>ifference</w:t>
      </w:r>
      <w:r w:rsidR="00894928">
        <w:t>s</w:t>
      </w:r>
      <w:r w:rsidR="000F3DC6">
        <w:t>. The d</w:t>
      </w:r>
      <w:r w:rsidR="003354A2">
        <w:t>ifference</w:t>
      </w:r>
      <w:r w:rsidR="000F3DC6">
        <w:t xml:space="preserve">s in </w:t>
      </w:r>
      <w:r w:rsidR="009563E6">
        <w:t>Plot B</w:t>
      </w:r>
      <w:r w:rsidR="000F3DC6">
        <w:t xml:space="preserve"> of Figure 12 are a product of UKL for IGD d</w:t>
      </w:r>
      <w:r w:rsidR="003354A2">
        <w:t>ifference</w:t>
      </w:r>
      <w:r w:rsidR="000F3DC6">
        <w:t>s.</w:t>
      </w:r>
    </w:p>
    <w:p w14:paraId="4595B496" w14:textId="77777777" w:rsidR="00305115" w:rsidRDefault="00305115" w:rsidP="00672403"/>
    <w:p w14:paraId="30B94ADD" w14:textId="1FDE8663" w:rsidR="00305115" w:rsidRDefault="00305115" w:rsidP="00672403">
      <w:pPr>
        <w:rPr>
          <w:noProof/>
        </w:rPr>
      </w:pPr>
      <w:r w:rsidRPr="00305115">
        <w:rPr>
          <w:noProof/>
        </w:rPr>
        <w:t xml:space="preserve"> </w:t>
      </w:r>
      <w:r w:rsidR="00E633DF">
        <w:rPr>
          <w:noProof/>
        </w:rPr>
        <w:drawing>
          <wp:inline distT="0" distB="0" distL="0" distR="0" wp14:anchorId="328E8191" wp14:editId="02152E33">
            <wp:extent cx="2944368" cy="2103120"/>
            <wp:effectExtent l="0" t="0" r="8890" b="0"/>
            <wp:docPr id="59" name="Picture 59" descr="C:\Users\mifr1172\Downloads\UKL Outflow Mar1_2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mifr1172\Downloads\UKL Outflow Mar1_2017.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944368" cy="2103120"/>
                    </a:xfrm>
                    <a:prstGeom prst="rect">
                      <a:avLst/>
                    </a:prstGeom>
                    <a:noFill/>
                    <a:ln>
                      <a:noFill/>
                    </a:ln>
                  </pic:spPr>
                </pic:pic>
              </a:graphicData>
            </a:graphic>
          </wp:inline>
        </w:drawing>
      </w:r>
      <w:r w:rsidR="00E633DF">
        <w:rPr>
          <w:noProof/>
        </w:rPr>
        <w:drawing>
          <wp:inline distT="0" distB="0" distL="0" distR="0" wp14:anchorId="55A2AB69" wp14:editId="08FEE664">
            <wp:extent cx="2944368" cy="2103120"/>
            <wp:effectExtent l="0" t="0" r="8890" b="0"/>
            <wp:docPr id="60" name="Picture 60" descr="C:\Users\mifr1172\Downloads\UKL Outflow Jun5_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mifr1172\Downloads\UKL Outflow Jun5_2018.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944368" cy="2103120"/>
                    </a:xfrm>
                    <a:prstGeom prst="rect">
                      <a:avLst/>
                    </a:prstGeom>
                    <a:noFill/>
                    <a:ln>
                      <a:noFill/>
                    </a:ln>
                  </pic:spPr>
                </pic:pic>
              </a:graphicData>
            </a:graphic>
          </wp:inline>
        </w:drawing>
      </w:r>
    </w:p>
    <w:p w14:paraId="4A65E337" w14:textId="09935949" w:rsidR="00305115" w:rsidRDefault="00305115" w:rsidP="00672403">
      <w:r>
        <w:rPr>
          <w:noProof/>
        </w:rPr>
        <w:t>Figure 1</w:t>
      </w:r>
      <w:r w:rsidR="00772699">
        <w:rPr>
          <w:noProof/>
        </w:rPr>
        <w:t>4</w:t>
      </w:r>
      <w:r>
        <w:rPr>
          <w:noProof/>
        </w:rPr>
        <w:t xml:space="preserve">. </w:t>
      </w:r>
      <w:r w:rsidR="000459E0">
        <w:t>KROM difference for the variable UKL Outflow. The plots are identified by “Operation start dates”. On the left is 03/01/2019 (</w:t>
      </w:r>
      <w:r w:rsidR="00D02ECB">
        <w:t>Plot A</w:t>
      </w:r>
      <w:r w:rsidR="000459E0">
        <w:t>) and on the right is 05/05/2018 (</w:t>
      </w:r>
      <w:r w:rsidR="00D02ECB">
        <w:t>Plot B</w:t>
      </w:r>
      <w:r w:rsidR="000459E0">
        <w:t>).</w:t>
      </w:r>
    </w:p>
    <w:p w14:paraId="25AD1BE4" w14:textId="77777777" w:rsidR="000459E0" w:rsidRDefault="000459E0" w:rsidP="00672403"/>
    <w:p w14:paraId="42173A42" w14:textId="5396CF2D" w:rsidR="00305115" w:rsidRDefault="00967065" w:rsidP="00672403">
      <w:pPr>
        <w:rPr>
          <w:noProof/>
        </w:rPr>
      </w:pPr>
      <w:r>
        <w:rPr>
          <w:noProof/>
        </w:rPr>
        <w:t>During the observed peri</w:t>
      </w:r>
      <w:r w:rsidR="00E6640B">
        <w:rPr>
          <w:noProof/>
        </w:rPr>
        <w:t>od, no d</w:t>
      </w:r>
      <w:r w:rsidR="0043449F">
        <w:rPr>
          <w:noProof/>
        </w:rPr>
        <w:t>ifferences</w:t>
      </w:r>
      <w:r w:rsidR="00E6640B">
        <w:rPr>
          <w:noProof/>
        </w:rPr>
        <w:t xml:space="preserve"> occur as</w:t>
      </w:r>
      <w:r w:rsidR="007533B2">
        <w:rPr>
          <w:noProof/>
        </w:rPr>
        <w:t xml:space="preserve"> the</w:t>
      </w:r>
      <w:r w:rsidR="00B95B72">
        <w:rPr>
          <w:noProof/>
        </w:rPr>
        <w:t xml:space="preserve"> KROM recieves</w:t>
      </w:r>
      <w:r w:rsidR="00E6640B">
        <w:rPr>
          <w:noProof/>
        </w:rPr>
        <w:t xml:space="preserve"> input</w:t>
      </w:r>
      <w:r w:rsidR="007533B2">
        <w:rPr>
          <w:noProof/>
        </w:rPr>
        <w:t xml:space="preserve"> data </w:t>
      </w:r>
      <w:r w:rsidR="00B95B72">
        <w:rPr>
          <w:noProof/>
        </w:rPr>
        <w:t>that is linked to the IGD Calc</w:t>
      </w:r>
      <w:r w:rsidR="00894928">
        <w:rPr>
          <w:noProof/>
        </w:rPr>
        <w:t>. For</w:t>
      </w:r>
      <w:r w:rsidR="00E6640B">
        <w:rPr>
          <w:noProof/>
        </w:rPr>
        <w:t xml:space="preserve"> the predicted period, the UKL Outflow is determined by either UKL for River or Link Fall Winter Target with considerations for agricultural demands, miscellaneous flows, and minimum flow requirements. Since the considerations are predicted with </w:t>
      </w:r>
      <w:r w:rsidR="007533B2">
        <w:rPr>
          <w:noProof/>
        </w:rPr>
        <w:t>insignificant</w:t>
      </w:r>
      <w:r w:rsidR="00E6640B">
        <w:rPr>
          <w:noProof/>
        </w:rPr>
        <w:t xml:space="preserve"> d</w:t>
      </w:r>
      <w:r w:rsidR="0043449F">
        <w:rPr>
          <w:noProof/>
        </w:rPr>
        <w:t>ifferences</w:t>
      </w:r>
      <w:r w:rsidR="00E6640B">
        <w:rPr>
          <w:noProof/>
        </w:rPr>
        <w:t xml:space="preserve"> (&lt; 1 cfs), any</w:t>
      </w:r>
      <w:r w:rsidR="00B95B72">
        <w:rPr>
          <w:noProof/>
        </w:rPr>
        <w:t xml:space="preserve"> greater</w:t>
      </w:r>
      <w:r w:rsidR="00E6640B">
        <w:rPr>
          <w:noProof/>
        </w:rPr>
        <w:t xml:space="preserve"> UKL Outflow d</w:t>
      </w:r>
      <w:r w:rsidR="0043449F">
        <w:rPr>
          <w:noProof/>
        </w:rPr>
        <w:t>ifference</w:t>
      </w:r>
      <w:r w:rsidR="00894928">
        <w:rPr>
          <w:noProof/>
        </w:rPr>
        <w:t xml:space="preserve"> can be traced to variable</w:t>
      </w:r>
      <w:r w:rsidR="00B95B72">
        <w:rPr>
          <w:noProof/>
        </w:rPr>
        <w:t>s</w:t>
      </w:r>
      <w:r w:rsidR="00E6640B">
        <w:rPr>
          <w:noProof/>
        </w:rPr>
        <w:t xml:space="preserve"> UKL for River or Link Fall Winter Target. </w:t>
      </w:r>
      <w:r w:rsidR="00FC0528">
        <w:rPr>
          <w:noProof/>
        </w:rPr>
        <w:t xml:space="preserve">It is </w:t>
      </w:r>
      <w:r w:rsidR="0043449F">
        <w:rPr>
          <w:noProof/>
        </w:rPr>
        <w:t>simple</w:t>
      </w:r>
      <w:r w:rsidR="00FC0528">
        <w:rPr>
          <w:noProof/>
        </w:rPr>
        <w:t xml:space="preserve"> to identify which as UKL for River is restricted to the Spring-Summer operations and Link Fall Winter Target to the Fall-Winter operations. In </w:t>
      </w:r>
      <w:r w:rsidR="0043449F">
        <w:rPr>
          <w:noProof/>
        </w:rPr>
        <w:t>Plot A</w:t>
      </w:r>
      <w:r w:rsidR="00FC0528">
        <w:rPr>
          <w:noProof/>
        </w:rPr>
        <w:t xml:space="preserve"> of Figure 13 the d</w:t>
      </w:r>
      <w:r w:rsidR="0043449F">
        <w:rPr>
          <w:noProof/>
        </w:rPr>
        <w:t>ifference</w:t>
      </w:r>
      <w:r w:rsidR="00FC0528">
        <w:rPr>
          <w:noProof/>
        </w:rPr>
        <w:t xml:space="preserve">s are </w:t>
      </w:r>
      <w:r w:rsidR="0043449F">
        <w:rPr>
          <w:noProof/>
        </w:rPr>
        <w:t>marginal (</w:t>
      </w:r>
      <w:r w:rsidR="007533B2">
        <w:rPr>
          <w:noProof/>
        </w:rPr>
        <w:t>&lt;20 cfs)</w:t>
      </w:r>
      <w:r w:rsidR="00FC0528">
        <w:rPr>
          <w:noProof/>
        </w:rPr>
        <w:t xml:space="preserve">. </w:t>
      </w:r>
      <w:r w:rsidR="00894928">
        <w:rPr>
          <w:noProof/>
        </w:rPr>
        <w:t>D</w:t>
      </w:r>
      <w:r w:rsidR="0043449F">
        <w:rPr>
          <w:noProof/>
        </w:rPr>
        <w:t>ifferences</w:t>
      </w:r>
      <w:r w:rsidR="00894928">
        <w:rPr>
          <w:noProof/>
        </w:rPr>
        <w:t xml:space="preserve"> towards the beginning of the run </w:t>
      </w:r>
      <w:r w:rsidR="00F22CB7">
        <w:rPr>
          <w:noProof/>
        </w:rPr>
        <w:t xml:space="preserve">are </w:t>
      </w:r>
      <w:r w:rsidR="00894928">
        <w:rPr>
          <w:noProof/>
        </w:rPr>
        <w:t>a result of</w:t>
      </w:r>
      <w:r w:rsidR="00FC0528">
        <w:rPr>
          <w:noProof/>
        </w:rPr>
        <w:t xml:space="preserve"> Flood Release d</w:t>
      </w:r>
      <w:r w:rsidR="0043449F">
        <w:rPr>
          <w:noProof/>
        </w:rPr>
        <w:t>ifferences</w:t>
      </w:r>
      <w:r w:rsidR="00FC0528">
        <w:rPr>
          <w:noProof/>
        </w:rPr>
        <w:t xml:space="preserve"> </w:t>
      </w:r>
      <w:r w:rsidR="00894928">
        <w:rPr>
          <w:noProof/>
        </w:rPr>
        <w:t>altering</w:t>
      </w:r>
      <w:r w:rsidR="00FC0528">
        <w:rPr>
          <w:noProof/>
        </w:rPr>
        <w:t xml:space="preserve"> the UKL for River</w:t>
      </w:r>
      <w:r w:rsidR="0043449F">
        <w:rPr>
          <w:noProof/>
        </w:rPr>
        <w:t>.</w:t>
      </w:r>
      <w:r w:rsidR="00FC0528">
        <w:rPr>
          <w:noProof/>
        </w:rPr>
        <w:t xml:space="preserve"> </w:t>
      </w:r>
      <w:r w:rsidR="0043449F">
        <w:rPr>
          <w:noProof/>
        </w:rPr>
        <w:t>Differences</w:t>
      </w:r>
      <w:r w:rsidR="00894928">
        <w:rPr>
          <w:noProof/>
        </w:rPr>
        <w:t xml:space="preserve"> in the middle of the run </w:t>
      </w:r>
      <w:r w:rsidR="00F22CB7">
        <w:rPr>
          <w:noProof/>
        </w:rPr>
        <w:t xml:space="preserve">are </w:t>
      </w:r>
      <w:r w:rsidR="00894928">
        <w:rPr>
          <w:noProof/>
        </w:rPr>
        <w:t>a product of</w:t>
      </w:r>
      <w:r w:rsidR="00FC0528">
        <w:rPr>
          <w:noProof/>
        </w:rPr>
        <w:t xml:space="preserve"> the UKL Pool El</w:t>
      </w:r>
      <w:r w:rsidR="00894928">
        <w:rPr>
          <w:noProof/>
        </w:rPr>
        <w:t>evation</w:t>
      </w:r>
      <w:r w:rsidR="0043449F">
        <w:rPr>
          <w:noProof/>
        </w:rPr>
        <w:t xml:space="preserve"> (LUvI)</w:t>
      </w:r>
      <w:r w:rsidR="00B95B72">
        <w:rPr>
          <w:noProof/>
        </w:rPr>
        <w:t xml:space="preserve"> differences</w:t>
      </w:r>
      <w:r w:rsidR="00894928">
        <w:rPr>
          <w:noProof/>
        </w:rPr>
        <w:t xml:space="preserve"> skewing</w:t>
      </w:r>
      <w:r w:rsidR="00FC0528">
        <w:rPr>
          <w:noProof/>
        </w:rPr>
        <w:t xml:space="preserve"> the Link F</w:t>
      </w:r>
      <w:r w:rsidR="00894928">
        <w:rPr>
          <w:noProof/>
        </w:rPr>
        <w:t>all Winter Target</w:t>
      </w:r>
      <w:r w:rsidR="00F22CB7">
        <w:rPr>
          <w:noProof/>
        </w:rPr>
        <w:t xml:space="preserve">. </w:t>
      </w:r>
      <w:r w:rsidR="00C37172">
        <w:rPr>
          <w:noProof/>
        </w:rPr>
        <w:t xml:space="preserve">In </w:t>
      </w:r>
      <w:r w:rsidR="00B95B72">
        <w:rPr>
          <w:noProof/>
        </w:rPr>
        <w:t>Plot B of Figure 13 a</w:t>
      </w:r>
      <w:r w:rsidR="00F22CB7">
        <w:rPr>
          <w:noProof/>
        </w:rPr>
        <w:t xml:space="preserve"> </w:t>
      </w:r>
      <w:r w:rsidR="00C37172">
        <w:rPr>
          <w:noProof/>
        </w:rPr>
        <w:t>large</w:t>
      </w:r>
      <w:r w:rsidR="000465DE">
        <w:rPr>
          <w:noProof/>
        </w:rPr>
        <w:t>,</w:t>
      </w:r>
      <w:r w:rsidR="00B95B72">
        <w:rPr>
          <w:noProof/>
        </w:rPr>
        <w:t xml:space="preserve"> negative</w:t>
      </w:r>
      <w:r w:rsidR="00F22CB7">
        <w:rPr>
          <w:noProof/>
        </w:rPr>
        <w:t xml:space="preserve"> d</w:t>
      </w:r>
      <w:r w:rsidR="00B95B72">
        <w:rPr>
          <w:noProof/>
        </w:rPr>
        <w:t>ifference</w:t>
      </w:r>
      <w:r w:rsidR="00C37172">
        <w:rPr>
          <w:noProof/>
        </w:rPr>
        <w:t xml:space="preserve"> (~400 cfs)</w:t>
      </w:r>
      <w:r w:rsidR="00F22CB7">
        <w:rPr>
          <w:noProof/>
        </w:rPr>
        <w:t xml:space="preserve"> followed by</w:t>
      </w:r>
      <w:r w:rsidR="00C847D6">
        <w:rPr>
          <w:noProof/>
        </w:rPr>
        <w:t xml:space="preserve"> constant</w:t>
      </w:r>
      <w:r w:rsidR="000465DE">
        <w:rPr>
          <w:noProof/>
        </w:rPr>
        <w:t>,</w:t>
      </w:r>
      <w:r w:rsidR="00C847D6">
        <w:rPr>
          <w:noProof/>
        </w:rPr>
        <w:t xml:space="preserve"> positive d</w:t>
      </w:r>
      <w:r w:rsidR="00C37172">
        <w:rPr>
          <w:noProof/>
        </w:rPr>
        <w:t>ifference</w:t>
      </w:r>
      <w:r w:rsidR="000465DE">
        <w:rPr>
          <w:noProof/>
        </w:rPr>
        <w:t xml:space="preserve"> ( ~ 1-5 cfs)</w:t>
      </w:r>
      <w:r w:rsidR="00F22CB7">
        <w:rPr>
          <w:noProof/>
        </w:rPr>
        <w:t xml:space="preserve"> is demonstrated</w:t>
      </w:r>
      <w:r w:rsidR="00C847D6">
        <w:rPr>
          <w:noProof/>
        </w:rPr>
        <w:t>. The large</w:t>
      </w:r>
      <w:r w:rsidR="0096129D">
        <w:rPr>
          <w:noProof/>
        </w:rPr>
        <w:t>,</w:t>
      </w:r>
      <w:r w:rsidR="00C847D6">
        <w:rPr>
          <w:noProof/>
        </w:rPr>
        <w:t xml:space="preserve"> negative d</w:t>
      </w:r>
      <w:r w:rsidR="00C37172">
        <w:rPr>
          <w:noProof/>
        </w:rPr>
        <w:t>ifference</w:t>
      </w:r>
      <w:r w:rsidR="00C847D6">
        <w:rPr>
          <w:noProof/>
        </w:rPr>
        <w:t xml:space="preserve"> is</w:t>
      </w:r>
      <w:r w:rsidR="00894928">
        <w:rPr>
          <w:noProof/>
        </w:rPr>
        <w:t xml:space="preserve"> caused by the KROM possesing a significantly lower flood release than the IGD Calc. </w:t>
      </w:r>
      <w:r w:rsidR="00F22CB7">
        <w:rPr>
          <w:noProof/>
        </w:rPr>
        <w:t>A</w:t>
      </w:r>
      <w:r w:rsidR="00C847D6">
        <w:rPr>
          <w:noProof/>
        </w:rPr>
        <w:t>s a</w:t>
      </w:r>
      <w:r w:rsidR="00F22CB7">
        <w:rPr>
          <w:noProof/>
        </w:rPr>
        <w:t xml:space="preserve"> secondary effect of</w:t>
      </w:r>
      <w:r w:rsidR="00C847D6">
        <w:rPr>
          <w:noProof/>
        </w:rPr>
        <w:t xml:space="preserve"> th</w:t>
      </w:r>
      <w:r w:rsidR="000465DE">
        <w:rPr>
          <w:noProof/>
        </w:rPr>
        <w:t>e</w:t>
      </w:r>
      <w:r w:rsidR="00C847D6">
        <w:rPr>
          <w:noProof/>
        </w:rPr>
        <w:t xml:space="preserve"> reduced flood release, the</w:t>
      </w:r>
      <w:r w:rsidR="00F22CB7">
        <w:rPr>
          <w:noProof/>
        </w:rPr>
        <w:t xml:space="preserve"> EWA Used volume</w:t>
      </w:r>
      <w:r w:rsidR="00C847D6">
        <w:rPr>
          <w:noProof/>
        </w:rPr>
        <w:t xml:space="preserve"> </w:t>
      </w:r>
      <w:r w:rsidR="000465DE">
        <w:rPr>
          <w:noProof/>
        </w:rPr>
        <w:t>also decreases</w:t>
      </w:r>
      <w:r w:rsidR="00F22CB7">
        <w:rPr>
          <w:noProof/>
        </w:rPr>
        <w:t>. Thus, UKL for IGD and sequentially UKL Outflow is increased to utilize the additional volume left in the EWA.</w:t>
      </w:r>
      <w:r w:rsidR="00C847D6">
        <w:rPr>
          <w:noProof/>
        </w:rPr>
        <w:t xml:space="preserve"> This </w:t>
      </w:r>
      <w:r w:rsidR="000465DE">
        <w:rPr>
          <w:noProof/>
        </w:rPr>
        <w:t>produces</w:t>
      </w:r>
      <w:r w:rsidR="00C847D6">
        <w:rPr>
          <w:noProof/>
        </w:rPr>
        <w:t xml:space="preserve"> the constant</w:t>
      </w:r>
      <w:r w:rsidR="000465DE">
        <w:rPr>
          <w:noProof/>
        </w:rPr>
        <w:t>,</w:t>
      </w:r>
      <w:r w:rsidR="00C847D6">
        <w:rPr>
          <w:noProof/>
        </w:rPr>
        <w:t xml:space="preserve"> positive d</w:t>
      </w:r>
      <w:r w:rsidR="00C37172">
        <w:rPr>
          <w:noProof/>
        </w:rPr>
        <w:t>ifference</w:t>
      </w:r>
      <w:r w:rsidR="00C847D6">
        <w:rPr>
          <w:noProof/>
        </w:rPr>
        <w:t xml:space="preserve"> </w:t>
      </w:r>
      <w:r w:rsidR="000465DE">
        <w:rPr>
          <w:noProof/>
        </w:rPr>
        <w:t xml:space="preserve">shown </w:t>
      </w:r>
      <w:r w:rsidR="00C847D6">
        <w:rPr>
          <w:noProof/>
        </w:rPr>
        <w:t>throughout the rest of the run.</w:t>
      </w:r>
    </w:p>
    <w:p w14:paraId="3A71044A" w14:textId="298357AC" w:rsidR="000F3DC6" w:rsidRDefault="00C847D6" w:rsidP="00C847D6">
      <w:pPr>
        <w:pStyle w:val="Heading2"/>
      </w:pPr>
      <w:r>
        <w:t>Surface and Deep Flushing</w:t>
      </w:r>
    </w:p>
    <w:p w14:paraId="0F6FA903" w14:textId="6BE7B64B" w:rsidR="003A10C8" w:rsidRDefault="001A1481" w:rsidP="004F063A">
      <w:r>
        <w:rPr>
          <w:noProof/>
        </w:rPr>
        <w:drawing>
          <wp:inline distT="0" distB="0" distL="0" distR="0" wp14:anchorId="5905E6EF" wp14:editId="119E7B2C">
            <wp:extent cx="2944368" cy="2103120"/>
            <wp:effectExtent l="0" t="0" r="8890" b="0"/>
            <wp:docPr id="2" name="Picture 2" descr="C:\Users\mifr1172\Downloads\Surface and Deep Oct1_2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fr1172\Downloads\Surface and Deep Oct1_2017.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944368" cy="2103120"/>
                    </a:xfrm>
                    <a:prstGeom prst="rect">
                      <a:avLst/>
                    </a:prstGeom>
                    <a:noFill/>
                    <a:ln>
                      <a:noFill/>
                    </a:ln>
                  </pic:spPr>
                </pic:pic>
              </a:graphicData>
            </a:graphic>
          </wp:inline>
        </w:drawing>
      </w:r>
      <w:r>
        <w:rPr>
          <w:noProof/>
        </w:rPr>
        <w:drawing>
          <wp:inline distT="0" distB="0" distL="0" distR="0" wp14:anchorId="23BA1C15" wp14:editId="0AB5BEBE">
            <wp:extent cx="2944368" cy="2103120"/>
            <wp:effectExtent l="0" t="0" r="8890" b="0"/>
            <wp:docPr id="3" name="Picture 3" descr="C:\Users\mifr1172\Downloads\Surface and Deep Mar5_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fr1172\Downloads\Surface and Deep Mar5_2018.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944368" cy="2103120"/>
                    </a:xfrm>
                    <a:prstGeom prst="rect">
                      <a:avLst/>
                    </a:prstGeom>
                    <a:noFill/>
                    <a:ln>
                      <a:noFill/>
                    </a:ln>
                  </pic:spPr>
                </pic:pic>
              </a:graphicData>
            </a:graphic>
          </wp:inline>
        </w:drawing>
      </w:r>
    </w:p>
    <w:p w14:paraId="781FED2B" w14:textId="2BCE0460" w:rsidR="000459E0" w:rsidRPr="00FF161C" w:rsidRDefault="00772699" w:rsidP="000459E0">
      <w:r>
        <w:t>Figure 15</w:t>
      </w:r>
      <w:r w:rsidR="003A10C8">
        <w:t xml:space="preserve">. </w:t>
      </w:r>
      <w:r w:rsidR="000459E0">
        <w:t>KROM difference for the variable Surface and Deep Flushing. The plots are identified by “Operation start dates”. On the left is 10/01/2017 (</w:t>
      </w:r>
      <w:r w:rsidR="00D02ECB">
        <w:t>Plot A</w:t>
      </w:r>
      <w:r w:rsidR="000459E0">
        <w:t>) and on the right is 03/05/2018 (</w:t>
      </w:r>
      <w:r w:rsidR="00D02ECB">
        <w:t>Plot B</w:t>
      </w:r>
      <w:r w:rsidR="000459E0">
        <w:t>).</w:t>
      </w:r>
    </w:p>
    <w:p w14:paraId="10EA267E" w14:textId="7E120144" w:rsidR="003732B5" w:rsidRDefault="0096341E" w:rsidP="003732B5">
      <w:r>
        <w:t xml:space="preserve">To assign Surface </w:t>
      </w:r>
      <w:r w:rsidR="00A3245A">
        <w:t xml:space="preserve">and Deep Flushing, the difference between a set constant and the estimated release at IGD is taken when the conditional statements of the functions have been met. Because the recorded release at IGD is not used, the models are able to differ in the observed and predicted periods. </w:t>
      </w:r>
      <w:r w:rsidR="008F3C45">
        <w:t>Analyzing and tracing the sources of d</w:t>
      </w:r>
      <w:r w:rsidR="0096129D">
        <w:t>ifference</w:t>
      </w:r>
      <w:r w:rsidR="008F3C45">
        <w:t>s through the function’s dependencies, the primary variables causing d</w:t>
      </w:r>
      <w:r w:rsidR="0096129D">
        <w:t>ifference</w:t>
      </w:r>
      <w:r w:rsidR="008F3C45">
        <w:t>s are identified as</w:t>
      </w:r>
      <w:r w:rsidR="001E307A">
        <w:t xml:space="preserve"> </w:t>
      </w:r>
      <w:r w:rsidR="00A3245A">
        <w:t>both UKL for IGD and Flood Release.</w:t>
      </w:r>
      <w:r w:rsidR="008F3C45">
        <w:t xml:space="preserve"> This explains why d</w:t>
      </w:r>
      <w:r w:rsidR="0096129D">
        <w:t>ifference</w:t>
      </w:r>
      <w:r w:rsidR="008F3C45">
        <w:t>s in the observed period tend to be smaller</w:t>
      </w:r>
      <w:r w:rsidR="00772699">
        <w:t xml:space="preserve"> as both variables</w:t>
      </w:r>
      <w:r w:rsidR="0096129D">
        <w:t xml:space="preserve"> differ little (</w:t>
      </w:r>
      <w:r w:rsidR="00D060B0">
        <w:t xml:space="preserve">&lt; </w:t>
      </w:r>
      <w:r w:rsidR="00B634C9">
        <w:t>10</w:t>
      </w:r>
      <w:r w:rsidR="00D060B0">
        <w:t xml:space="preserve"> cfs) through</w:t>
      </w:r>
      <w:r w:rsidR="00772699">
        <w:t xml:space="preserve"> that timespan.</w:t>
      </w:r>
      <w:r w:rsidR="00D060B0">
        <w:t xml:space="preserve"> </w:t>
      </w:r>
      <w:r w:rsidR="003D1DB5">
        <w:t>However, once in the predicted period, the variable</w:t>
      </w:r>
      <w:r w:rsidR="00B634C9">
        <w:t>’s</w:t>
      </w:r>
      <w:r w:rsidR="003D1DB5">
        <w:t xml:space="preserve"> differences increase in magnitude. This can cause Surface and Deep Flushing to differ </w:t>
      </w:r>
      <w:r w:rsidR="00B634C9">
        <w:t>to over 30 cfs when the conditional statements are met. The conditional statements are primarily dependent</w:t>
      </w:r>
      <w:r w:rsidR="006F1D44">
        <w:t xml:space="preserve"> on</w:t>
      </w:r>
      <w:r w:rsidR="00B634C9">
        <w:t xml:space="preserve"> </w:t>
      </w:r>
      <w:r w:rsidR="002D0CDB">
        <w:t>whether the timestep falls within the Surface and Deep Flushing release period. Since this is a short period, the conditions are only met</w:t>
      </w:r>
      <w:r w:rsidR="007D4E1F">
        <w:t xml:space="preserve"> and releases</w:t>
      </w:r>
      <w:r w:rsidR="002D0CDB">
        <w:t xml:space="preserve"> for approximately 10 to 15 days out of a year. </w:t>
      </w:r>
      <w:r w:rsidR="00772699">
        <w:t>With such a short window of act</w:t>
      </w:r>
      <w:r w:rsidR="001E307A">
        <w:t>ivity</w:t>
      </w:r>
      <w:r w:rsidR="00772699">
        <w:t>, most d</w:t>
      </w:r>
      <w:r w:rsidR="006F1D44">
        <w:t>ifference</w:t>
      </w:r>
      <w:r w:rsidR="00772699">
        <w:t xml:space="preserve">s won’t affect this value unless their timing </w:t>
      </w:r>
      <w:r w:rsidR="001E307A">
        <w:t>is synchronized</w:t>
      </w:r>
      <w:r w:rsidR="00772699">
        <w:t xml:space="preserve">. In </w:t>
      </w:r>
      <w:r w:rsidR="006F1D44">
        <w:t>Plot A</w:t>
      </w:r>
      <w:r w:rsidR="00772699">
        <w:t xml:space="preserve"> of Figure 14, </w:t>
      </w:r>
      <w:r w:rsidR="001E307A">
        <w:t>the flood release d</w:t>
      </w:r>
      <w:r w:rsidR="006F1D44">
        <w:t>ifference</w:t>
      </w:r>
      <w:r w:rsidR="001E307A">
        <w:t xml:space="preserve"> occurs before Surface and Deep Flushing is set. Thus, all d</w:t>
      </w:r>
      <w:r w:rsidR="006F1D44">
        <w:t>ifferences</w:t>
      </w:r>
      <w:r w:rsidR="001E307A">
        <w:t xml:space="preserve"> seen </w:t>
      </w:r>
      <w:r w:rsidR="006F1D44">
        <w:t>keep</w:t>
      </w:r>
      <w:r w:rsidR="001E307A">
        <w:t xml:space="preserve"> below 3 acre-feet. In </w:t>
      </w:r>
      <w:r w:rsidR="007D4E1F">
        <w:t>Plot B</w:t>
      </w:r>
      <w:r w:rsidR="001E307A">
        <w:t xml:space="preserve"> of Figure 14, the flood release d</w:t>
      </w:r>
      <w:r w:rsidR="006F1D44">
        <w:t>ifference</w:t>
      </w:r>
      <w:r w:rsidR="001E307A">
        <w:t xml:space="preserve"> occurs </w:t>
      </w:r>
      <w:r w:rsidR="007D4E1F">
        <w:t>on</w:t>
      </w:r>
      <w:r w:rsidR="001E307A">
        <w:t xml:space="preserve"> the same time</w:t>
      </w:r>
      <w:r w:rsidR="007D4E1F">
        <w:t>step</w:t>
      </w:r>
      <w:r w:rsidR="001E307A">
        <w:t xml:space="preserve"> Surface and Deep Flushing is set. This cause</w:t>
      </w:r>
      <w:r w:rsidR="007D4E1F">
        <w:t>s</w:t>
      </w:r>
      <w:r w:rsidR="001E307A">
        <w:t xml:space="preserve"> a d</w:t>
      </w:r>
      <w:r w:rsidR="007D4E1F">
        <w:t>ifference</w:t>
      </w:r>
      <w:r w:rsidR="001E307A">
        <w:t xml:space="preserve"> of </w:t>
      </w:r>
      <w:r w:rsidR="007D4E1F">
        <w:t>~</w:t>
      </w:r>
      <w:r w:rsidR="001E307A">
        <w:t xml:space="preserve"> 30 cfs in 2018 and </w:t>
      </w:r>
      <w:r w:rsidR="007D4E1F">
        <w:t xml:space="preserve">~ </w:t>
      </w:r>
      <w:r w:rsidR="001E307A">
        <w:t xml:space="preserve">10 cfs in 2019. </w:t>
      </w:r>
    </w:p>
    <w:p w14:paraId="28EED941" w14:textId="77777777" w:rsidR="003732B5" w:rsidRPr="003732B5" w:rsidRDefault="003732B5" w:rsidP="003732B5"/>
    <w:p w14:paraId="351565F1" w14:textId="6529D586" w:rsidR="003B36B9" w:rsidRDefault="005E6F88" w:rsidP="009E12EA">
      <w:pPr>
        <w:pStyle w:val="Heading1"/>
      </w:pPr>
      <w:r>
        <w:t>Discussion</w:t>
      </w:r>
    </w:p>
    <w:p w14:paraId="02C3A749" w14:textId="7F803AB3" w:rsidR="001A1481" w:rsidRDefault="00D86832" w:rsidP="001A1481">
      <w:pPr>
        <w:rPr>
          <w:noProof/>
        </w:rPr>
      </w:pPr>
      <w:r>
        <w:rPr>
          <w:noProof/>
        </w:rPr>
        <w:drawing>
          <wp:inline distT="0" distB="0" distL="0" distR="0" wp14:anchorId="7558E5FA" wp14:editId="7FA4A444">
            <wp:extent cx="4928616" cy="370332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KL Elevation Diff May5_2018"/>
                    <pic:cNvPicPr/>
                  </pic:nvPicPr>
                  <pic:blipFill>
                    <a:blip r:embed="rId39" cstate="print">
                      <a:extLst>
                        <a:ext uri="{28A0092B-C50C-407E-A947-70E740481C1C}">
                          <a14:useLocalDpi xmlns:a14="http://schemas.microsoft.com/office/drawing/2010/main" val="0"/>
                        </a:ext>
                      </a:extLst>
                    </a:blip>
                    <a:stretch>
                      <a:fillRect/>
                    </a:stretch>
                  </pic:blipFill>
                  <pic:spPr>
                    <a:xfrm>
                      <a:off x="0" y="0"/>
                      <a:ext cx="4928616" cy="3703320"/>
                    </a:xfrm>
                    <a:prstGeom prst="rect">
                      <a:avLst/>
                    </a:prstGeom>
                  </pic:spPr>
                </pic:pic>
              </a:graphicData>
            </a:graphic>
          </wp:inline>
        </w:drawing>
      </w:r>
    </w:p>
    <w:p w14:paraId="0D9A5305" w14:textId="2AB4E3E7" w:rsidR="001A1481" w:rsidRDefault="001A1481" w:rsidP="001A1481">
      <w:pPr>
        <w:rPr>
          <w:noProof/>
        </w:rPr>
      </w:pPr>
      <w:r>
        <w:rPr>
          <w:noProof/>
        </w:rPr>
        <w:drawing>
          <wp:inline distT="0" distB="0" distL="0" distR="0" wp14:anchorId="0ED71B40" wp14:editId="61449244">
            <wp:extent cx="4937760" cy="3703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KL Elevation May5_2018.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4937760" cy="3703320"/>
                    </a:xfrm>
                    <a:prstGeom prst="rect">
                      <a:avLst/>
                    </a:prstGeom>
                  </pic:spPr>
                </pic:pic>
              </a:graphicData>
            </a:graphic>
          </wp:inline>
        </w:drawing>
      </w:r>
    </w:p>
    <w:p w14:paraId="7897D8F3" w14:textId="708F2370" w:rsidR="001A1481" w:rsidRDefault="002A59B5" w:rsidP="001A1481">
      <w:pPr>
        <w:rPr>
          <w:noProof/>
        </w:rPr>
      </w:pPr>
      <w:r>
        <w:rPr>
          <w:noProof/>
        </w:rPr>
        <w:drawing>
          <wp:inline distT="0" distB="0" distL="0" distR="0" wp14:anchorId="3E4F6DC2" wp14:editId="7D722463">
            <wp:extent cx="4928616" cy="370332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KL Outflow Diff May5_2018"/>
                    <pic:cNvPicPr/>
                  </pic:nvPicPr>
                  <pic:blipFill>
                    <a:blip r:embed="rId41" cstate="print">
                      <a:extLst>
                        <a:ext uri="{28A0092B-C50C-407E-A947-70E740481C1C}">
                          <a14:useLocalDpi xmlns:a14="http://schemas.microsoft.com/office/drawing/2010/main" val="0"/>
                        </a:ext>
                      </a:extLst>
                    </a:blip>
                    <a:stretch>
                      <a:fillRect/>
                    </a:stretch>
                  </pic:blipFill>
                  <pic:spPr>
                    <a:xfrm>
                      <a:off x="0" y="0"/>
                      <a:ext cx="4928616" cy="3703320"/>
                    </a:xfrm>
                    <a:prstGeom prst="rect">
                      <a:avLst/>
                    </a:prstGeom>
                  </pic:spPr>
                </pic:pic>
              </a:graphicData>
            </a:graphic>
          </wp:inline>
        </w:drawing>
      </w:r>
    </w:p>
    <w:p w14:paraId="6DF5E8D3" w14:textId="2451C1D7" w:rsidR="001A1481" w:rsidRDefault="002A59B5" w:rsidP="001A1481">
      <w:pPr>
        <w:rPr>
          <w:noProof/>
        </w:rPr>
      </w:pPr>
      <w:r>
        <w:rPr>
          <w:noProof/>
        </w:rPr>
        <w:drawing>
          <wp:inline distT="0" distB="0" distL="0" distR="0" wp14:anchorId="6F862833" wp14:editId="544ED4E9">
            <wp:extent cx="4928616" cy="3703320"/>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KL Outflow May5_2018"/>
                    <pic:cNvPicPr/>
                  </pic:nvPicPr>
                  <pic:blipFill>
                    <a:blip r:embed="rId42" cstate="print">
                      <a:extLst>
                        <a:ext uri="{28A0092B-C50C-407E-A947-70E740481C1C}">
                          <a14:useLocalDpi xmlns:a14="http://schemas.microsoft.com/office/drawing/2010/main" val="0"/>
                        </a:ext>
                      </a:extLst>
                    </a:blip>
                    <a:stretch>
                      <a:fillRect/>
                    </a:stretch>
                  </pic:blipFill>
                  <pic:spPr>
                    <a:xfrm>
                      <a:off x="0" y="0"/>
                      <a:ext cx="4928616" cy="3703320"/>
                    </a:xfrm>
                    <a:prstGeom prst="rect">
                      <a:avLst/>
                    </a:prstGeom>
                  </pic:spPr>
                </pic:pic>
              </a:graphicData>
            </a:graphic>
          </wp:inline>
        </w:drawing>
      </w:r>
    </w:p>
    <w:p w14:paraId="6BA1573F" w14:textId="41519F6A" w:rsidR="009876E5" w:rsidRDefault="003732B5" w:rsidP="00A151C4">
      <w:r>
        <w:t>Figure 16. Comparison of variable differences to th</w:t>
      </w:r>
      <w:r w:rsidR="001A1481">
        <w:t>eir relative magnitude. The</w:t>
      </w:r>
      <w:r>
        <w:t xml:space="preserve"> </w:t>
      </w:r>
      <w:r w:rsidR="001A1481">
        <w:t xml:space="preserve">bottom </w:t>
      </w:r>
      <w:r>
        <w:t>plo</w:t>
      </w:r>
      <w:r w:rsidR="001A1481">
        <w:t>ts show a</w:t>
      </w:r>
      <w:r>
        <w:t xml:space="preserve"> comparison of the mo</w:t>
      </w:r>
      <w:r w:rsidR="001A1481">
        <w:t>del’s variables whereas the top</w:t>
      </w:r>
      <w:r>
        <w:t xml:space="preserve"> plot show</w:t>
      </w:r>
      <w:r w:rsidR="00BA0A2D">
        <w:t>s</w:t>
      </w:r>
      <w:r>
        <w:t xml:space="preserve"> the variables’ difference. The plots</w:t>
      </w:r>
      <w:r w:rsidR="00BA0A2D">
        <w:t>’</w:t>
      </w:r>
      <w:r w:rsidR="001A1481">
        <w:t xml:space="preserve"> “Operation Start Date” is 05</w:t>
      </w:r>
      <w:r>
        <w:t>/</w:t>
      </w:r>
      <w:r w:rsidR="001A1481">
        <w:t>05</w:t>
      </w:r>
      <w:r>
        <w:t>/</w:t>
      </w:r>
      <w:r w:rsidR="001A1481">
        <w:t xml:space="preserve">2018. From top to bottom, Plots A&amp;B are for UKL Pool Elevation and Plots C&amp;D are for UKL Outflow. </w:t>
      </w:r>
    </w:p>
    <w:p w14:paraId="25721AA6" w14:textId="01FFA4E0" w:rsidR="00E33F93" w:rsidRDefault="0068145E" w:rsidP="00A151C4">
      <w:r>
        <w:t>The purpose of this report is</w:t>
      </w:r>
      <w:r w:rsidR="00B95D31">
        <w:t xml:space="preserve"> to test the KROM’s ability to run the basin’s operational policy. </w:t>
      </w:r>
      <w:r w:rsidR="00C95D9D">
        <w:t xml:space="preserve">Throughout the analysis of key variables and the methodologies </w:t>
      </w:r>
      <w:r>
        <w:t>that</w:t>
      </w:r>
      <w:r w:rsidR="00C95D9D">
        <w:t xml:space="preserve"> calculate/assign them, some reoccurring inconsistencies between the KROM and IGD Calc </w:t>
      </w:r>
      <w:r>
        <w:t>are</w:t>
      </w:r>
      <w:r w:rsidR="00C95D9D">
        <w:t xml:space="preserve"> discovered. Whil</w:t>
      </w:r>
      <w:r>
        <w:t>e these inconsistencies produce</w:t>
      </w:r>
      <w:r w:rsidR="00C95D9D">
        <w:t xml:space="preserve"> variable differences throughout </w:t>
      </w:r>
      <w:r w:rsidR="00BC287C">
        <w:t>the model</w:t>
      </w:r>
      <w:r w:rsidR="00C95D9D">
        <w:t xml:space="preserve"> runs, the relative magnitude of differences to</w:t>
      </w:r>
      <w:r w:rsidR="00E33F93">
        <w:t xml:space="preserve"> the</w:t>
      </w:r>
      <w:r w:rsidR="00C95D9D">
        <w:t xml:space="preserve"> </w:t>
      </w:r>
      <w:r w:rsidR="00E33F93">
        <w:t xml:space="preserve">general quantity is small. Therefore, the KROM is deemed capable of running the basin’s operational policy with differences between the models’ calculations deemed unavoidable </w:t>
      </w:r>
      <w:r w:rsidR="00E33F93" w:rsidRPr="0068145E">
        <w:rPr>
          <w:highlight w:val="yellow"/>
        </w:rPr>
        <w:t>due to fundamental method inconsistencies.</w:t>
      </w:r>
    </w:p>
    <w:p w14:paraId="170EC4A8" w14:textId="63588455" w:rsidR="00671E8B" w:rsidRDefault="005D2531" w:rsidP="00A151C4">
      <w:r>
        <w:t xml:space="preserve">The primary inconsistencies between the models concerns converting daily average flows to volumes and setting the elevation at UKL. Since </w:t>
      </w:r>
      <w:r w:rsidR="00762925">
        <w:t>the inconsistencies</w:t>
      </w:r>
      <w:r>
        <w:t xml:space="preserve"> cause reoccurring differences </w:t>
      </w:r>
      <w:r w:rsidR="0068145E">
        <w:t>for many</w:t>
      </w:r>
      <w:r>
        <w:t xml:space="preserve"> variable calculations, they </w:t>
      </w:r>
      <w:r w:rsidR="00A415EF">
        <w:t>are</w:t>
      </w:r>
      <w:r>
        <w:t xml:space="preserve"> denoted. The conversion inconsistency </w:t>
      </w:r>
      <w:r w:rsidR="00A415EF">
        <w:t>is</w:t>
      </w:r>
      <w:r>
        <w:t xml:space="preserve"> denoted Model Conversion Difference or MCD. It occurs due to the precision at which daily average flows are converted to volumes or vice versa. The IGD Calc is precise to the 4</w:t>
      </w:r>
      <w:r w:rsidRPr="005D2531">
        <w:rPr>
          <w:vertAlign w:val="superscript"/>
        </w:rPr>
        <w:t>th</w:t>
      </w:r>
      <w:r>
        <w:t xml:space="preserve"> decimal</w:t>
      </w:r>
      <w:r w:rsidR="00375D11">
        <w:t xml:space="preserve"> whereas the</w:t>
      </w:r>
      <w:r>
        <w:t xml:space="preserve"> KROM</w:t>
      </w:r>
      <w:r w:rsidR="00375D11">
        <w:t xml:space="preserve"> is</w:t>
      </w:r>
      <w:r>
        <w:t xml:space="preserve"> to the 10</w:t>
      </w:r>
      <w:r w:rsidRPr="005D2531">
        <w:rPr>
          <w:vertAlign w:val="superscript"/>
        </w:rPr>
        <w:t>th</w:t>
      </w:r>
      <w:r>
        <w:t xml:space="preserve"> decimal. While a value</w:t>
      </w:r>
      <w:r w:rsidR="00671E8B">
        <w:t xml:space="preserve"> difference</w:t>
      </w:r>
      <w:r>
        <w:t xml:space="preserve"> starting on the 5</w:t>
      </w:r>
      <w:r w:rsidRPr="005D2531">
        <w:rPr>
          <w:vertAlign w:val="superscript"/>
        </w:rPr>
        <w:t>th</w:t>
      </w:r>
      <w:r>
        <w:t xml:space="preserve"> decimal seems minor, the difference becomes exacerbated w</w:t>
      </w:r>
      <w:r w:rsidR="00671E8B">
        <w:t>hen converting</w:t>
      </w:r>
      <w:r>
        <w:t xml:space="preserve"> </w:t>
      </w:r>
      <w:r w:rsidR="00671E8B">
        <w:t>flows reaching</w:t>
      </w:r>
      <w:r>
        <w:t xml:space="preserve"> in</w:t>
      </w:r>
      <w:r w:rsidR="00671E8B">
        <w:t>to</w:t>
      </w:r>
      <w:r>
        <w:t xml:space="preserve"> the 1000’s</w:t>
      </w:r>
      <w:r w:rsidR="00671E8B">
        <w:t xml:space="preserve"> of</w:t>
      </w:r>
      <w:r>
        <w:t xml:space="preserve"> </w:t>
      </w:r>
      <w:r w:rsidR="00671E8B">
        <w:t xml:space="preserve">cfs. The best demonstration of a variable difference caused solely by this inconsistency </w:t>
      </w:r>
      <w:r w:rsidR="00BB5F93">
        <w:t>is the</w:t>
      </w:r>
      <w:r w:rsidR="00671E8B">
        <w:t xml:space="preserve"> A Canal Diversion. </w:t>
      </w:r>
      <w:r w:rsidR="008E0052">
        <w:t xml:space="preserve">A demonstration of MCD’s greater influence is </w:t>
      </w:r>
      <w:r w:rsidR="00BB5F93">
        <w:t>the</w:t>
      </w:r>
      <w:r w:rsidR="00B53A26">
        <w:t xml:space="preserve"> EWA Used. This is a</w:t>
      </w:r>
      <w:r w:rsidR="008E0052">
        <w:t xml:space="preserve"> variable which requires large flows (500 to 2000 cfs) to be converted to a volume. If off, the difference propagates </w:t>
      </w:r>
      <w:r w:rsidR="00BB5F93">
        <w:t>through to dependent variables</w:t>
      </w:r>
      <w:r w:rsidR="00A415EF">
        <w:t xml:space="preserve"> (directly or through another variable). A few of which are the following: UKL for IGD, UKL for River, UKL Outflow, EWA Remain, Surface and Deep Flushing.</w:t>
      </w:r>
    </w:p>
    <w:p w14:paraId="6A19CF44" w14:textId="23BA7896" w:rsidR="00BC287C" w:rsidRDefault="00A415EF" w:rsidP="00BC287C">
      <w:r>
        <w:t xml:space="preserve">The </w:t>
      </w:r>
      <w:r w:rsidR="0068145E">
        <w:t>elevation</w:t>
      </w:r>
      <w:r>
        <w:t xml:space="preserve"> assignment inconsistency </w:t>
      </w:r>
      <w:r w:rsidR="00375D11">
        <w:t>is</w:t>
      </w:r>
      <w:r>
        <w:t xml:space="preserve"> denoted </w:t>
      </w:r>
      <w:r w:rsidR="00375D11">
        <w:t xml:space="preserve">Look Up versus Interpolation </w:t>
      </w:r>
      <w:r w:rsidR="00B53A26">
        <w:t>or LUvI. This is</w:t>
      </w:r>
      <w:r w:rsidR="00375D11">
        <w:t xml:space="preserve"> characterize</w:t>
      </w:r>
      <w:r w:rsidR="00AE58B3">
        <w:t>d</w:t>
      </w:r>
      <w:r w:rsidR="00375D11">
        <w:t xml:space="preserve"> as a </w:t>
      </w:r>
      <w:r w:rsidR="00BB5F93">
        <w:t>function inconsistency</w:t>
      </w:r>
      <w:r w:rsidR="00375D11">
        <w:t xml:space="preserve">. </w:t>
      </w:r>
      <w:r w:rsidR="00AE58B3">
        <w:t xml:space="preserve">The IGD Calc has an Elevation Volume Table which is identical to the one in the KROM. To assign a pool elevation, it references the calculated </w:t>
      </w:r>
      <w:r w:rsidR="00B53A26">
        <w:t>volume or elevation</w:t>
      </w:r>
      <w:r w:rsidR="00AE58B3">
        <w:t xml:space="preserve"> by using a Look Up function. This Look Up function is precise to the 2</w:t>
      </w:r>
      <w:r w:rsidR="00AE58B3" w:rsidRPr="00AE58B3">
        <w:rPr>
          <w:vertAlign w:val="superscript"/>
        </w:rPr>
        <w:t>nd</w:t>
      </w:r>
      <w:r w:rsidR="00AE58B3">
        <w:t xml:space="preserve"> decimal and rounds down. </w:t>
      </w:r>
      <w:r w:rsidR="00B53A26">
        <w:t>In</w:t>
      </w:r>
      <w:r w:rsidR="00AE58B3">
        <w:t xml:space="preserve"> the KROM, the volume or elevation is also referenced to the table.</w:t>
      </w:r>
      <w:r w:rsidR="00762925">
        <w:t xml:space="preserve"> </w:t>
      </w:r>
      <w:r w:rsidR="00AE58B3">
        <w:t>I</w:t>
      </w:r>
      <w:r w:rsidR="00704F7B">
        <w:t xml:space="preserve">nstead, </w:t>
      </w:r>
      <w:r w:rsidR="00D23B45">
        <w:t xml:space="preserve">it </w:t>
      </w:r>
      <w:r w:rsidR="00704F7B">
        <w:t xml:space="preserve">uses an Interpolation function to set </w:t>
      </w:r>
      <w:r w:rsidR="00BC287C">
        <w:t xml:space="preserve">a value which is proportionally between the nearest volumes/elevations. </w:t>
      </w:r>
      <w:r w:rsidR="00704F7B">
        <w:t xml:space="preserve">The best demonstration of this inconsistency is shown on the plots of UKL Pool Elevation during the predicted period. As for </w:t>
      </w:r>
      <w:r w:rsidR="00762925">
        <w:t>a</w:t>
      </w:r>
      <w:r w:rsidR="00704F7B">
        <w:t xml:space="preserve"> greater influence, the Flood Release </w:t>
      </w:r>
      <w:r w:rsidR="00D23B45">
        <w:t>is applicable. The</w:t>
      </w:r>
      <w:r w:rsidR="00BC287C">
        <w:t xml:space="preserve"> models’</w:t>
      </w:r>
      <w:r w:rsidR="00D23B45">
        <w:t xml:space="preserve"> Flood </w:t>
      </w:r>
      <w:r w:rsidR="00762925">
        <w:t>Release typically differs</w:t>
      </w:r>
      <w:r w:rsidR="00D23B45">
        <w:t xml:space="preserve"> in the first two days </w:t>
      </w:r>
      <w:r w:rsidR="00762925">
        <w:t>as the starting</w:t>
      </w:r>
      <w:r w:rsidR="00D23B45">
        <w:t xml:space="preserve"> elevations</w:t>
      </w:r>
      <w:r w:rsidR="00762925">
        <w:t xml:space="preserve"> are inequivalent</w:t>
      </w:r>
      <w:r w:rsidR="00D23B45">
        <w:t xml:space="preserve">. As a result, over or under releases occur before the models </w:t>
      </w:r>
      <w:r w:rsidR="00762925">
        <w:t>can reach an identical elevation set</w:t>
      </w:r>
      <w:r w:rsidR="00D23B45">
        <w:t xml:space="preserve"> by the flood control policy. Once off, the</w:t>
      </w:r>
      <w:r w:rsidR="00BC287C">
        <w:t xml:space="preserve"> release</w:t>
      </w:r>
      <w:r w:rsidR="00D23B45">
        <w:t xml:space="preserve"> </w:t>
      </w:r>
      <w:r w:rsidR="00BC287C">
        <w:t>difference</w:t>
      </w:r>
      <w:r w:rsidR="00D23B45">
        <w:t xml:space="preserve"> propagate</w:t>
      </w:r>
      <w:r w:rsidR="00BC287C">
        <w:t>s through</w:t>
      </w:r>
      <w:r w:rsidR="00BB5F93">
        <w:t xml:space="preserve"> to</w:t>
      </w:r>
      <w:r w:rsidR="00D23B45">
        <w:t xml:space="preserve"> </w:t>
      </w:r>
      <w:r w:rsidR="00BB5F93">
        <w:t>dependent variables. A few of which are the following: EWA Used and Remain, UKL for IGD, UKL for River, UKL Outflow, Surface and Deep Flushing.</w:t>
      </w:r>
    </w:p>
    <w:p w14:paraId="7877F845" w14:textId="727F81E3" w:rsidR="00A9148C" w:rsidRDefault="007007C9" w:rsidP="00BC287C">
      <w:r>
        <w:t>To demonstrate that the inconsistencies d</w:t>
      </w:r>
      <w:r w:rsidR="00536E47">
        <w:t>o</w:t>
      </w:r>
      <w:r>
        <w:t xml:space="preserve"> not </w:t>
      </w:r>
      <w:r w:rsidR="00762925">
        <w:t xml:space="preserve">hinder </w:t>
      </w:r>
      <w:r w:rsidR="00536E47">
        <w:t>the KROM</w:t>
      </w:r>
      <w:r w:rsidR="00762925">
        <w:t>’s ability</w:t>
      </w:r>
      <w:r w:rsidR="00536E47">
        <w:t xml:space="preserve"> to run the basin’s operation policy, Figures 15 is presented. In Plot A and B of Figure 15, the differences in UKL Pool Elevation are shown. Plot B demonstrates the scattered nature of this assignment</w:t>
      </w:r>
      <w:r w:rsidR="00762925">
        <w:t xml:space="preserve">. </w:t>
      </w:r>
      <w:r w:rsidR="00536E47">
        <w:t xml:space="preserve">Plot A demonstrates the </w:t>
      </w:r>
      <w:r w:rsidR="004D362D">
        <w:t>limited e</w:t>
      </w:r>
      <w:r w:rsidR="00536E47">
        <w:t xml:space="preserve">ffect it has on </w:t>
      </w:r>
      <w:r w:rsidR="00762925">
        <w:t>KROM</w:t>
      </w:r>
      <w:r w:rsidR="00536E47">
        <w:t xml:space="preserve"> predicting elevation. </w:t>
      </w:r>
      <w:r w:rsidR="004D362D">
        <w:t xml:space="preserve">To </w:t>
      </w:r>
      <w:r w:rsidR="00762925">
        <w:t>assess</w:t>
      </w:r>
      <w:r w:rsidR="004D362D">
        <w:t xml:space="preserve"> the differences, the </w:t>
      </w:r>
      <w:r w:rsidR="00762925">
        <w:t>significance</w:t>
      </w:r>
      <w:r w:rsidR="00135E2B">
        <w:t xml:space="preserve"> is calculated</w:t>
      </w:r>
      <w:r w:rsidR="0068145E">
        <w:t>. Thus, the largest</w:t>
      </w:r>
      <w:r w:rsidR="004D362D">
        <w:t xml:space="preserve"> difference of 0.02 feet has a significance of 0.3%. In Plot C and D of Figure 15, the differences in UKL Outflow are shown. Plot D demonstrates the large under releases (~ 100 to 500 cfs)</w:t>
      </w:r>
      <w:r w:rsidR="00762925">
        <w:t>.</w:t>
      </w:r>
      <w:r w:rsidR="004D362D">
        <w:t xml:space="preserve"> Plot C demonstrates </w:t>
      </w:r>
      <w:r w:rsidR="008B3259">
        <w:t>KROM’s overall accuracy</w:t>
      </w:r>
      <w:r w:rsidR="008664CB">
        <w:t>. T</w:t>
      </w:r>
      <w:r w:rsidR="004D362D">
        <w:t xml:space="preserve">he </w:t>
      </w:r>
      <w:r w:rsidR="008664CB">
        <w:t>difference</w:t>
      </w:r>
      <w:r w:rsidR="004D362D">
        <w:t xml:space="preserve"> of ~ 485 cfs </w:t>
      </w:r>
      <w:r w:rsidR="00135E2B">
        <w:t>equates to</w:t>
      </w:r>
      <w:r w:rsidR="008B3259">
        <w:t xml:space="preserve"> a</w:t>
      </w:r>
      <w:r w:rsidR="00135E2B">
        <w:t xml:space="preserve"> </w:t>
      </w:r>
      <w:r w:rsidR="008664CB">
        <w:t>significance of 9.33%. The remaining differences afterwa</w:t>
      </w:r>
      <w:r w:rsidR="0068145E">
        <w:t>rds are much smaller</w:t>
      </w:r>
      <w:r w:rsidR="008B3259">
        <w:t>. At most they are</w:t>
      </w:r>
      <w:r w:rsidR="008664CB">
        <w:t xml:space="preserve"> 15 cfs, which has a significance of 0.29%.</w:t>
      </w:r>
    </w:p>
    <w:p w14:paraId="791ED0AE" w14:textId="15A7579F" w:rsidR="00EA7F84" w:rsidRDefault="00E023C0" w:rsidP="00BC287C">
      <w:r>
        <w:t xml:space="preserve">Based on the </w:t>
      </w:r>
      <w:r w:rsidR="008B3259">
        <w:t>significance</w:t>
      </w:r>
      <w:r>
        <w:t xml:space="preserve"> of the differences and their inability to hinder</w:t>
      </w:r>
      <w:r w:rsidR="00EA7F84">
        <w:t xml:space="preserve"> application of </w:t>
      </w:r>
      <w:r>
        <w:t>basin operational policy</w:t>
      </w:r>
      <w:r w:rsidR="00EA7F84">
        <w:t>, the testing concludes that the KROM sufficiently matches the IGD Calc</w:t>
      </w:r>
      <w:r w:rsidR="00B53A26">
        <w:t>’s</w:t>
      </w:r>
      <w:r w:rsidR="006B6182">
        <w:t xml:space="preserve"> capabilities</w:t>
      </w:r>
      <w:r w:rsidR="00EA7F84">
        <w:t xml:space="preserve">. </w:t>
      </w:r>
      <w:r w:rsidR="00B53A26">
        <w:t xml:space="preserve">No efforts </w:t>
      </w:r>
      <w:r w:rsidR="008B3259">
        <w:t xml:space="preserve">are needed to </w:t>
      </w:r>
      <w:r w:rsidR="006B6182">
        <w:t>address the inconsistencies as they are inherent to the models and the</w:t>
      </w:r>
      <w:r w:rsidR="008B3259">
        <w:t xml:space="preserve"> resultant</w:t>
      </w:r>
      <w:r w:rsidR="006B6182">
        <w:t xml:space="preserve"> effect is negligible.</w:t>
      </w:r>
      <w:r w:rsidR="008B3259">
        <w:t xml:space="preserve"> </w:t>
      </w:r>
      <w:r w:rsidR="0068145E">
        <w:t xml:space="preserve">Phase 2, Task 4 is concluded and efforts towards the next task can begin. </w:t>
      </w:r>
    </w:p>
    <w:p w14:paraId="3128800C" w14:textId="53137123" w:rsidR="00EB29CB" w:rsidRPr="001917DB" w:rsidRDefault="005E6F88" w:rsidP="005E6F88">
      <w:pPr>
        <w:pStyle w:val="Heading1"/>
      </w:pPr>
      <w:r>
        <w:t>Appendix</w:t>
      </w:r>
    </w:p>
    <w:sectPr w:rsidR="00EB29CB" w:rsidRPr="001917DB" w:rsidSect="00F47F3D">
      <w:headerReference w:type="default" r:id="rId43"/>
      <w:footerReference w:type="default" r:id="rId44"/>
      <w:headerReference w:type="first" r:id="rId45"/>
      <w:footerReference w:type="first" r:id="rId46"/>
      <w:pgSz w:w="12240" w:h="15840"/>
      <w:pgMar w:top="1440" w:right="1440" w:bottom="1440" w:left="1440" w:header="72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99BF2F" w16cid:durableId="20E571A7"/>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EC99B7" w14:textId="77777777" w:rsidR="003A3A60" w:rsidRDefault="003A3A60" w:rsidP="00365E1D">
      <w:r>
        <w:separator/>
      </w:r>
    </w:p>
  </w:endnote>
  <w:endnote w:type="continuationSeparator" w:id="0">
    <w:p w14:paraId="1F9E8412" w14:textId="77777777" w:rsidR="003A3A60" w:rsidRDefault="003A3A60" w:rsidP="00365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8386848"/>
      <w:docPartObj>
        <w:docPartGallery w:val="Page Numbers (Bottom of Page)"/>
        <w:docPartUnique/>
      </w:docPartObj>
    </w:sdtPr>
    <w:sdtEndPr/>
    <w:sdtContent>
      <w:sdt>
        <w:sdtPr>
          <w:id w:val="-1769616900"/>
          <w:docPartObj>
            <w:docPartGallery w:val="Page Numbers (Top of Page)"/>
            <w:docPartUnique/>
          </w:docPartObj>
        </w:sdtPr>
        <w:sdtEndPr/>
        <w:sdtContent>
          <w:p w14:paraId="2024B59A" w14:textId="5D2C2564" w:rsidR="002B1A27" w:rsidRDefault="002B1A27" w:rsidP="00F47F3D">
            <w:pPr>
              <w:pStyle w:val="Footnote"/>
            </w:pPr>
            <w:r w:rsidRPr="006B0601">
              <w:t xml:space="preserve">Klamath </w:t>
            </w:r>
            <w:r>
              <w:t xml:space="preserve">Basin </w:t>
            </w:r>
            <w:r w:rsidRPr="006B0601">
              <w:t xml:space="preserve">RiverWare Model </w:t>
            </w:r>
            <w:r>
              <w:t xml:space="preserve">Testing Plan </w:t>
            </w:r>
            <w:r>
              <w:tab/>
            </w:r>
            <w:r>
              <w:tab/>
            </w:r>
            <w:r>
              <w:tab/>
            </w:r>
            <w:r>
              <w:tab/>
            </w:r>
            <w:r>
              <w:tab/>
            </w:r>
            <w:r>
              <w:tab/>
            </w:r>
            <w:r>
              <w:tab/>
            </w:r>
            <w:r>
              <w:tab/>
            </w:r>
            <w:r>
              <w:tab/>
            </w:r>
            <w:r>
              <w:tab/>
            </w:r>
            <w:r>
              <w:tab/>
            </w: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2A59B5">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A59B5">
              <w:rPr>
                <w:b/>
                <w:bCs/>
                <w:noProof/>
              </w:rPr>
              <w:t>15</w:t>
            </w:r>
            <w:r>
              <w:rPr>
                <w:b/>
                <w:bCs/>
                <w:sz w:val="24"/>
                <w:szCs w:val="24"/>
              </w:rPr>
              <w:fldChar w:fldCharType="end"/>
            </w:r>
            <w:r>
              <w:rPr>
                <w:b/>
                <w:bCs/>
                <w:sz w:val="24"/>
                <w:szCs w:val="24"/>
              </w:rPr>
              <w:tab/>
            </w:r>
          </w:p>
        </w:sdtContent>
      </w:sdt>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5C8286" w14:textId="3C4D4846" w:rsidR="002B1A27" w:rsidRDefault="002B1A27" w:rsidP="003251A3">
    <w:pPr>
      <w:pStyle w:val="Footer"/>
      <w:tabs>
        <w:tab w:val="clear" w:pos="9360"/>
        <w:tab w:val="right" w:pos="9090"/>
      </w:tabs>
    </w:pPr>
    <w:r>
      <w:tab/>
    </w:r>
    <w:r w:rsidRPr="002264E0">
      <w:rPr>
        <w:sz w:val="16"/>
      </w:rPr>
      <w:fldChar w:fldCharType="begin"/>
    </w:r>
    <w:r w:rsidRPr="002264E0">
      <w:rPr>
        <w:sz w:val="16"/>
      </w:rPr>
      <w:instrText xml:space="preserve"> FILENAME  \p  \* MERGEFORMAT </w:instrText>
    </w:r>
    <w:r w:rsidRPr="002264E0">
      <w:rPr>
        <w:sz w:val="16"/>
      </w:rPr>
      <w:fldChar w:fldCharType="separate"/>
    </w:r>
    <w:r>
      <w:rPr>
        <w:noProof/>
        <w:sz w:val="16"/>
      </w:rPr>
      <w:t>\\animas\projects\Klamath\ProjectDeliverablesAndReports\KlamathModelReview.2019.06.07.docx</w:t>
    </w:r>
    <w:r w:rsidRPr="002264E0">
      <w:rPr>
        <w:sz w:val="16"/>
      </w:rPr>
      <w:fldChar w:fldCharType="end"/>
    </w:r>
    <w:r>
      <w:t xml:space="preserve">  </w:t>
    </w:r>
    <w:r>
      <w:tab/>
      <w:t xml:space="preserve">Page </w:t>
    </w:r>
    <w:r>
      <w:rPr>
        <w:b/>
        <w:bCs/>
        <w:sz w:val="24"/>
        <w:szCs w:val="24"/>
      </w:rPr>
      <w:fldChar w:fldCharType="begin"/>
    </w:r>
    <w:r>
      <w:rPr>
        <w:b/>
        <w:bCs/>
      </w:rPr>
      <w:instrText xml:space="preserve"> PAGE </w:instrText>
    </w:r>
    <w:r>
      <w:rPr>
        <w:b/>
        <w:bCs/>
        <w:sz w:val="24"/>
        <w:szCs w:val="24"/>
      </w:rPr>
      <w:fldChar w:fldCharType="separate"/>
    </w:r>
    <w:r w:rsidR="002A59B5">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A59B5">
      <w:rPr>
        <w:b/>
        <w:bCs/>
        <w:noProof/>
      </w:rPr>
      <w:t>15</w:t>
    </w:r>
    <w:r>
      <w:rPr>
        <w:b/>
        <w:bCs/>
        <w:sz w:val="24"/>
        <w:szCs w:val="24"/>
      </w:rPr>
      <w:fldChar w:fldCharType="end"/>
    </w:r>
    <w:r>
      <w:rPr>
        <w:b/>
        <w:bCs/>
        <w:sz w:val="24"/>
        <w:szCs w:val="24"/>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A7C05A" w14:textId="77777777" w:rsidR="003A3A60" w:rsidRDefault="003A3A60" w:rsidP="00365E1D">
      <w:r>
        <w:separator/>
      </w:r>
    </w:p>
  </w:footnote>
  <w:footnote w:type="continuationSeparator" w:id="0">
    <w:p w14:paraId="71B30589" w14:textId="77777777" w:rsidR="003A3A60" w:rsidRDefault="003A3A60" w:rsidP="00365E1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6F911A" w14:textId="77777777" w:rsidR="002B1A27" w:rsidRDefault="002B1A27">
    <w:pPr>
      <w:pStyle w:val="Header"/>
    </w:pPr>
    <w:r>
      <w:tab/>
    </w:r>
    <w:r w:rsidRPr="00B8058B">
      <w:rPr>
        <w:color w:val="BFBFBF" w:themeColor="background1" w:themeShade="BF"/>
      </w:rPr>
      <w:t>DRAFT</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94AC54" w14:textId="77777777" w:rsidR="002B1A27" w:rsidRPr="00D87930" w:rsidRDefault="002B1A27">
    <w:pPr>
      <w:pStyle w:val="Header"/>
      <w:rPr>
        <w:b/>
      </w:rPr>
    </w:pPr>
    <w:r>
      <w:tab/>
    </w:r>
    <w:r w:rsidRPr="00D87930">
      <w:rPr>
        <w:b/>
        <w:color w:val="BFBFBF" w:themeColor="background1" w:themeShade="BF"/>
        <w:sz w:val="32"/>
      </w:rPr>
      <w:t>DRAFT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04E50"/>
    <w:multiLevelType w:val="multilevel"/>
    <w:tmpl w:val="0CCEA494"/>
    <w:name w:val="TITLE4"/>
    <w:styleLink w:val="ListBullets"/>
    <w:lvl w:ilvl="0">
      <w:start w:val="1"/>
      <w:numFmt w:val="bullet"/>
      <w:pStyle w:val="ListBullet"/>
      <w:lvlText w:val=""/>
      <w:lvlJc w:val="left"/>
      <w:pPr>
        <w:ind w:left="288" w:hanging="288"/>
      </w:pPr>
      <w:rPr>
        <w:rFonts w:ascii="Symbol" w:hAnsi="Symbol" w:hint="default"/>
      </w:rPr>
    </w:lvl>
    <w:lvl w:ilvl="1">
      <w:start w:val="1"/>
      <w:numFmt w:val="bullet"/>
      <w:pStyle w:val="ListBullet2"/>
      <w:lvlText w:val=""/>
      <w:lvlJc w:val="left"/>
      <w:pPr>
        <w:ind w:left="576" w:hanging="288"/>
      </w:pPr>
      <w:rPr>
        <w:rFonts w:ascii="Symbol" w:hAnsi="Symbol" w:hint="default"/>
      </w:rPr>
    </w:lvl>
    <w:lvl w:ilvl="2">
      <w:start w:val="1"/>
      <w:numFmt w:val="bullet"/>
      <w:pStyle w:val="ListBullet3"/>
      <w:lvlText w:val=""/>
      <w:lvlJc w:val="left"/>
      <w:pPr>
        <w:ind w:left="864" w:hanging="288"/>
      </w:pPr>
      <w:rPr>
        <w:rFonts w:ascii="Symbol" w:hAnsi="Symbol" w:hint="default"/>
        <w:color w:val="auto"/>
      </w:rPr>
    </w:lvl>
    <w:lvl w:ilvl="3">
      <w:start w:val="1"/>
      <w:numFmt w:val="bullet"/>
      <w:pStyle w:val="ListBullet4"/>
      <w:lvlText w:val=""/>
      <w:lvlJc w:val="left"/>
      <w:pPr>
        <w:ind w:left="1152" w:hanging="288"/>
      </w:pPr>
      <w:rPr>
        <w:rFonts w:ascii="Wingdings" w:hAnsi="Wingdings" w:hint="default"/>
      </w:rPr>
    </w:lvl>
    <w:lvl w:ilvl="4">
      <w:start w:val="1"/>
      <w:numFmt w:val="bullet"/>
      <w:pStyle w:val="ListBullet5"/>
      <w:lvlText w:val=""/>
      <w:lvlJc w:val="left"/>
      <w:pPr>
        <w:ind w:left="1440" w:hanging="288"/>
      </w:pPr>
      <w:rPr>
        <w:rFonts w:ascii="Symbol" w:hAnsi="Symbol" w:hint="default"/>
      </w:rPr>
    </w:lvl>
    <w:lvl w:ilvl="5">
      <w:start w:val="1"/>
      <w:numFmt w:val="none"/>
      <w:lvlText w:val=""/>
      <w:lvlJc w:val="left"/>
      <w:pPr>
        <w:ind w:left="1728" w:hanging="288"/>
      </w:pPr>
      <w:rPr>
        <w:rFonts w:hint="default"/>
      </w:rPr>
    </w:lvl>
    <w:lvl w:ilvl="6">
      <w:start w:val="1"/>
      <w:numFmt w:val="none"/>
      <w:lvlText w:val=""/>
      <w:lvlJc w:val="left"/>
      <w:pPr>
        <w:ind w:left="2016" w:hanging="288"/>
      </w:pPr>
      <w:rPr>
        <w:rFonts w:hint="default"/>
      </w:rPr>
    </w:lvl>
    <w:lvl w:ilvl="7">
      <w:start w:val="1"/>
      <w:numFmt w:val="none"/>
      <w:lvlText w:val="%8"/>
      <w:lvlJc w:val="left"/>
      <w:pPr>
        <w:ind w:left="2304" w:hanging="288"/>
      </w:pPr>
      <w:rPr>
        <w:rFonts w:hint="default"/>
      </w:rPr>
    </w:lvl>
    <w:lvl w:ilvl="8">
      <w:start w:val="1"/>
      <w:numFmt w:val="none"/>
      <w:lvlText w:val="%9"/>
      <w:lvlJc w:val="left"/>
      <w:pPr>
        <w:ind w:left="2592" w:hanging="288"/>
      </w:pPr>
      <w:rPr>
        <w:rFonts w:hint="default"/>
      </w:rPr>
    </w:lvl>
  </w:abstractNum>
  <w:abstractNum w:abstractNumId="1" w15:restartNumberingAfterBreak="0">
    <w:nsid w:val="035F0915"/>
    <w:multiLevelType w:val="multilevel"/>
    <w:tmpl w:val="16F03F06"/>
    <w:styleLink w:val="Inline"/>
    <w:lvl w:ilvl="0">
      <w:start w:val="1"/>
      <w:numFmt w:val="none"/>
      <w:pStyle w:val="InlineNote"/>
      <w:suff w:val="space"/>
      <w:lvlText w:val="Note:%1"/>
      <w:lvlJc w:val="left"/>
      <w:pPr>
        <w:ind w:left="576" w:firstLine="0"/>
      </w:pPr>
      <w:rPr>
        <w:rFonts w:ascii="Arial" w:hAnsi="Arial" w:hint="default"/>
        <w:b/>
        <w:i w:val="0"/>
        <w:color w:val="CC6633"/>
        <w:sz w:val="20"/>
      </w:rPr>
    </w:lvl>
    <w:lvl w:ilvl="1">
      <w:start w:val="1"/>
      <w:numFmt w:val="none"/>
      <w:lvlText w:val=""/>
      <w:lvlJc w:val="left"/>
      <w:pPr>
        <w:ind w:left="576" w:firstLine="0"/>
      </w:pPr>
      <w:rPr>
        <w:rFonts w:hint="default"/>
      </w:rPr>
    </w:lvl>
    <w:lvl w:ilvl="2">
      <w:start w:val="1"/>
      <w:numFmt w:val="none"/>
      <w:lvlText w:val=""/>
      <w:lvlJc w:val="right"/>
      <w:pPr>
        <w:ind w:left="576" w:firstLine="0"/>
      </w:pPr>
      <w:rPr>
        <w:rFonts w:hint="default"/>
      </w:rPr>
    </w:lvl>
    <w:lvl w:ilvl="3">
      <w:start w:val="1"/>
      <w:numFmt w:val="none"/>
      <w:lvlText w:val=""/>
      <w:lvlJc w:val="left"/>
      <w:pPr>
        <w:ind w:left="576" w:firstLine="0"/>
      </w:pPr>
      <w:rPr>
        <w:rFonts w:hint="default"/>
      </w:rPr>
    </w:lvl>
    <w:lvl w:ilvl="4">
      <w:start w:val="1"/>
      <w:numFmt w:val="none"/>
      <w:lvlText w:val=""/>
      <w:lvlJc w:val="left"/>
      <w:pPr>
        <w:ind w:left="576" w:firstLine="0"/>
      </w:pPr>
      <w:rPr>
        <w:rFonts w:hint="default"/>
      </w:rPr>
    </w:lvl>
    <w:lvl w:ilvl="5">
      <w:start w:val="1"/>
      <w:numFmt w:val="none"/>
      <w:lvlText w:val=""/>
      <w:lvlJc w:val="right"/>
      <w:pPr>
        <w:ind w:left="576" w:firstLine="0"/>
      </w:pPr>
      <w:rPr>
        <w:rFonts w:hint="default"/>
      </w:rPr>
    </w:lvl>
    <w:lvl w:ilvl="6">
      <w:start w:val="1"/>
      <w:numFmt w:val="none"/>
      <w:lvlText w:val=""/>
      <w:lvlJc w:val="left"/>
      <w:pPr>
        <w:ind w:left="576" w:firstLine="0"/>
      </w:pPr>
      <w:rPr>
        <w:rFonts w:hint="default"/>
      </w:rPr>
    </w:lvl>
    <w:lvl w:ilvl="7">
      <w:start w:val="1"/>
      <w:numFmt w:val="none"/>
      <w:lvlText w:val=""/>
      <w:lvlJc w:val="left"/>
      <w:pPr>
        <w:ind w:left="576" w:firstLine="0"/>
      </w:pPr>
      <w:rPr>
        <w:rFonts w:hint="default"/>
      </w:rPr>
    </w:lvl>
    <w:lvl w:ilvl="8">
      <w:numFmt w:val="none"/>
      <w:lvlRestart w:val="0"/>
      <w:suff w:val="space"/>
      <w:lvlText w:val=""/>
      <w:lvlJc w:val="right"/>
      <w:pPr>
        <w:ind w:left="576" w:firstLine="0"/>
      </w:pPr>
      <w:rPr>
        <w:rFonts w:hint="default"/>
      </w:rPr>
    </w:lvl>
  </w:abstractNum>
  <w:abstractNum w:abstractNumId="2" w15:restartNumberingAfterBreak="0">
    <w:nsid w:val="081E24FD"/>
    <w:multiLevelType w:val="multilevel"/>
    <w:tmpl w:val="0CCEA494"/>
    <w:numStyleLink w:val="ListBullets"/>
  </w:abstractNum>
  <w:abstractNum w:abstractNumId="3" w15:restartNumberingAfterBreak="0">
    <w:nsid w:val="0B975534"/>
    <w:multiLevelType w:val="multilevel"/>
    <w:tmpl w:val="8ACC4E24"/>
    <w:styleLink w:val="UnorderedList"/>
    <w:lvl w:ilvl="0">
      <w:start w:val="1"/>
      <w:numFmt w:val="bullet"/>
      <w:lvlText w:val=""/>
      <w:lvlJc w:val="left"/>
      <w:pPr>
        <w:ind w:left="1008" w:hanging="360"/>
      </w:pPr>
      <w:rPr>
        <w:rFonts w:ascii="Symbol" w:hAnsi="Symbol" w:hint="default"/>
      </w:rPr>
    </w:lvl>
    <w:lvl w:ilvl="1">
      <w:start w:val="1"/>
      <w:numFmt w:val="bullet"/>
      <w:lvlText w:val="o"/>
      <w:lvlJc w:val="left"/>
      <w:pPr>
        <w:ind w:left="1728" w:hanging="360"/>
      </w:pPr>
      <w:rPr>
        <w:rFonts w:ascii="Courier New" w:hAnsi="Courier New" w:cs="Courier New" w:hint="default"/>
      </w:rPr>
    </w:lvl>
    <w:lvl w:ilvl="2">
      <w:start w:val="1"/>
      <w:numFmt w:val="bullet"/>
      <w:lvlText w:val=""/>
      <w:lvlJc w:val="left"/>
      <w:pPr>
        <w:ind w:left="2448" w:hanging="360"/>
      </w:pPr>
      <w:rPr>
        <w:rFonts w:ascii="Wingdings" w:hAnsi="Wingdings" w:hint="default"/>
      </w:rPr>
    </w:lvl>
    <w:lvl w:ilvl="3">
      <w:start w:val="1"/>
      <w:numFmt w:val="bullet"/>
      <w:lvlText w:val=""/>
      <w:lvlJc w:val="left"/>
      <w:pPr>
        <w:ind w:left="3168" w:hanging="360"/>
      </w:pPr>
      <w:rPr>
        <w:rFonts w:ascii="Symbol" w:hAnsi="Symbol" w:hint="default"/>
      </w:rPr>
    </w:lvl>
    <w:lvl w:ilvl="4">
      <w:start w:val="1"/>
      <w:numFmt w:val="bullet"/>
      <w:lvlText w:val="o"/>
      <w:lvlJc w:val="left"/>
      <w:pPr>
        <w:ind w:left="3888" w:hanging="360"/>
      </w:pPr>
      <w:rPr>
        <w:rFonts w:ascii="Courier New" w:hAnsi="Courier New" w:cs="Courier New" w:hint="default"/>
      </w:rPr>
    </w:lvl>
    <w:lvl w:ilvl="5">
      <w:start w:val="1"/>
      <w:numFmt w:val="bullet"/>
      <w:lvlText w:val=""/>
      <w:lvlJc w:val="left"/>
      <w:pPr>
        <w:ind w:left="4608" w:hanging="360"/>
      </w:pPr>
      <w:rPr>
        <w:rFonts w:ascii="Wingdings" w:hAnsi="Wingdings" w:hint="default"/>
      </w:rPr>
    </w:lvl>
    <w:lvl w:ilvl="6">
      <w:start w:val="1"/>
      <w:numFmt w:val="bullet"/>
      <w:lvlText w:val=""/>
      <w:lvlJc w:val="left"/>
      <w:pPr>
        <w:ind w:left="5328" w:hanging="360"/>
      </w:pPr>
      <w:rPr>
        <w:rFonts w:ascii="Symbol" w:hAnsi="Symbol" w:hint="default"/>
      </w:rPr>
    </w:lvl>
    <w:lvl w:ilvl="7">
      <w:start w:val="1"/>
      <w:numFmt w:val="bullet"/>
      <w:lvlText w:val="o"/>
      <w:lvlJc w:val="left"/>
      <w:pPr>
        <w:ind w:left="6048" w:hanging="360"/>
      </w:pPr>
      <w:rPr>
        <w:rFonts w:ascii="Courier New" w:hAnsi="Courier New" w:cs="Courier New" w:hint="default"/>
      </w:rPr>
    </w:lvl>
    <w:lvl w:ilvl="8">
      <w:start w:val="1"/>
      <w:numFmt w:val="bullet"/>
      <w:lvlText w:val=""/>
      <w:lvlJc w:val="left"/>
      <w:pPr>
        <w:ind w:left="6768" w:hanging="360"/>
      </w:pPr>
      <w:rPr>
        <w:rFonts w:ascii="Wingdings" w:hAnsi="Wingdings" w:hint="default"/>
      </w:rPr>
    </w:lvl>
  </w:abstractNum>
  <w:abstractNum w:abstractNumId="4" w15:restartNumberingAfterBreak="0">
    <w:nsid w:val="0CDD1ACF"/>
    <w:multiLevelType w:val="multilevel"/>
    <w:tmpl w:val="744AA38A"/>
    <w:styleLink w:val="Outline"/>
    <w:lvl w:ilvl="0">
      <w:start w:val="1"/>
      <w:numFmt w:val="none"/>
      <w:suff w:val="space"/>
      <w:lvlText w:val=""/>
      <w:lvlJc w:val="left"/>
      <w:pPr>
        <w:ind w:left="576" w:firstLine="0"/>
      </w:pPr>
      <w:rPr>
        <w:rFonts w:ascii="Arial" w:hAnsi="Arial" w:hint="default"/>
        <w:b/>
        <w:i w:val="0"/>
        <w:color w:val="CC6633"/>
        <w:sz w:val="20"/>
      </w:rPr>
    </w:lvl>
    <w:lvl w:ilvl="1">
      <w:start w:val="1"/>
      <w:numFmt w:val="lowerLetter"/>
      <w:lvlText w:val="%2."/>
      <w:lvlJc w:val="left"/>
      <w:pPr>
        <w:ind w:left="2016" w:hanging="360"/>
      </w:pPr>
      <w:rPr>
        <w:rFonts w:hint="default"/>
      </w:rPr>
    </w:lvl>
    <w:lvl w:ilvl="2">
      <w:start w:val="1"/>
      <w:numFmt w:val="lowerRoman"/>
      <w:lvlText w:val="%3."/>
      <w:lvlJc w:val="right"/>
      <w:pPr>
        <w:ind w:left="2736" w:hanging="180"/>
      </w:pPr>
      <w:rPr>
        <w:rFonts w:hint="default"/>
      </w:rPr>
    </w:lvl>
    <w:lvl w:ilvl="3">
      <w:start w:val="1"/>
      <w:numFmt w:val="decimal"/>
      <w:lvlText w:val="%4."/>
      <w:lvlJc w:val="left"/>
      <w:pPr>
        <w:ind w:left="3456" w:hanging="360"/>
      </w:pPr>
      <w:rPr>
        <w:rFonts w:hint="default"/>
      </w:rPr>
    </w:lvl>
    <w:lvl w:ilvl="4">
      <w:start w:val="1"/>
      <w:numFmt w:val="lowerLetter"/>
      <w:lvlText w:val="%5."/>
      <w:lvlJc w:val="left"/>
      <w:pPr>
        <w:ind w:left="4176" w:hanging="360"/>
      </w:pPr>
      <w:rPr>
        <w:rFonts w:hint="default"/>
      </w:rPr>
    </w:lvl>
    <w:lvl w:ilvl="5">
      <w:start w:val="1"/>
      <w:numFmt w:val="lowerRoman"/>
      <w:lvlText w:val="%6."/>
      <w:lvlJc w:val="right"/>
      <w:pPr>
        <w:ind w:left="4896" w:hanging="180"/>
      </w:pPr>
      <w:rPr>
        <w:rFonts w:hint="default"/>
      </w:rPr>
    </w:lvl>
    <w:lvl w:ilvl="6">
      <w:start w:val="1"/>
      <w:numFmt w:val="decimal"/>
      <w:lvlText w:val="%7."/>
      <w:lvlJc w:val="left"/>
      <w:pPr>
        <w:ind w:left="5616" w:hanging="360"/>
      </w:pPr>
      <w:rPr>
        <w:rFonts w:hint="default"/>
      </w:rPr>
    </w:lvl>
    <w:lvl w:ilvl="7">
      <w:start w:val="1"/>
      <w:numFmt w:val="lowerLetter"/>
      <w:lvlText w:val="%8."/>
      <w:lvlJc w:val="left"/>
      <w:pPr>
        <w:ind w:left="6336" w:hanging="360"/>
      </w:pPr>
      <w:rPr>
        <w:rFonts w:hint="default"/>
      </w:rPr>
    </w:lvl>
    <w:lvl w:ilvl="8">
      <w:start w:val="1"/>
      <w:numFmt w:val="lowerRoman"/>
      <w:lvlText w:val="%9."/>
      <w:lvlJc w:val="right"/>
      <w:pPr>
        <w:ind w:left="7056" w:hanging="180"/>
      </w:pPr>
      <w:rPr>
        <w:rFonts w:hint="default"/>
      </w:rPr>
    </w:lvl>
  </w:abstractNum>
  <w:abstractNum w:abstractNumId="5" w15:restartNumberingAfterBreak="0">
    <w:nsid w:val="11FD5D6C"/>
    <w:multiLevelType w:val="hybridMultilevel"/>
    <w:tmpl w:val="9A4E1E10"/>
    <w:name w:val="TITLE3"/>
    <w:lvl w:ilvl="0" w:tplc="8D987224">
      <w:start w:val="1"/>
      <w:numFmt w:val="decimal"/>
      <w:pStyle w:val="ChapterNumber"/>
      <w:lvlText w:val="Chapter %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CA693E"/>
    <w:multiLevelType w:val="multilevel"/>
    <w:tmpl w:val="43A819B6"/>
    <w:name w:val="OL"/>
    <w:lvl w:ilvl="0">
      <w:start w:val="1"/>
      <w:numFmt w:val="decimal"/>
      <w:lvlText w:val="(%1.)"/>
      <w:lvlJc w:val="center"/>
      <w:pPr>
        <w:ind w:left="288" w:hanging="288"/>
      </w:pPr>
      <w:rPr>
        <w:rFonts w:ascii="Arial" w:hAnsi="Arial" w:hint="default"/>
        <w:b/>
        <w:i w:val="0"/>
        <w:sz w:val="20"/>
      </w:rPr>
    </w:lvl>
    <w:lvl w:ilvl="1">
      <w:start w:val="1"/>
      <w:numFmt w:val="lowerLetter"/>
      <w:pStyle w:val="List2A"/>
      <w:lvlText w:val="%2."/>
      <w:lvlJc w:val="left"/>
      <w:pPr>
        <w:ind w:left="576" w:hanging="288"/>
      </w:pPr>
      <w:rPr>
        <w:rFonts w:hint="default"/>
      </w:rPr>
    </w:lvl>
    <w:lvl w:ilvl="2">
      <w:start w:val="1"/>
      <w:numFmt w:val="lowerRoman"/>
      <w:lvlText w:val="%3."/>
      <w:lvlJc w:val="right"/>
      <w:pPr>
        <w:ind w:left="864" w:hanging="288"/>
      </w:pPr>
      <w:rPr>
        <w:rFonts w:hint="default"/>
      </w:rPr>
    </w:lvl>
    <w:lvl w:ilvl="3">
      <w:start w:val="1"/>
      <w:numFmt w:val="decimal"/>
      <w:lvlText w:val="%4."/>
      <w:lvlJc w:val="left"/>
      <w:pPr>
        <w:ind w:left="1152" w:hanging="288"/>
      </w:pPr>
      <w:rPr>
        <w:rFonts w:hint="default"/>
      </w:rPr>
    </w:lvl>
    <w:lvl w:ilvl="4">
      <w:start w:val="1"/>
      <w:numFmt w:val="lowerLetter"/>
      <w:lvlText w:val="%5."/>
      <w:lvlJc w:val="left"/>
      <w:pPr>
        <w:ind w:left="1440" w:hanging="288"/>
      </w:pPr>
      <w:rPr>
        <w:rFonts w:hint="default"/>
      </w:rPr>
    </w:lvl>
    <w:lvl w:ilvl="5">
      <w:start w:val="1"/>
      <w:numFmt w:val="lowerRoman"/>
      <w:lvlText w:val="%6."/>
      <w:lvlJc w:val="right"/>
      <w:pPr>
        <w:ind w:left="1728" w:hanging="288"/>
      </w:pPr>
      <w:rPr>
        <w:rFonts w:hint="default"/>
      </w:rPr>
    </w:lvl>
    <w:lvl w:ilvl="6">
      <w:start w:val="1"/>
      <w:numFmt w:val="decimal"/>
      <w:lvlText w:val="%7."/>
      <w:lvlJc w:val="left"/>
      <w:pPr>
        <w:ind w:left="2016" w:hanging="288"/>
      </w:pPr>
      <w:rPr>
        <w:rFonts w:hint="default"/>
      </w:rPr>
    </w:lvl>
    <w:lvl w:ilvl="7">
      <w:start w:val="1"/>
      <w:numFmt w:val="lowerLetter"/>
      <w:lvlText w:val="%8."/>
      <w:lvlJc w:val="left"/>
      <w:pPr>
        <w:ind w:left="2304" w:hanging="288"/>
      </w:pPr>
      <w:rPr>
        <w:rFonts w:hint="default"/>
      </w:rPr>
    </w:lvl>
    <w:lvl w:ilvl="8">
      <w:start w:val="1"/>
      <w:numFmt w:val="lowerRoman"/>
      <w:lvlText w:val="%9."/>
      <w:lvlJc w:val="right"/>
      <w:pPr>
        <w:ind w:left="2592" w:hanging="288"/>
      </w:pPr>
      <w:rPr>
        <w:rFonts w:hint="default"/>
      </w:rPr>
    </w:lvl>
  </w:abstractNum>
  <w:abstractNum w:abstractNumId="7" w15:restartNumberingAfterBreak="0">
    <w:nsid w:val="167075D7"/>
    <w:multiLevelType w:val="hybridMultilevel"/>
    <w:tmpl w:val="1682F5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0B4100"/>
    <w:multiLevelType w:val="multilevel"/>
    <w:tmpl w:val="C5EC8748"/>
    <w:styleLink w:val="Warning"/>
    <w:lvl w:ilvl="0">
      <w:start w:val="1"/>
      <w:numFmt w:val="none"/>
      <w:pStyle w:val="InlineWarning"/>
      <w:suff w:val="space"/>
      <w:lvlText w:val="Warning:"/>
      <w:lvlJc w:val="left"/>
      <w:pPr>
        <w:ind w:left="576" w:firstLine="0"/>
      </w:pPr>
      <w:rPr>
        <w:rFonts w:ascii="Arial" w:hAnsi="Arial" w:hint="default"/>
        <w:b/>
        <w:i w:val="0"/>
        <w:color w:val="CC6633"/>
        <w:sz w:val="20"/>
      </w:rPr>
    </w:lvl>
    <w:lvl w:ilvl="1">
      <w:start w:val="1"/>
      <w:numFmt w:val="none"/>
      <w:lvlText w:val=""/>
      <w:lvlJc w:val="left"/>
      <w:pPr>
        <w:ind w:left="576" w:firstLine="0"/>
      </w:pPr>
      <w:rPr>
        <w:rFonts w:hint="default"/>
      </w:rPr>
    </w:lvl>
    <w:lvl w:ilvl="2">
      <w:start w:val="1"/>
      <w:numFmt w:val="none"/>
      <w:lvlText w:val=""/>
      <w:lvlJc w:val="right"/>
      <w:pPr>
        <w:ind w:left="576" w:firstLine="0"/>
      </w:pPr>
      <w:rPr>
        <w:rFonts w:hint="default"/>
      </w:rPr>
    </w:lvl>
    <w:lvl w:ilvl="3">
      <w:start w:val="1"/>
      <w:numFmt w:val="none"/>
      <w:lvlText w:val=""/>
      <w:lvlJc w:val="left"/>
      <w:pPr>
        <w:ind w:left="576" w:firstLine="0"/>
      </w:pPr>
      <w:rPr>
        <w:rFonts w:hint="default"/>
      </w:rPr>
    </w:lvl>
    <w:lvl w:ilvl="4">
      <w:start w:val="1"/>
      <w:numFmt w:val="none"/>
      <w:lvlText w:val=""/>
      <w:lvlJc w:val="left"/>
      <w:pPr>
        <w:ind w:left="576" w:firstLine="0"/>
      </w:pPr>
      <w:rPr>
        <w:rFonts w:hint="default"/>
      </w:rPr>
    </w:lvl>
    <w:lvl w:ilvl="5">
      <w:start w:val="1"/>
      <w:numFmt w:val="none"/>
      <w:lvlText w:val=""/>
      <w:lvlJc w:val="right"/>
      <w:pPr>
        <w:ind w:left="576" w:firstLine="0"/>
      </w:pPr>
      <w:rPr>
        <w:rFonts w:hint="default"/>
      </w:rPr>
    </w:lvl>
    <w:lvl w:ilvl="6">
      <w:start w:val="1"/>
      <w:numFmt w:val="none"/>
      <w:lvlText w:val=""/>
      <w:lvlJc w:val="left"/>
      <w:pPr>
        <w:ind w:left="576" w:firstLine="0"/>
      </w:pPr>
      <w:rPr>
        <w:rFonts w:hint="default"/>
      </w:rPr>
    </w:lvl>
    <w:lvl w:ilvl="7">
      <w:start w:val="1"/>
      <w:numFmt w:val="none"/>
      <w:lvlText w:val=""/>
      <w:lvlJc w:val="left"/>
      <w:pPr>
        <w:ind w:left="576" w:firstLine="0"/>
      </w:pPr>
      <w:rPr>
        <w:rFonts w:hint="default"/>
      </w:rPr>
    </w:lvl>
    <w:lvl w:ilvl="8">
      <w:start w:val="1"/>
      <w:numFmt w:val="none"/>
      <w:lvlText w:val=""/>
      <w:lvlJc w:val="right"/>
      <w:pPr>
        <w:ind w:left="576" w:firstLine="0"/>
      </w:pPr>
      <w:rPr>
        <w:rFonts w:hint="default"/>
      </w:rPr>
    </w:lvl>
  </w:abstractNum>
  <w:abstractNum w:abstractNumId="9" w15:restartNumberingAfterBreak="0">
    <w:nsid w:val="1C7978AC"/>
    <w:multiLevelType w:val="multilevel"/>
    <w:tmpl w:val="8A5A33F2"/>
    <w:numStyleLink w:val="Caution"/>
  </w:abstractNum>
  <w:abstractNum w:abstractNumId="10" w15:restartNumberingAfterBreak="0">
    <w:nsid w:val="1D493555"/>
    <w:multiLevelType w:val="hybridMultilevel"/>
    <w:tmpl w:val="5E16CA3E"/>
    <w:name w:val="OL22"/>
    <w:lvl w:ilvl="0" w:tplc="D618D764">
      <w:start w:val="1"/>
      <w:numFmt w:val="decimal"/>
      <w:lvlText w:val="%1."/>
      <w:lvlJc w:val="left"/>
      <w:pPr>
        <w:ind w:left="2880" w:hanging="360"/>
      </w:pPr>
      <w:rPr>
        <w:color w:val="auto"/>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15:restartNumberingAfterBreak="0">
    <w:nsid w:val="21BC561E"/>
    <w:multiLevelType w:val="multilevel"/>
    <w:tmpl w:val="27904676"/>
    <w:name w:val="TITLE"/>
    <w:lvl w:ilvl="0">
      <w:start w:val="1"/>
      <w:numFmt w:val="upperLetter"/>
      <w:pStyle w:val="AppendixNumber"/>
      <w:lvlText w:val="Appendix %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22D400F"/>
    <w:multiLevelType w:val="hybridMultilevel"/>
    <w:tmpl w:val="98A2FB94"/>
    <w:name w:val="OL222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5597EA5"/>
    <w:multiLevelType w:val="hybridMultilevel"/>
    <w:tmpl w:val="A22E316A"/>
    <w:lvl w:ilvl="0" w:tplc="128E58B4">
      <w:start w:val="1"/>
      <w:numFmt w:val="bullet"/>
      <w:pStyle w:val="DefBullet"/>
      <w:lvlText w:val=""/>
      <w:lvlJc w:val="left"/>
      <w:pPr>
        <w:ind w:left="1584" w:hanging="360"/>
      </w:pPr>
      <w:rPr>
        <w:rFonts w:ascii="Symbol" w:hAnsi="Symbol" w:hint="default"/>
      </w:rPr>
    </w:lvl>
    <w:lvl w:ilvl="1" w:tplc="04090003">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4" w15:restartNumberingAfterBreak="0">
    <w:nsid w:val="30322B4C"/>
    <w:multiLevelType w:val="hybridMultilevel"/>
    <w:tmpl w:val="8F12189A"/>
    <w:name w:val="OL2222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45F5072"/>
    <w:multiLevelType w:val="hybridMultilevel"/>
    <w:tmpl w:val="330A7462"/>
    <w:name w:val="TITLE2"/>
    <w:lvl w:ilvl="0" w:tplc="4D86960E">
      <w:start w:val="1"/>
      <w:numFmt w:val="decimal"/>
      <w:lvlText w:val="(%1.)"/>
      <w:lvlJc w:val="right"/>
      <w:pPr>
        <w:ind w:left="720" w:hanging="360"/>
      </w:pPr>
      <w:rPr>
        <w:rFonts w:ascii="Arial" w:hAnsi="Arial" w:hint="default"/>
        <w:b/>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FD6F46"/>
    <w:multiLevelType w:val="hybridMultilevel"/>
    <w:tmpl w:val="31A01F82"/>
    <w:lvl w:ilvl="0" w:tplc="50FAD5B0">
      <w:start w:val="1"/>
      <w:numFmt w:val="bullet"/>
      <w:pStyle w:val="TCel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A755D2"/>
    <w:multiLevelType w:val="hybridMultilevel"/>
    <w:tmpl w:val="26AE23B6"/>
    <w:name w:val="OL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0DC0960"/>
    <w:multiLevelType w:val="hybridMultilevel"/>
    <w:tmpl w:val="CFCEBBF6"/>
    <w:name w:val="OL222"/>
    <w:lvl w:ilvl="0" w:tplc="4F4EC8AC">
      <w:start w:val="1"/>
      <w:numFmt w:val="lowerRoman"/>
      <w:lvlText w:val="%1."/>
      <w:lvlJc w:val="right"/>
      <w:pPr>
        <w:ind w:left="2160" w:hanging="18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D370AB"/>
    <w:multiLevelType w:val="hybridMultilevel"/>
    <w:tmpl w:val="61DCA814"/>
    <w:lvl w:ilvl="0" w:tplc="43B015B0">
      <w:start w:val="8"/>
      <w:numFmt w:val="bullet"/>
      <w:lvlText w:val="-"/>
      <w:lvlJc w:val="left"/>
      <w:pPr>
        <w:ind w:left="650" w:hanging="360"/>
      </w:pPr>
      <w:rPr>
        <w:rFonts w:ascii="Times New Roman" w:eastAsiaTheme="minorHAnsi" w:hAnsi="Times New Roman" w:cs="Times New Roman" w:hint="default"/>
      </w:rPr>
    </w:lvl>
    <w:lvl w:ilvl="1" w:tplc="04090003" w:tentative="1">
      <w:start w:val="1"/>
      <w:numFmt w:val="bullet"/>
      <w:lvlText w:val="o"/>
      <w:lvlJc w:val="left"/>
      <w:pPr>
        <w:ind w:left="1370" w:hanging="360"/>
      </w:pPr>
      <w:rPr>
        <w:rFonts w:ascii="Courier New" w:hAnsi="Courier New" w:cs="Courier New" w:hint="default"/>
      </w:rPr>
    </w:lvl>
    <w:lvl w:ilvl="2" w:tplc="04090005" w:tentative="1">
      <w:start w:val="1"/>
      <w:numFmt w:val="bullet"/>
      <w:lvlText w:val=""/>
      <w:lvlJc w:val="left"/>
      <w:pPr>
        <w:ind w:left="2090" w:hanging="360"/>
      </w:pPr>
      <w:rPr>
        <w:rFonts w:ascii="Wingdings" w:hAnsi="Wingdings" w:hint="default"/>
      </w:rPr>
    </w:lvl>
    <w:lvl w:ilvl="3" w:tplc="04090001" w:tentative="1">
      <w:start w:val="1"/>
      <w:numFmt w:val="bullet"/>
      <w:lvlText w:val=""/>
      <w:lvlJc w:val="left"/>
      <w:pPr>
        <w:ind w:left="2810" w:hanging="360"/>
      </w:pPr>
      <w:rPr>
        <w:rFonts w:ascii="Symbol" w:hAnsi="Symbol" w:hint="default"/>
      </w:rPr>
    </w:lvl>
    <w:lvl w:ilvl="4" w:tplc="04090003" w:tentative="1">
      <w:start w:val="1"/>
      <w:numFmt w:val="bullet"/>
      <w:lvlText w:val="o"/>
      <w:lvlJc w:val="left"/>
      <w:pPr>
        <w:ind w:left="3530" w:hanging="360"/>
      </w:pPr>
      <w:rPr>
        <w:rFonts w:ascii="Courier New" w:hAnsi="Courier New" w:cs="Courier New" w:hint="default"/>
      </w:rPr>
    </w:lvl>
    <w:lvl w:ilvl="5" w:tplc="04090005" w:tentative="1">
      <w:start w:val="1"/>
      <w:numFmt w:val="bullet"/>
      <w:lvlText w:val=""/>
      <w:lvlJc w:val="left"/>
      <w:pPr>
        <w:ind w:left="4250" w:hanging="360"/>
      </w:pPr>
      <w:rPr>
        <w:rFonts w:ascii="Wingdings" w:hAnsi="Wingdings" w:hint="default"/>
      </w:rPr>
    </w:lvl>
    <w:lvl w:ilvl="6" w:tplc="04090001" w:tentative="1">
      <w:start w:val="1"/>
      <w:numFmt w:val="bullet"/>
      <w:lvlText w:val=""/>
      <w:lvlJc w:val="left"/>
      <w:pPr>
        <w:ind w:left="4970" w:hanging="360"/>
      </w:pPr>
      <w:rPr>
        <w:rFonts w:ascii="Symbol" w:hAnsi="Symbol" w:hint="default"/>
      </w:rPr>
    </w:lvl>
    <w:lvl w:ilvl="7" w:tplc="04090003" w:tentative="1">
      <w:start w:val="1"/>
      <w:numFmt w:val="bullet"/>
      <w:lvlText w:val="o"/>
      <w:lvlJc w:val="left"/>
      <w:pPr>
        <w:ind w:left="5690" w:hanging="360"/>
      </w:pPr>
      <w:rPr>
        <w:rFonts w:ascii="Courier New" w:hAnsi="Courier New" w:cs="Courier New" w:hint="default"/>
      </w:rPr>
    </w:lvl>
    <w:lvl w:ilvl="8" w:tplc="04090005" w:tentative="1">
      <w:start w:val="1"/>
      <w:numFmt w:val="bullet"/>
      <w:lvlText w:val=""/>
      <w:lvlJc w:val="left"/>
      <w:pPr>
        <w:ind w:left="6410" w:hanging="360"/>
      </w:pPr>
      <w:rPr>
        <w:rFonts w:ascii="Wingdings" w:hAnsi="Wingdings" w:hint="default"/>
      </w:rPr>
    </w:lvl>
  </w:abstractNum>
  <w:abstractNum w:abstractNumId="20" w15:restartNumberingAfterBreak="0">
    <w:nsid w:val="435F44F4"/>
    <w:multiLevelType w:val="multilevel"/>
    <w:tmpl w:val="89A4C2D0"/>
    <w:lvl w:ilvl="0">
      <w:start w:val="1"/>
      <w:numFmt w:val="decimal"/>
      <w:pStyle w:val="List1N"/>
      <w:lvlText w:val="%1."/>
      <w:lvlJc w:val="left"/>
      <w:pPr>
        <w:ind w:left="288" w:hanging="288"/>
      </w:pPr>
      <w:rPr>
        <w:rFonts w:hint="default"/>
      </w:rPr>
    </w:lvl>
    <w:lvl w:ilvl="1">
      <w:start w:val="1"/>
      <w:numFmt w:val="bullet"/>
      <w:lvlText w:val=""/>
      <w:lvlJc w:val="left"/>
      <w:pPr>
        <w:ind w:left="576" w:hanging="288"/>
      </w:pPr>
      <w:rPr>
        <w:rFonts w:ascii="Symbol" w:hAnsi="Symbol" w:hint="default"/>
      </w:rPr>
    </w:lvl>
    <w:lvl w:ilvl="2">
      <w:start w:val="1"/>
      <w:numFmt w:val="decimal"/>
      <w:pStyle w:val="List3N"/>
      <w:lvlText w:val="%3."/>
      <w:lvlJc w:val="left"/>
      <w:pPr>
        <w:ind w:left="864" w:hanging="288"/>
      </w:pPr>
      <w:rPr>
        <w:rFonts w:hint="default"/>
      </w:rPr>
    </w:lvl>
    <w:lvl w:ilvl="3">
      <w:start w:val="1"/>
      <w:numFmt w:val="decimal"/>
      <w:lvlText w:val="%4."/>
      <w:lvlJc w:val="left"/>
      <w:pPr>
        <w:ind w:left="1152" w:hanging="288"/>
      </w:pPr>
      <w:rPr>
        <w:rFonts w:hint="default"/>
      </w:rPr>
    </w:lvl>
    <w:lvl w:ilvl="4">
      <w:start w:val="1"/>
      <w:numFmt w:val="lowerLetter"/>
      <w:lvlText w:val="%5."/>
      <w:lvlJc w:val="left"/>
      <w:pPr>
        <w:ind w:left="1440" w:hanging="288"/>
      </w:pPr>
      <w:rPr>
        <w:rFonts w:hint="default"/>
      </w:rPr>
    </w:lvl>
    <w:lvl w:ilvl="5">
      <w:start w:val="1"/>
      <w:numFmt w:val="lowerRoman"/>
      <w:lvlText w:val="%6."/>
      <w:lvlJc w:val="right"/>
      <w:pPr>
        <w:ind w:left="1728" w:hanging="288"/>
      </w:pPr>
      <w:rPr>
        <w:rFonts w:hint="default"/>
      </w:rPr>
    </w:lvl>
    <w:lvl w:ilvl="6">
      <w:start w:val="1"/>
      <w:numFmt w:val="decimal"/>
      <w:lvlText w:val="%7."/>
      <w:lvlJc w:val="left"/>
      <w:pPr>
        <w:ind w:left="2016" w:hanging="288"/>
      </w:pPr>
      <w:rPr>
        <w:rFonts w:hint="default"/>
      </w:rPr>
    </w:lvl>
    <w:lvl w:ilvl="7">
      <w:start w:val="1"/>
      <w:numFmt w:val="lowerLetter"/>
      <w:lvlText w:val="%8."/>
      <w:lvlJc w:val="left"/>
      <w:pPr>
        <w:ind w:left="2304" w:hanging="288"/>
      </w:pPr>
      <w:rPr>
        <w:rFonts w:hint="default"/>
      </w:rPr>
    </w:lvl>
    <w:lvl w:ilvl="8">
      <w:start w:val="1"/>
      <w:numFmt w:val="lowerRoman"/>
      <w:lvlText w:val="%9."/>
      <w:lvlJc w:val="right"/>
      <w:pPr>
        <w:ind w:left="2592" w:hanging="288"/>
      </w:pPr>
      <w:rPr>
        <w:rFonts w:hint="default"/>
      </w:rPr>
    </w:lvl>
  </w:abstractNum>
  <w:abstractNum w:abstractNumId="21" w15:restartNumberingAfterBreak="0">
    <w:nsid w:val="43A66974"/>
    <w:multiLevelType w:val="hybridMultilevel"/>
    <w:tmpl w:val="14DA4626"/>
    <w:lvl w:ilvl="0" w:tplc="0FA0D1CC">
      <w:start w:val="1"/>
      <w:numFmt w:val="decimal"/>
      <w:pStyle w:val="TableTitle"/>
      <w:suff w:val="space"/>
      <w:lvlText w:val="Table %1. "/>
      <w:lvlJc w:val="left"/>
      <w:pPr>
        <w:ind w:left="5760" w:hanging="5472"/>
      </w:pPr>
      <w:rPr>
        <w:rFonts w:ascii="Arial" w:hAnsi="Arial" w:hint="default"/>
        <w:b/>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CF4679"/>
    <w:multiLevelType w:val="multilevel"/>
    <w:tmpl w:val="16F03F06"/>
    <w:numStyleLink w:val="Inline"/>
  </w:abstractNum>
  <w:abstractNum w:abstractNumId="23" w15:restartNumberingAfterBreak="0">
    <w:nsid w:val="49A92F06"/>
    <w:multiLevelType w:val="multilevel"/>
    <w:tmpl w:val="8A5A33F2"/>
    <w:styleLink w:val="Caution"/>
    <w:lvl w:ilvl="0">
      <w:start w:val="1"/>
      <w:numFmt w:val="none"/>
      <w:pStyle w:val="InlineCaution"/>
      <w:suff w:val="space"/>
      <w:lvlText w:val="Caution: "/>
      <w:lvlJc w:val="left"/>
      <w:pPr>
        <w:ind w:left="576" w:firstLine="0"/>
      </w:pPr>
      <w:rPr>
        <w:rFonts w:ascii="Arial" w:hAnsi="Arial" w:hint="default"/>
        <w:b/>
        <w:i w:val="0"/>
        <w:color w:val="CC6633"/>
        <w:sz w:val="20"/>
      </w:rPr>
    </w:lvl>
    <w:lvl w:ilvl="1">
      <w:start w:val="1"/>
      <w:numFmt w:val="none"/>
      <w:lvlText w:val=""/>
      <w:lvlJc w:val="left"/>
      <w:pPr>
        <w:ind w:left="576" w:firstLine="0"/>
      </w:pPr>
      <w:rPr>
        <w:rFonts w:hint="default"/>
      </w:rPr>
    </w:lvl>
    <w:lvl w:ilvl="2">
      <w:start w:val="1"/>
      <w:numFmt w:val="none"/>
      <w:lvlText w:val=""/>
      <w:lvlJc w:val="right"/>
      <w:pPr>
        <w:ind w:left="576" w:firstLine="0"/>
      </w:pPr>
      <w:rPr>
        <w:rFonts w:hint="default"/>
      </w:rPr>
    </w:lvl>
    <w:lvl w:ilvl="3">
      <w:start w:val="1"/>
      <w:numFmt w:val="none"/>
      <w:lvlText w:val=""/>
      <w:lvlJc w:val="left"/>
      <w:pPr>
        <w:ind w:left="576" w:firstLine="0"/>
      </w:pPr>
      <w:rPr>
        <w:rFonts w:hint="default"/>
      </w:rPr>
    </w:lvl>
    <w:lvl w:ilvl="4">
      <w:start w:val="1"/>
      <w:numFmt w:val="none"/>
      <w:lvlText w:val=""/>
      <w:lvlJc w:val="left"/>
      <w:pPr>
        <w:ind w:left="576" w:firstLine="0"/>
      </w:pPr>
      <w:rPr>
        <w:rFonts w:hint="default"/>
      </w:rPr>
    </w:lvl>
    <w:lvl w:ilvl="5">
      <w:start w:val="1"/>
      <w:numFmt w:val="none"/>
      <w:lvlText w:val=""/>
      <w:lvlJc w:val="right"/>
      <w:pPr>
        <w:ind w:left="576" w:firstLine="0"/>
      </w:pPr>
      <w:rPr>
        <w:rFonts w:hint="default"/>
      </w:rPr>
    </w:lvl>
    <w:lvl w:ilvl="6">
      <w:start w:val="1"/>
      <w:numFmt w:val="none"/>
      <w:lvlText w:val=""/>
      <w:lvlJc w:val="left"/>
      <w:pPr>
        <w:ind w:left="576" w:firstLine="0"/>
      </w:pPr>
      <w:rPr>
        <w:rFonts w:hint="default"/>
      </w:rPr>
    </w:lvl>
    <w:lvl w:ilvl="7">
      <w:start w:val="1"/>
      <w:numFmt w:val="none"/>
      <w:lvlText w:val=""/>
      <w:lvlJc w:val="left"/>
      <w:pPr>
        <w:ind w:left="576" w:firstLine="0"/>
      </w:pPr>
      <w:rPr>
        <w:rFonts w:hint="default"/>
      </w:rPr>
    </w:lvl>
    <w:lvl w:ilvl="8">
      <w:numFmt w:val="none"/>
      <w:lvlRestart w:val="0"/>
      <w:lvlText w:val=""/>
      <w:lvlJc w:val="left"/>
      <w:pPr>
        <w:ind w:left="576" w:firstLine="0"/>
      </w:pPr>
      <w:rPr>
        <w:rFonts w:hint="default"/>
      </w:rPr>
    </w:lvl>
  </w:abstractNum>
  <w:abstractNum w:abstractNumId="24" w15:restartNumberingAfterBreak="0">
    <w:nsid w:val="4B147A9E"/>
    <w:multiLevelType w:val="hybridMultilevel"/>
    <w:tmpl w:val="71BCAEDE"/>
    <w:lvl w:ilvl="0" w:tplc="FBBCECB0">
      <w:start w:val="1"/>
      <w:numFmt w:val="decimal"/>
      <w:pStyle w:val="ExampleCaption"/>
      <w:suff w:val="space"/>
      <w:lvlText w:val="Example %1. "/>
      <w:lvlJc w:val="left"/>
      <w:pPr>
        <w:ind w:left="720" w:hanging="360"/>
      </w:pPr>
      <w:rPr>
        <w:rFonts w:ascii="Arial" w:hAnsi="Arial" w:hint="default"/>
        <w:b/>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8A5F84"/>
    <w:multiLevelType w:val="multilevel"/>
    <w:tmpl w:val="8BDAC02E"/>
    <w:numStyleLink w:val="Tip"/>
  </w:abstractNum>
  <w:abstractNum w:abstractNumId="26" w15:restartNumberingAfterBreak="0">
    <w:nsid w:val="52AD72EA"/>
    <w:multiLevelType w:val="hybridMultilevel"/>
    <w:tmpl w:val="85C07B92"/>
    <w:name w:val="TITLE32"/>
    <w:lvl w:ilvl="0" w:tplc="D930C9F0">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7" w15:restartNumberingAfterBreak="0">
    <w:nsid w:val="58921F35"/>
    <w:multiLevelType w:val="multilevel"/>
    <w:tmpl w:val="8BDAC02E"/>
    <w:styleLink w:val="Tip"/>
    <w:lvl w:ilvl="0">
      <w:start w:val="1"/>
      <w:numFmt w:val="none"/>
      <w:pStyle w:val="InlineTip"/>
      <w:suff w:val="space"/>
      <w:lvlText w:val="Tip:"/>
      <w:lvlJc w:val="left"/>
      <w:pPr>
        <w:ind w:left="576" w:firstLine="0"/>
      </w:pPr>
      <w:rPr>
        <w:rFonts w:ascii="Arial" w:hAnsi="Arial" w:hint="default"/>
        <w:b/>
        <w:i w:val="0"/>
        <w:color w:val="CC6633"/>
        <w:sz w:val="20"/>
      </w:rPr>
    </w:lvl>
    <w:lvl w:ilvl="1">
      <w:start w:val="1"/>
      <w:numFmt w:val="none"/>
      <w:lvlText w:val=""/>
      <w:lvlJc w:val="left"/>
      <w:pPr>
        <w:ind w:left="576" w:firstLine="0"/>
      </w:pPr>
      <w:rPr>
        <w:rFonts w:hint="default"/>
      </w:rPr>
    </w:lvl>
    <w:lvl w:ilvl="2">
      <w:start w:val="1"/>
      <w:numFmt w:val="none"/>
      <w:lvlText w:val=""/>
      <w:lvlJc w:val="right"/>
      <w:pPr>
        <w:ind w:left="576" w:firstLine="0"/>
      </w:pPr>
      <w:rPr>
        <w:rFonts w:hint="default"/>
      </w:rPr>
    </w:lvl>
    <w:lvl w:ilvl="3">
      <w:start w:val="1"/>
      <w:numFmt w:val="none"/>
      <w:lvlText w:val=""/>
      <w:lvlJc w:val="left"/>
      <w:pPr>
        <w:ind w:left="576" w:firstLine="0"/>
      </w:pPr>
      <w:rPr>
        <w:rFonts w:hint="default"/>
      </w:rPr>
    </w:lvl>
    <w:lvl w:ilvl="4">
      <w:start w:val="1"/>
      <w:numFmt w:val="none"/>
      <w:lvlText w:val=""/>
      <w:lvlJc w:val="left"/>
      <w:pPr>
        <w:ind w:left="576" w:firstLine="0"/>
      </w:pPr>
      <w:rPr>
        <w:rFonts w:hint="default"/>
      </w:rPr>
    </w:lvl>
    <w:lvl w:ilvl="5">
      <w:start w:val="1"/>
      <w:numFmt w:val="none"/>
      <w:lvlText w:val=""/>
      <w:lvlJc w:val="right"/>
      <w:pPr>
        <w:ind w:left="576" w:firstLine="0"/>
      </w:pPr>
      <w:rPr>
        <w:rFonts w:hint="default"/>
      </w:rPr>
    </w:lvl>
    <w:lvl w:ilvl="6">
      <w:start w:val="1"/>
      <w:numFmt w:val="none"/>
      <w:lvlText w:val=""/>
      <w:lvlJc w:val="left"/>
      <w:pPr>
        <w:ind w:left="576" w:firstLine="0"/>
      </w:pPr>
      <w:rPr>
        <w:rFonts w:hint="default"/>
      </w:rPr>
    </w:lvl>
    <w:lvl w:ilvl="7">
      <w:start w:val="1"/>
      <w:numFmt w:val="none"/>
      <w:lvlText w:val=""/>
      <w:lvlJc w:val="left"/>
      <w:pPr>
        <w:ind w:left="576" w:firstLine="0"/>
      </w:pPr>
      <w:rPr>
        <w:rFonts w:hint="default"/>
      </w:rPr>
    </w:lvl>
    <w:lvl w:ilvl="8">
      <w:start w:val="1"/>
      <w:numFmt w:val="none"/>
      <w:lvlText w:val=""/>
      <w:lvlJc w:val="right"/>
      <w:pPr>
        <w:ind w:left="576" w:firstLine="0"/>
      </w:pPr>
      <w:rPr>
        <w:rFonts w:hint="default"/>
      </w:rPr>
    </w:lvl>
  </w:abstractNum>
  <w:abstractNum w:abstractNumId="28" w15:restartNumberingAfterBreak="0">
    <w:nsid w:val="67591A44"/>
    <w:multiLevelType w:val="multilevel"/>
    <w:tmpl w:val="C5EC8748"/>
    <w:numStyleLink w:val="Warning"/>
  </w:abstractNum>
  <w:abstractNum w:abstractNumId="29" w15:restartNumberingAfterBreak="0">
    <w:nsid w:val="6DE773B2"/>
    <w:multiLevelType w:val="multilevel"/>
    <w:tmpl w:val="6F98924A"/>
    <w:name w:val="UL"/>
    <w:lvl w:ilvl="0">
      <w:start w:val="1"/>
      <w:numFmt w:val="bullet"/>
      <w:pStyle w:val="ExampleBullet"/>
      <w:lvlText w:val=""/>
      <w:lvlJc w:val="left"/>
      <w:pPr>
        <w:tabs>
          <w:tab w:val="num" w:pos="288"/>
        </w:tabs>
        <w:ind w:left="288" w:hanging="288"/>
      </w:pPr>
      <w:rPr>
        <w:rFonts w:ascii="Symbol" w:hAnsi="Symbol" w:hint="default"/>
      </w:rPr>
    </w:lvl>
    <w:lvl w:ilvl="1">
      <w:start w:val="1"/>
      <w:numFmt w:val="bullet"/>
      <w:lvlText w:val=""/>
      <w:lvlJc w:val="left"/>
      <w:pPr>
        <w:tabs>
          <w:tab w:val="num" w:pos="576"/>
        </w:tabs>
        <w:ind w:left="576" w:hanging="288"/>
      </w:pPr>
      <w:rPr>
        <w:rFonts w:ascii="Symbol" w:hAnsi="Symbol" w:hint="default"/>
      </w:rPr>
    </w:lvl>
    <w:lvl w:ilvl="2">
      <w:start w:val="1"/>
      <w:numFmt w:val="bullet"/>
      <w:lvlRestart w:val="1"/>
      <w:lvlText w:val=""/>
      <w:lvlJc w:val="left"/>
      <w:pPr>
        <w:tabs>
          <w:tab w:val="num" w:pos="864"/>
        </w:tabs>
        <w:ind w:left="864" w:hanging="288"/>
      </w:pPr>
      <w:rPr>
        <w:rFonts w:ascii="Symbol" w:hAnsi="Symbol" w:hint="default"/>
      </w:rPr>
    </w:lvl>
    <w:lvl w:ilvl="3">
      <w:start w:val="1"/>
      <w:numFmt w:val="bullet"/>
      <w:lvlText w:val=""/>
      <w:lvlJc w:val="left"/>
      <w:pPr>
        <w:tabs>
          <w:tab w:val="num" w:pos="1152"/>
        </w:tabs>
        <w:ind w:left="1152" w:hanging="288"/>
      </w:pPr>
      <w:rPr>
        <w:rFonts w:ascii="Wingdings" w:hAnsi="Wingdings" w:hint="default"/>
      </w:rPr>
    </w:lvl>
    <w:lvl w:ilvl="4">
      <w:start w:val="1"/>
      <w:numFmt w:val="bullet"/>
      <w:lvlText w:val="o"/>
      <w:lvlJc w:val="left"/>
      <w:pPr>
        <w:tabs>
          <w:tab w:val="num" w:pos="1440"/>
        </w:tabs>
        <w:ind w:left="1440" w:hanging="288"/>
      </w:pPr>
      <w:rPr>
        <w:rFonts w:ascii="Courier New" w:hAnsi="Courier New" w:cs="Courier New" w:hint="default"/>
      </w:rPr>
    </w:lvl>
    <w:lvl w:ilvl="5">
      <w:start w:val="1"/>
      <w:numFmt w:val="bullet"/>
      <w:lvlText w:val=""/>
      <w:lvlJc w:val="left"/>
      <w:pPr>
        <w:tabs>
          <w:tab w:val="num" w:pos="1728"/>
        </w:tabs>
        <w:ind w:left="1728" w:hanging="288"/>
      </w:pPr>
      <w:rPr>
        <w:rFonts w:ascii="Wingdings" w:hAnsi="Wingdings" w:hint="default"/>
      </w:rPr>
    </w:lvl>
    <w:lvl w:ilvl="6">
      <w:start w:val="1"/>
      <w:numFmt w:val="bullet"/>
      <w:lvlText w:val=""/>
      <w:lvlJc w:val="left"/>
      <w:pPr>
        <w:tabs>
          <w:tab w:val="num" w:pos="2016"/>
        </w:tabs>
        <w:ind w:left="2016" w:hanging="288"/>
      </w:pPr>
      <w:rPr>
        <w:rFonts w:ascii="Symbol" w:hAnsi="Symbol" w:hint="default"/>
      </w:rPr>
    </w:lvl>
    <w:lvl w:ilvl="7">
      <w:start w:val="1"/>
      <w:numFmt w:val="bullet"/>
      <w:lvlText w:val="o"/>
      <w:lvlJc w:val="left"/>
      <w:pPr>
        <w:tabs>
          <w:tab w:val="num" w:pos="2304"/>
        </w:tabs>
        <w:ind w:left="2304" w:hanging="288"/>
      </w:pPr>
      <w:rPr>
        <w:rFonts w:ascii="Courier New" w:hAnsi="Courier New" w:cs="Courier New" w:hint="default"/>
      </w:rPr>
    </w:lvl>
    <w:lvl w:ilvl="8">
      <w:start w:val="1"/>
      <w:numFmt w:val="bullet"/>
      <w:lvlText w:val=""/>
      <w:lvlJc w:val="left"/>
      <w:pPr>
        <w:tabs>
          <w:tab w:val="num" w:pos="2592"/>
        </w:tabs>
        <w:ind w:left="2592" w:hanging="288"/>
      </w:pPr>
      <w:rPr>
        <w:rFonts w:ascii="Wingdings" w:hAnsi="Wingdings" w:hint="default"/>
      </w:rPr>
    </w:lvl>
  </w:abstractNum>
  <w:abstractNum w:abstractNumId="30" w15:restartNumberingAfterBreak="0">
    <w:nsid w:val="7B4E2C18"/>
    <w:multiLevelType w:val="hybridMultilevel"/>
    <w:tmpl w:val="7180A930"/>
    <w:lvl w:ilvl="0" w:tplc="08806DC4">
      <w:start w:val="1"/>
      <w:numFmt w:val="decimal"/>
      <w:pStyle w:val="FigCaption"/>
      <w:suff w:val="space"/>
      <w:lvlText w:val="Figure %1. "/>
      <w:lvlJc w:val="left"/>
      <w:pPr>
        <w:ind w:left="5490" w:hanging="360"/>
      </w:pPr>
      <w:rPr>
        <w:rFonts w:ascii="Arial" w:hAnsi="Arial" w:hint="default"/>
        <w:b/>
        <w:i w:val="0"/>
        <w:sz w:val="20"/>
      </w:rPr>
    </w:lvl>
    <w:lvl w:ilvl="1" w:tplc="04090019" w:tentative="1">
      <w:start w:val="1"/>
      <w:numFmt w:val="lowerLetter"/>
      <w:lvlText w:val="%2."/>
      <w:lvlJc w:val="left"/>
      <w:pPr>
        <w:ind w:left="6210" w:hanging="360"/>
      </w:pPr>
    </w:lvl>
    <w:lvl w:ilvl="2" w:tplc="0409001B" w:tentative="1">
      <w:start w:val="1"/>
      <w:numFmt w:val="lowerRoman"/>
      <w:lvlText w:val="%3."/>
      <w:lvlJc w:val="right"/>
      <w:pPr>
        <w:ind w:left="6930" w:hanging="180"/>
      </w:pPr>
    </w:lvl>
    <w:lvl w:ilvl="3" w:tplc="0409000F" w:tentative="1">
      <w:start w:val="1"/>
      <w:numFmt w:val="decimal"/>
      <w:lvlText w:val="%4."/>
      <w:lvlJc w:val="left"/>
      <w:pPr>
        <w:ind w:left="7650" w:hanging="360"/>
      </w:pPr>
    </w:lvl>
    <w:lvl w:ilvl="4" w:tplc="04090019" w:tentative="1">
      <w:start w:val="1"/>
      <w:numFmt w:val="lowerLetter"/>
      <w:lvlText w:val="%5."/>
      <w:lvlJc w:val="left"/>
      <w:pPr>
        <w:ind w:left="8370" w:hanging="360"/>
      </w:pPr>
    </w:lvl>
    <w:lvl w:ilvl="5" w:tplc="0409001B" w:tentative="1">
      <w:start w:val="1"/>
      <w:numFmt w:val="lowerRoman"/>
      <w:lvlText w:val="%6."/>
      <w:lvlJc w:val="right"/>
      <w:pPr>
        <w:ind w:left="9090" w:hanging="180"/>
      </w:pPr>
    </w:lvl>
    <w:lvl w:ilvl="6" w:tplc="0409000F" w:tentative="1">
      <w:start w:val="1"/>
      <w:numFmt w:val="decimal"/>
      <w:lvlText w:val="%7."/>
      <w:lvlJc w:val="left"/>
      <w:pPr>
        <w:ind w:left="9810" w:hanging="360"/>
      </w:pPr>
    </w:lvl>
    <w:lvl w:ilvl="7" w:tplc="04090019" w:tentative="1">
      <w:start w:val="1"/>
      <w:numFmt w:val="lowerLetter"/>
      <w:lvlText w:val="%8."/>
      <w:lvlJc w:val="left"/>
      <w:pPr>
        <w:ind w:left="10530" w:hanging="360"/>
      </w:pPr>
    </w:lvl>
    <w:lvl w:ilvl="8" w:tplc="0409001B" w:tentative="1">
      <w:start w:val="1"/>
      <w:numFmt w:val="lowerRoman"/>
      <w:lvlText w:val="%9."/>
      <w:lvlJc w:val="right"/>
      <w:pPr>
        <w:ind w:left="11250" w:hanging="180"/>
      </w:pPr>
    </w:lvl>
  </w:abstractNum>
  <w:num w:numId="1">
    <w:abstractNumId w:val="13"/>
  </w:num>
  <w:num w:numId="2">
    <w:abstractNumId w:val="6"/>
  </w:num>
  <w:num w:numId="3">
    <w:abstractNumId w:val="30"/>
  </w:num>
  <w:num w:numId="4">
    <w:abstractNumId w:val="24"/>
  </w:num>
  <w:num w:numId="5">
    <w:abstractNumId w:val="11"/>
  </w:num>
  <w:num w:numId="6">
    <w:abstractNumId w:val="23"/>
  </w:num>
  <w:num w:numId="7">
    <w:abstractNumId w:val="27"/>
  </w:num>
  <w:num w:numId="8">
    <w:abstractNumId w:val="8"/>
  </w:num>
  <w:num w:numId="9">
    <w:abstractNumId w:val="4"/>
  </w:num>
  <w:num w:numId="10">
    <w:abstractNumId w:val="22"/>
  </w:num>
  <w:num w:numId="11">
    <w:abstractNumId w:val="3"/>
  </w:num>
  <w:num w:numId="12">
    <w:abstractNumId w:val="29"/>
  </w:num>
  <w:num w:numId="13">
    <w:abstractNumId w:val="20"/>
  </w:num>
  <w:num w:numId="14">
    <w:abstractNumId w:val="21"/>
  </w:num>
  <w:num w:numId="15">
    <w:abstractNumId w:val="16"/>
  </w:num>
  <w:num w:numId="16">
    <w:abstractNumId w:val="5"/>
  </w:num>
  <w:num w:numId="17">
    <w:abstractNumId w:val="0"/>
  </w:num>
  <w:num w:numId="18">
    <w:abstractNumId w:val="1"/>
  </w:num>
  <w:num w:numId="19">
    <w:abstractNumId w:val="25"/>
  </w:num>
  <w:num w:numId="20">
    <w:abstractNumId w:val="28"/>
  </w:num>
  <w:num w:numId="21">
    <w:abstractNumId w:val="2"/>
    <w:lvlOverride w:ilvl="0">
      <w:lvl w:ilvl="0">
        <w:start w:val="1"/>
        <w:numFmt w:val="bullet"/>
        <w:pStyle w:val="ListBullet"/>
        <w:lvlText w:val=""/>
        <w:lvlJc w:val="left"/>
        <w:pPr>
          <w:ind w:left="288" w:hanging="288"/>
        </w:pPr>
        <w:rPr>
          <w:rFonts w:ascii="Symbol" w:hAnsi="Symbol" w:hint="default"/>
        </w:rPr>
      </w:lvl>
    </w:lvlOverride>
    <w:lvlOverride w:ilvl="1">
      <w:lvl w:ilvl="1">
        <w:start w:val="1"/>
        <w:numFmt w:val="bullet"/>
        <w:pStyle w:val="ListBullet2"/>
        <w:lvlText w:val=""/>
        <w:lvlJc w:val="left"/>
        <w:pPr>
          <w:ind w:left="576" w:hanging="288"/>
        </w:pPr>
        <w:rPr>
          <w:rFonts w:ascii="Symbol" w:hAnsi="Symbol" w:hint="default"/>
        </w:rPr>
      </w:lvl>
    </w:lvlOverride>
    <w:lvlOverride w:ilvl="2">
      <w:lvl w:ilvl="2">
        <w:start w:val="1"/>
        <w:numFmt w:val="bullet"/>
        <w:pStyle w:val="ListBullet3"/>
        <w:lvlText w:val=""/>
        <w:lvlJc w:val="left"/>
        <w:pPr>
          <w:ind w:left="864" w:hanging="288"/>
        </w:pPr>
        <w:rPr>
          <w:rFonts w:ascii="Symbol" w:hAnsi="Symbol" w:hint="default"/>
          <w:color w:val="auto"/>
        </w:rPr>
      </w:lvl>
    </w:lvlOverride>
    <w:lvlOverride w:ilvl="3">
      <w:lvl w:ilvl="3">
        <w:start w:val="1"/>
        <w:numFmt w:val="bullet"/>
        <w:pStyle w:val="ListBullet4"/>
        <w:lvlText w:val=""/>
        <w:lvlJc w:val="left"/>
        <w:pPr>
          <w:ind w:left="1152" w:hanging="288"/>
        </w:pPr>
        <w:rPr>
          <w:rFonts w:ascii="Wingdings" w:hAnsi="Wingdings" w:hint="default"/>
        </w:rPr>
      </w:lvl>
    </w:lvlOverride>
    <w:lvlOverride w:ilvl="4">
      <w:lvl w:ilvl="4">
        <w:start w:val="1"/>
        <w:numFmt w:val="bullet"/>
        <w:pStyle w:val="ListBullet5"/>
        <w:lvlText w:val=""/>
        <w:lvlJc w:val="left"/>
        <w:pPr>
          <w:ind w:left="1440" w:hanging="288"/>
        </w:pPr>
        <w:rPr>
          <w:rFonts w:ascii="Symbol" w:hAnsi="Symbol" w:hint="default"/>
        </w:rPr>
      </w:lvl>
    </w:lvlOverride>
    <w:lvlOverride w:ilvl="5">
      <w:lvl w:ilvl="5">
        <w:start w:val="1"/>
        <w:numFmt w:val="none"/>
        <w:lvlText w:val=""/>
        <w:lvlJc w:val="left"/>
        <w:pPr>
          <w:ind w:left="1728" w:hanging="288"/>
        </w:pPr>
        <w:rPr>
          <w:rFonts w:hint="default"/>
        </w:rPr>
      </w:lvl>
    </w:lvlOverride>
    <w:lvlOverride w:ilvl="6">
      <w:lvl w:ilvl="6">
        <w:start w:val="1"/>
        <w:numFmt w:val="none"/>
        <w:lvlText w:val=""/>
        <w:lvlJc w:val="left"/>
        <w:pPr>
          <w:ind w:left="2016" w:hanging="288"/>
        </w:pPr>
        <w:rPr>
          <w:rFonts w:hint="default"/>
        </w:rPr>
      </w:lvl>
    </w:lvlOverride>
    <w:lvlOverride w:ilvl="7">
      <w:lvl w:ilvl="7">
        <w:start w:val="1"/>
        <w:numFmt w:val="none"/>
        <w:lvlText w:val="%8"/>
        <w:lvlJc w:val="left"/>
        <w:pPr>
          <w:ind w:left="2304" w:hanging="288"/>
        </w:pPr>
        <w:rPr>
          <w:rFonts w:hint="default"/>
        </w:rPr>
      </w:lvl>
    </w:lvlOverride>
    <w:lvlOverride w:ilvl="8">
      <w:lvl w:ilvl="8">
        <w:start w:val="1"/>
        <w:numFmt w:val="none"/>
        <w:lvlText w:val="%9"/>
        <w:lvlJc w:val="left"/>
        <w:pPr>
          <w:ind w:left="2592" w:hanging="288"/>
        </w:pPr>
        <w:rPr>
          <w:rFonts w:hint="default"/>
        </w:rPr>
      </w:lvl>
    </w:lvlOverride>
  </w:num>
  <w:num w:numId="22">
    <w:abstractNumId w:val="9"/>
  </w:num>
  <w:num w:numId="23">
    <w:abstractNumId w:val="7"/>
  </w:num>
  <w:num w:numId="24">
    <w:abstractNumId w:val="1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stylePaneFormatFilter w:val="5324" w:allStyles="0" w:customStyles="0" w:latentStyles="1" w:stylesInUse="0" w:headingStyles="1" w:numberingStyles="0" w:tableStyles="0" w:directFormattingOnRuns="1" w:directFormattingOnParagraphs="1" w:directFormattingOnNumbering="0" w:directFormattingOnTables="0" w:clearFormatting="1" w:top3HeadingStyles="0" w:visibleStyles="1" w:alternateStyleNames="0"/>
  <w:defaultTabStop w:val="28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C69"/>
    <w:rsid w:val="00001C3D"/>
    <w:rsid w:val="00002121"/>
    <w:rsid w:val="00006708"/>
    <w:rsid w:val="00006EAC"/>
    <w:rsid w:val="00014E4B"/>
    <w:rsid w:val="00027392"/>
    <w:rsid w:val="00031066"/>
    <w:rsid w:val="00031867"/>
    <w:rsid w:val="00031C8E"/>
    <w:rsid w:val="00032720"/>
    <w:rsid w:val="00045483"/>
    <w:rsid w:val="000459E0"/>
    <w:rsid w:val="000465DE"/>
    <w:rsid w:val="0004762E"/>
    <w:rsid w:val="00050B82"/>
    <w:rsid w:val="00061854"/>
    <w:rsid w:val="00062F0F"/>
    <w:rsid w:val="000774E1"/>
    <w:rsid w:val="00085FAD"/>
    <w:rsid w:val="00096C46"/>
    <w:rsid w:val="0009709E"/>
    <w:rsid w:val="000A153F"/>
    <w:rsid w:val="000A1591"/>
    <w:rsid w:val="000A4CAF"/>
    <w:rsid w:val="000A6389"/>
    <w:rsid w:val="000B1B55"/>
    <w:rsid w:val="000B2D24"/>
    <w:rsid w:val="000B37D0"/>
    <w:rsid w:val="000C002A"/>
    <w:rsid w:val="000C367A"/>
    <w:rsid w:val="000C75AA"/>
    <w:rsid w:val="000D1877"/>
    <w:rsid w:val="000D3ED8"/>
    <w:rsid w:val="000D6928"/>
    <w:rsid w:val="000E1102"/>
    <w:rsid w:val="000E3012"/>
    <w:rsid w:val="000F25AB"/>
    <w:rsid w:val="000F274D"/>
    <w:rsid w:val="000F3DC6"/>
    <w:rsid w:val="000F5339"/>
    <w:rsid w:val="00100146"/>
    <w:rsid w:val="00102B7F"/>
    <w:rsid w:val="00102CE7"/>
    <w:rsid w:val="00105325"/>
    <w:rsid w:val="00115BCF"/>
    <w:rsid w:val="00122F71"/>
    <w:rsid w:val="00126560"/>
    <w:rsid w:val="00127387"/>
    <w:rsid w:val="00131F11"/>
    <w:rsid w:val="001338B2"/>
    <w:rsid w:val="00134E5C"/>
    <w:rsid w:val="00135E2B"/>
    <w:rsid w:val="00137466"/>
    <w:rsid w:val="00150C31"/>
    <w:rsid w:val="00151C12"/>
    <w:rsid w:val="0015298C"/>
    <w:rsid w:val="00154BB0"/>
    <w:rsid w:val="00155FB2"/>
    <w:rsid w:val="00160760"/>
    <w:rsid w:val="0016218B"/>
    <w:rsid w:val="0016576E"/>
    <w:rsid w:val="00173DF1"/>
    <w:rsid w:val="00175746"/>
    <w:rsid w:val="00176C60"/>
    <w:rsid w:val="00182318"/>
    <w:rsid w:val="00183AB8"/>
    <w:rsid w:val="0018621C"/>
    <w:rsid w:val="001917DB"/>
    <w:rsid w:val="00195130"/>
    <w:rsid w:val="0019743E"/>
    <w:rsid w:val="001A1481"/>
    <w:rsid w:val="001A29E6"/>
    <w:rsid w:val="001A426F"/>
    <w:rsid w:val="001A4882"/>
    <w:rsid w:val="001A6E76"/>
    <w:rsid w:val="001B2F12"/>
    <w:rsid w:val="001B53E8"/>
    <w:rsid w:val="001C185F"/>
    <w:rsid w:val="001C2A68"/>
    <w:rsid w:val="001D7CCA"/>
    <w:rsid w:val="001E0044"/>
    <w:rsid w:val="001E22B0"/>
    <w:rsid w:val="001E307A"/>
    <w:rsid w:val="001E434A"/>
    <w:rsid w:val="001E5AA9"/>
    <w:rsid w:val="001E5BB7"/>
    <w:rsid w:val="001F2A79"/>
    <w:rsid w:val="00206367"/>
    <w:rsid w:val="002101A0"/>
    <w:rsid w:val="002121F5"/>
    <w:rsid w:val="00213101"/>
    <w:rsid w:val="00217236"/>
    <w:rsid w:val="002264E0"/>
    <w:rsid w:val="002334CF"/>
    <w:rsid w:val="00242AD6"/>
    <w:rsid w:val="002431EF"/>
    <w:rsid w:val="002458E8"/>
    <w:rsid w:val="002510E8"/>
    <w:rsid w:val="00251EEA"/>
    <w:rsid w:val="002537C6"/>
    <w:rsid w:val="00255445"/>
    <w:rsid w:val="00261F0A"/>
    <w:rsid w:val="002654D4"/>
    <w:rsid w:val="0027054D"/>
    <w:rsid w:val="00273A11"/>
    <w:rsid w:val="00273AE9"/>
    <w:rsid w:val="00275006"/>
    <w:rsid w:val="0028265F"/>
    <w:rsid w:val="00292F86"/>
    <w:rsid w:val="00294A28"/>
    <w:rsid w:val="00296722"/>
    <w:rsid w:val="00297680"/>
    <w:rsid w:val="002A07A9"/>
    <w:rsid w:val="002A59B5"/>
    <w:rsid w:val="002A7CF2"/>
    <w:rsid w:val="002B1377"/>
    <w:rsid w:val="002B1A27"/>
    <w:rsid w:val="002B7D0E"/>
    <w:rsid w:val="002C0692"/>
    <w:rsid w:val="002C1378"/>
    <w:rsid w:val="002C33DD"/>
    <w:rsid w:val="002D0CDB"/>
    <w:rsid w:val="002D417F"/>
    <w:rsid w:val="002D5031"/>
    <w:rsid w:val="002D5B3A"/>
    <w:rsid w:val="002D610E"/>
    <w:rsid w:val="002D691E"/>
    <w:rsid w:val="002D7041"/>
    <w:rsid w:val="002E126C"/>
    <w:rsid w:val="002E2415"/>
    <w:rsid w:val="002E24A6"/>
    <w:rsid w:val="002E2667"/>
    <w:rsid w:val="002E6C67"/>
    <w:rsid w:val="002E70B8"/>
    <w:rsid w:val="002E76DC"/>
    <w:rsid w:val="002E7C41"/>
    <w:rsid w:val="002F0A6C"/>
    <w:rsid w:val="002F2438"/>
    <w:rsid w:val="002F2464"/>
    <w:rsid w:val="002F4575"/>
    <w:rsid w:val="002F5ED1"/>
    <w:rsid w:val="002F6E8E"/>
    <w:rsid w:val="003009E9"/>
    <w:rsid w:val="00303229"/>
    <w:rsid w:val="00303D55"/>
    <w:rsid w:val="00305115"/>
    <w:rsid w:val="0031007A"/>
    <w:rsid w:val="00317A47"/>
    <w:rsid w:val="00317B7D"/>
    <w:rsid w:val="00317DB0"/>
    <w:rsid w:val="003251A3"/>
    <w:rsid w:val="003276B5"/>
    <w:rsid w:val="003342A1"/>
    <w:rsid w:val="00335397"/>
    <w:rsid w:val="003354A2"/>
    <w:rsid w:val="003442D8"/>
    <w:rsid w:val="00344761"/>
    <w:rsid w:val="00350FF9"/>
    <w:rsid w:val="00351F37"/>
    <w:rsid w:val="00363EAB"/>
    <w:rsid w:val="00365E1D"/>
    <w:rsid w:val="00366F4D"/>
    <w:rsid w:val="0036740B"/>
    <w:rsid w:val="00371E99"/>
    <w:rsid w:val="003732B5"/>
    <w:rsid w:val="0037353A"/>
    <w:rsid w:val="00375D11"/>
    <w:rsid w:val="00380182"/>
    <w:rsid w:val="00387DAE"/>
    <w:rsid w:val="00394A47"/>
    <w:rsid w:val="003961C1"/>
    <w:rsid w:val="003A10C8"/>
    <w:rsid w:val="003A2782"/>
    <w:rsid w:val="003A350B"/>
    <w:rsid w:val="003A3933"/>
    <w:rsid w:val="003A3A60"/>
    <w:rsid w:val="003A5C66"/>
    <w:rsid w:val="003B0656"/>
    <w:rsid w:val="003B36B9"/>
    <w:rsid w:val="003B50A4"/>
    <w:rsid w:val="003B624D"/>
    <w:rsid w:val="003C170D"/>
    <w:rsid w:val="003D1DB5"/>
    <w:rsid w:val="003D2D12"/>
    <w:rsid w:val="003D3157"/>
    <w:rsid w:val="003D6455"/>
    <w:rsid w:val="003D70FB"/>
    <w:rsid w:val="003E17EB"/>
    <w:rsid w:val="003E406D"/>
    <w:rsid w:val="003F16EA"/>
    <w:rsid w:val="003F1C54"/>
    <w:rsid w:val="003F1F73"/>
    <w:rsid w:val="003F268E"/>
    <w:rsid w:val="003F3A6F"/>
    <w:rsid w:val="003F75F7"/>
    <w:rsid w:val="003F7FA0"/>
    <w:rsid w:val="004072FC"/>
    <w:rsid w:val="004136E2"/>
    <w:rsid w:val="0042157D"/>
    <w:rsid w:val="00424EB0"/>
    <w:rsid w:val="004251EB"/>
    <w:rsid w:val="00425ACA"/>
    <w:rsid w:val="00426308"/>
    <w:rsid w:val="00426D96"/>
    <w:rsid w:val="00433865"/>
    <w:rsid w:val="0043449F"/>
    <w:rsid w:val="00434E6D"/>
    <w:rsid w:val="00445EE2"/>
    <w:rsid w:val="00452D46"/>
    <w:rsid w:val="00453AA8"/>
    <w:rsid w:val="00457FEF"/>
    <w:rsid w:val="00465D11"/>
    <w:rsid w:val="00470704"/>
    <w:rsid w:val="00474986"/>
    <w:rsid w:val="00476E18"/>
    <w:rsid w:val="004778A5"/>
    <w:rsid w:val="004843BE"/>
    <w:rsid w:val="00484431"/>
    <w:rsid w:val="004846D8"/>
    <w:rsid w:val="00485F6E"/>
    <w:rsid w:val="00487893"/>
    <w:rsid w:val="0049060C"/>
    <w:rsid w:val="004919B3"/>
    <w:rsid w:val="00497938"/>
    <w:rsid w:val="004A0819"/>
    <w:rsid w:val="004A0EE9"/>
    <w:rsid w:val="004A7FB6"/>
    <w:rsid w:val="004B029A"/>
    <w:rsid w:val="004B69F3"/>
    <w:rsid w:val="004B740B"/>
    <w:rsid w:val="004C73CD"/>
    <w:rsid w:val="004D13F8"/>
    <w:rsid w:val="004D3142"/>
    <w:rsid w:val="004D362D"/>
    <w:rsid w:val="004D3FD6"/>
    <w:rsid w:val="004D4881"/>
    <w:rsid w:val="004D5013"/>
    <w:rsid w:val="004D6ADF"/>
    <w:rsid w:val="004E7DC4"/>
    <w:rsid w:val="004F063A"/>
    <w:rsid w:val="00500307"/>
    <w:rsid w:val="0050154B"/>
    <w:rsid w:val="005016DF"/>
    <w:rsid w:val="00501972"/>
    <w:rsid w:val="005045A4"/>
    <w:rsid w:val="00520365"/>
    <w:rsid w:val="005308D0"/>
    <w:rsid w:val="00530D4D"/>
    <w:rsid w:val="00536E47"/>
    <w:rsid w:val="00537E90"/>
    <w:rsid w:val="00541558"/>
    <w:rsid w:val="00545E88"/>
    <w:rsid w:val="00546E07"/>
    <w:rsid w:val="00547757"/>
    <w:rsid w:val="005543A2"/>
    <w:rsid w:val="0055479B"/>
    <w:rsid w:val="005550C0"/>
    <w:rsid w:val="00555423"/>
    <w:rsid w:val="00563432"/>
    <w:rsid w:val="00567A00"/>
    <w:rsid w:val="005734A7"/>
    <w:rsid w:val="00575CEB"/>
    <w:rsid w:val="00576E6F"/>
    <w:rsid w:val="00580D24"/>
    <w:rsid w:val="00582551"/>
    <w:rsid w:val="00583688"/>
    <w:rsid w:val="00585235"/>
    <w:rsid w:val="00585D25"/>
    <w:rsid w:val="0058759F"/>
    <w:rsid w:val="005944D0"/>
    <w:rsid w:val="00594B37"/>
    <w:rsid w:val="005960E2"/>
    <w:rsid w:val="00597C70"/>
    <w:rsid w:val="005A2B5D"/>
    <w:rsid w:val="005A56F3"/>
    <w:rsid w:val="005A6723"/>
    <w:rsid w:val="005B15EA"/>
    <w:rsid w:val="005B76B6"/>
    <w:rsid w:val="005B7B64"/>
    <w:rsid w:val="005C248C"/>
    <w:rsid w:val="005D2531"/>
    <w:rsid w:val="005D5670"/>
    <w:rsid w:val="005E1692"/>
    <w:rsid w:val="005E5AD7"/>
    <w:rsid w:val="005E6F88"/>
    <w:rsid w:val="005F21B2"/>
    <w:rsid w:val="005F37FD"/>
    <w:rsid w:val="005F53A3"/>
    <w:rsid w:val="0060276B"/>
    <w:rsid w:val="006049B1"/>
    <w:rsid w:val="006066C3"/>
    <w:rsid w:val="0061413F"/>
    <w:rsid w:val="0061732A"/>
    <w:rsid w:val="00624E0E"/>
    <w:rsid w:val="00625BCF"/>
    <w:rsid w:val="0062706E"/>
    <w:rsid w:val="00634576"/>
    <w:rsid w:val="00636B5F"/>
    <w:rsid w:val="00651FF2"/>
    <w:rsid w:val="006619DF"/>
    <w:rsid w:val="00667B69"/>
    <w:rsid w:val="00671B78"/>
    <w:rsid w:val="00671E8B"/>
    <w:rsid w:val="00672403"/>
    <w:rsid w:val="00674766"/>
    <w:rsid w:val="0068145E"/>
    <w:rsid w:val="00684AA5"/>
    <w:rsid w:val="00686D0F"/>
    <w:rsid w:val="00686FDA"/>
    <w:rsid w:val="00687A3F"/>
    <w:rsid w:val="006923E4"/>
    <w:rsid w:val="0069320B"/>
    <w:rsid w:val="00693D48"/>
    <w:rsid w:val="00694909"/>
    <w:rsid w:val="00694D32"/>
    <w:rsid w:val="0069664E"/>
    <w:rsid w:val="006A27D7"/>
    <w:rsid w:val="006A6045"/>
    <w:rsid w:val="006A7C36"/>
    <w:rsid w:val="006B181C"/>
    <w:rsid w:val="006B6182"/>
    <w:rsid w:val="006C2AB5"/>
    <w:rsid w:val="006D0ECF"/>
    <w:rsid w:val="006D184C"/>
    <w:rsid w:val="006D2192"/>
    <w:rsid w:val="006D25FD"/>
    <w:rsid w:val="006D3FDA"/>
    <w:rsid w:val="006D7454"/>
    <w:rsid w:val="006E061D"/>
    <w:rsid w:val="006E0E45"/>
    <w:rsid w:val="006E4F35"/>
    <w:rsid w:val="006F1D44"/>
    <w:rsid w:val="007007C9"/>
    <w:rsid w:val="00701DE4"/>
    <w:rsid w:val="00702089"/>
    <w:rsid w:val="00704F7B"/>
    <w:rsid w:val="00705177"/>
    <w:rsid w:val="0070616E"/>
    <w:rsid w:val="007142EE"/>
    <w:rsid w:val="00714AC3"/>
    <w:rsid w:val="00723471"/>
    <w:rsid w:val="00725222"/>
    <w:rsid w:val="00727853"/>
    <w:rsid w:val="007326F0"/>
    <w:rsid w:val="0073458D"/>
    <w:rsid w:val="00737037"/>
    <w:rsid w:val="00750163"/>
    <w:rsid w:val="007533B2"/>
    <w:rsid w:val="00754A0C"/>
    <w:rsid w:val="00762925"/>
    <w:rsid w:val="00763785"/>
    <w:rsid w:val="00764C33"/>
    <w:rsid w:val="0076539B"/>
    <w:rsid w:val="00766787"/>
    <w:rsid w:val="00767A44"/>
    <w:rsid w:val="00772699"/>
    <w:rsid w:val="00780822"/>
    <w:rsid w:val="00783BF7"/>
    <w:rsid w:val="00783E88"/>
    <w:rsid w:val="00787E0A"/>
    <w:rsid w:val="00790913"/>
    <w:rsid w:val="00791DDA"/>
    <w:rsid w:val="007964FF"/>
    <w:rsid w:val="007967B0"/>
    <w:rsid w:val="00797AC2"/>
    <w:rsid w:val="00797C51"/>
    <w:rsid w:val="007A506B"/>
    <w:rsid w:val="007B011E"/>
    <w:rsid w:val="007B0BE9"/>
    <w:rsid w:val="007B2FAB"/>
    <w:rsid w:val="007B5F37"/>
    <w:rsid w:val="007D1D48"/>
    <w:rsid w:val="007D48EB"/>
    <w:rsid w:val="007D4E1F"/>
    <w:rsid w:val="007D6FA7"/>
    <w:rsid w:val="007D6FDF"/>
    <w:rsid w:val="007D774E"/>
    <w:rsid w:val="007E65F2"/>
    <w:rsid w:val="007E6713"/>
    <w:rsid w:val="007E7523"/>
    <w:rsid w:val="007F43EE"/>
    <w:rsid w:val="007F78ED"/>
    <w:rsid w:val="007F7BA3"/>
    <w:rsid w:val="00800423"/>
    <w:rsid w:val="00803941"/>
    <w:rsid w:val="00803B4C"/>
    <w:rsid w:val="00807726"/>
    <w:rsid w:val="00812116"/>
    <w:rsid w:val="0081352C"/>
    <w:rsid w:val="008219B2"/>
    <w:rsid w:val="00825208"/>
    <w:rsid w:val="00834EAF"/>
    <w:rsid w:val="00842EAB"/>
    <w:rsid w:val="0084415B"/>
    <w:rsid w:val="008502E6"/>
    <w:rsid w:val="00853938"/>
    <w:rsid w:val="00856CD8"/>
    <w:rsid w:val="00856D68"/>
    <w:rsid w:val="008629BF"/>
    <w:rsid w:val="008647A8"/>
    <w:rsid w:val="00865738"/>
    <w:rsid w:val="00865913"/>
    <w:rsid w:val="008664CB"/>
    <w:rsid w:val="0088058B"/>
    <w:rsid w:val="00880A54"/>
    <w:rsid w:val="00883B4C"/>
    <w:rsid w:val="00887B76"/>
    <w:rsid w:val="00887CF7"/>
    <w:rsid w:val="008919DD"/>
    <w:rsid w:val="008928F2"/>
    <w:rsid w:val="00892F43"/>
    <w:rsid w:val="00894928"/>
    <w:rsid w:val="00896E8F"/>
    <w:rsid w:val="008A100C"/>
    <w:rsid w:val="008A16E1"/>
    <w:rsid w:val="008A2330"/>
    <w:rsid w:val="008A4ABB"/>
    <w:rsid w:val="008A74AD"/>
    <w:rsid w:val="008B061B"/>
    <w:rsid w:val="008B193D"/>
    <w:rsid w:val="008B3259"/>
    <w:rsid w:val="008C1580"/>
    <w:rsid w:val="008D1CB0"/>
    <w:rsid w:val="008E0052"/>
    <w:rsid w:val="008E1D05"/>
    <w:rsid w:val="008E2BEA"/>
    <w:rsid w:val="008E5281"/>
    <w:rsid w:val="008E78DA"/>
    <w:rsid w:val="008F12A6"/>
    <w:rsid w:val="008F2AA2"/>
    <w:rsid w:val="008F3C45"/>
    <w:rsid w:val="008F474C"/>
    <w:rsid w:val="008F4C2B"/>
    <w:rsid w:val="008F7E40"/>
    <w:rsid w:val="00900418"/>
    <w:rsid w:val="009005DF"/>
    <w:rsid w:val="00902061"/>
    <w:rsid w:val="00902EB6"/>
    <w:rsid w:val="009065F8"/>
    <w:rsid w:val="00906CBF"/>
    <w:rsid w:val="00910A33"/>
    <w:rsid w:val="009128FF"/>
    <w:rsid w:val="009157AF"/>
    <w:rsid w:val="009168DA"/>
    <w:rsid w:val="00917A52"/>
    <w:rsid w:val="009204B1"/>
    <w:rsid w:val="00922191"/>
    <w:rsid w:val="00931621"/>
    <w:rsid w:val="0095106D"/>
    <w:rsid w:val="009519EA"/>
    <w:rsid w:val="00952D87"/>
    <w:rsid w:val="009563E6"/>
    <w:rsid w:val="0096129D"/>
    <w:rsid w:val="00961342"/>
    <w:rsid w:val="0096341E"/>
    <w:rsid w:val="009639AF"/>
    <w:rsid w:val="00964DC2"/>
    <w:rsid w:val="00967065"/>
    <w:rsid w:val="00970283"/>
    <w:rsid w:val="009703C0"/>
    <w:rsid w:val="009743BD"/>
    <w:rsid w:val="00977B5F"/>
    <w:rsid w:val="00985F72"/>
    <w:rsid w:val="009876E5"/>
    <w:rsid w:val="00992BC4"/>
    <w:rsid w:val="00995982"/>
    <w:rsid w:val="0099603E"/>
    <w:rsid w:val="009B16EB"/>
    <w:rsid w:val="009B3EE9"/>
    <w:rsid w:val="009B4CED"/>
    <w:rsid w:val="009B6600"/>
    <w:rsid w:val="009C1C09"/>
    <w:rsid w:val="009C1C2B"/>
    <w:rsid w:val="009C51AA"/>
    <w:rsid w:val="009C6302"/>
    <w:rsid w:val="009C653E"/>
    <w:rsid w:val="009D0F77"/>
    <w:rsid w:val="009D1C6E"/>
    <w:rsid w:val="009D1CD5"/>
    <w:rsid w:val="009D4BA7"/>
    <w:rsid w:val="009D4D45"/>
    <w:rsid w:val="009E12EA"/>
    <w:rsid w:val="009E2788"/>
    <w:rsid w:val="009E2CE3"/>
    <w:rsid w:val="009E764C"/>
    <w:rsid w:val="009F413D"/>
    <w:rsid w:val="009F505A"/>
    <w:rsid w:val="00A004A3"/>
    <w:rsid w:val="00A00AA4"/>
    <w:rsid w:val="00A00C20"/>
    <w:rsid w:val="00A033F8"/>
    <w:rsid w:val="00A04AF0"/>
    <w:rsid w:val="00A05368"/>
    <w:rsid w:val="00A11400"/>
    <w:rsid w:val="00A151C4"/>
    <w:rsid w:val="00A15BCD"/>
    <w:rsid w:val="00A20236"/>
    <w:rsid w:val="00A22753"/>
    <w:rsid w:val="00A2283F"/>
    <w:rsid w:val="00A24144"/>
    <w:rsid w:val="00A30C56"/>
    <w:rsid w:val="00A3245A"/>
    <w:rsid w:val="00A32898"/>
    <w:rsid w:val="00A4097F"/>
    <w:rsid w:val="00A415EF"/>
    <w:rsid w:val="00A43545"/>
    <w:rsid w:val="00A464F1"/>
    <w:rsid w:val="00A47558"/>
    <w:rsid w:val="00A5691B"/>
    <w:rsid w:val="00A666A9"/>
    <w:rsid w:val="00A66EA2"/>
    <w:rsid w:val="00A67486"/>
    <w:rsid w:val="00A67F1D"/>
    <w:rsid w:val="00A720B4"/>
    <w:rsid w:val="00A76F08"/>
    <w:rsid w:val="00A80809"/>
    <w:rsid w:val="00A81CB4"/>
    <w:rsid w:val="00A84D7A"/>
    <w:rsid w:val="00A87C80"/>
    <w:rsid w:val="00A90ECF"/>
    <w:rsid w:val="00A9148C"/>
    <w:rsid w:val="00A9283E"/>
    <w:rsid w:val="00A929D5"/>
    <w:rsid w:val="00A96DF7"/>
    <w:rsid w:val="00A97798"/>
    <w:rsid w:val="00A97BBC"/>
    <w:rsid w:val="00A97C6C"/>
    <w:rsid w:val="00AA342C"/>
    <w:rsid w:val="00AB252C"/>
    <w:rsid w:val="00AB288D"/>
    <w:rsid w:val="00AB56FB"/>
    <w:rsid w:val="00AB6ECA"/>
    <w:rsid w:val="00AC30D9"/>
    <w:rsid w:val="00AD05D8"/>
    <w:rsid w:val="00AD06D5"/>
    <w:rsid w:val="00AD15B6"/>
    <w:rsid w:val="00AE58B3"/>
    <w:rsid w:val="00AF0834"/>
    <w:rsid w:val="00AF4621"/>
    <w:rsid w:val="00AF58C7"/>
    <w:rsid w:val="00AF5D4E"/>
    <w:rsid w:val="00B00BBE"/>
    <w:rsid w:val="00B03A34"/>
    <w:rsid w:val="00B05364"/>
    <w:rsid w:val="00B066F5"/>
    <w:rsid w:val="00B13717"/>
    <w:rsid w:val="00B172EE"/>
    <w:rsid w:val="00B2072A"/>
    <w:rsid w:val="00B22406"/>
    <w:rsid w:val="00B24D30"/>
    <w:rsid w:val="00B25866"/>
    <w:rsid w:val="00B2613F"/>
    <w:rsid w:val="00B26620"/>
    <w:rsid w:val="00B26D79"/>
    <w:rsid w:val="00B331AA"/>
    <w:rsid w:val="00B33B63"/>
    <w:rsid w:val="00B33D4D"/>
    <w:rsid w:val="00B3430F"/>
    <w:rsid w:val="00B40DC5"/>
    <w:rsid w:val="00B414EA"/>
    <w:rsid w:val="00B46FEF"/>
    <w:rsid w:val="00B53A26"/>
    <w:rsid w:val="00B53E76"/>
    <w:rsid w:val="00B549FD"/>
    <w:rsid w:val="00B54CA9"/>
    <w:rsid w:val="00B55CE7"/>
    <w:rsid w:val="00B609B7"/>
    <w:rsid w:val="00B634C9"/>
    <w:rsid w:val="00B75E9B"/>
    <w:rsid w:val="00B7688F"/>
    <w:rsid w:val="00B7791E"/>
    <w:rsid w:val="00B8058B"/>
    <w:rsid w:val="00B816F2"/>
    <w:rsid w:val="00B95B72"/>
    <w:rsid w:val="00B95D31"/>
    <w:rsid w:val="00BA0A2D"/>
    <w:rsid w:val="00BA0B8E"/>
    <w:rsid w:val="00BA1693"/>
    <w:rsid w:val="00BA42D4"/>
    <w:rsid w:val="00BA52BA"/>
    <w:rsid w:val="00BA5A3E"/>
    <w:rsid w:val="00BB0F65"/>
    <w:rsid w:val="00BB12C0"/>
    <w:rsid w:val="00BB5F93"/>
    <w:rsid w:val="00BC0D6E"/>
    <w:rsid w:val="00BC1C2B"/>
    <w:rsid w:val="00BC287C"/>
    <w:rsid w:val="00BC54C8"/>
    <w:rsid w:val="00BD22EC"/>
    <w:rsid w:val="00BD2B14"/>
    <w:rsid w:val="00BD59A6"/>
    <w:rsid w:val="00BD79C7"/>
    <w:rsid w:val="00BE5AB8"/>
    <w:rsid w:val="00BE70D7"/>
    <w:rsid w:val="00BE7E96"/>
    <w:rsid w:val="00BF5BC9"/>
    <w:rsid w:val="00BF6DC6"/>
    <w:rsid w:val="00C001C2"/>
    <w:rsid w:val="00C02D77"/>
    <w:rsid w:val="00C04EEF"/>
    <w:rsid w:val="00C0537B"/>
    <w:rsid w:val="00C10FE1"/>
    <w:rsid w:val="00C148B2"/>
    <w:rsid w:val="00C157B6"/>
    <w:rsid w:val="00C21313"/>
    <w:rsid w:val="00C21B0F"/>
    <w:rsid w:val="00C30F7E"/>
    <w:rsid w:val="00C312C8"/>
    <w:rsid w:val="00C32B7C"/>
    <w:rsid w:val="00C37172"/>
    <w:rsid w:val="00C401D5"/>
    <w:rsid w:val="00C4485F"/>
    <w:rsid w:val="00C4614F"/>
    <w:rsid w:val="00C46F90"/>
    <w:rsid w:val="00C51AA6"/>
    <w:rsid w:val="00C52293"/>
    <w:rsid w:val="00C60F39"/>
    <w:rsid w:val="00C64A18"/>
    <w:rsid w:val="00C64DB3"/>
    <w:rsid w:val="00C66019"/>
    <w:rsid w:val="00C663CE"/>
    <w:rsid w:val="00C66775"/>
    <w:rsid w:val="00C737E9"/>
    <w:rsid w:val="00C81B4D"/>
    <w:rsid w:val="00C847D6"/>
    <w:rsid w:val="00C861C8"/>
    <w:rsid w:val="00C86927"/>
    <w:rsid w:val="00C92FAA"/>
    <w:rsid w:val="00C95D9D"/>
    <w:rsid w:val="00C96655"/>
    <w:rsid w:val="00C9721B"/>
    <w:rsid w:val="00CA2096"/>
    <w:rsid w:val="00CA271D"/>
    <w:rsid w:val="00CA45A0"/>
    <w:rsid w:val="00CA5D07"/>
    <w:rsid w:val="00CB1D25"/>
    <w:rsid w:val="00CB395D"/>
    <w:rsid w:val="00CB3D41"/>
    <w:rsid w:val="00CC1CB7"/>
    <w:rsid w:val="00CD2804"/>
    <w:rsid w:val="00CF47F1"/>
    <w:rsid w:val="00CF5C59"/>
    <w:rsid w:val="00D02ECB"/>
    <w:rsid w:val="00D060B0"/>
    <w:rsid w:val="00D112D6"/>
    <w:rsid w:val="00D122FF"/>
    <w:rsid w:val="00D126DA"/>
    <w:rsid w:val="00D14E65"/>
    <w:rsid w:val="00D15976"/>
    <w:rsid w:val="00D15A5C"/>
    <w:rsid w:val="00D1676B"/>
    <w:rsid w:val="00D21940"/>
    <w:rsid w:val="00D23B45"/>
    <w:rsid w:val="00D336B7"/>
    <w:rsid w:val="00D339CB"/>
    <w:rsid w:val="00D33A4E"/>
    <w:rsid w:val="00D37587"/>
    <w:rsid w:val="00D37852"/>
    <w:rsid w:val="00D40C8E"/>
    <w:rsid w:val="00D461D0"/>
    <w:rsid w:val="00D47BC3"/>
    <w:rsid w:val="00D5055B"/>
    <w:rsid w:val="00D5267E"/>
    <w:rsid w:val="00D6145C"/>
    <w:rsid w:val="00D63CD9"/>
    <w:rsid w:val="00D6405E"/>
    <w:rsid w:val="00D7241A"/>
    <w:rsid w:val="00D73555"/>
    <w:rsid w:val="00D7453B"/>
    <w:rsid w:val="00D7460B"/>
    <w:rsid w:val="00D76720"/>
    <w:rsid w:val="00D82E05"/>
    <w:rsid w:val="00D84319"/>
    <w:rsid w:val="00D86832"/>
    <w:rsid w:val="00D87930"/>
    <w:rsid w:val="00D9262B"/>
    <w:rsid w:val="00D93422"/>
    <w:rsid w:val="00D9723D"/>
    <w:rsid w:val="00DA2016"/>
    <w:rsid w:val="00DA41D1"/>
    <w:rsid w:val="00DA4801"/>
    <w:rsid w:val="00DA52BF"/>
    <w:rsid w:val="00DA5EA9"/>
    <w:rsid w:val="00DA7597"/>
    <w:rsid w:val="00DB565D"/>
    <w:rsid w:val="00DB6A85"/>
    <w:rsid w:val="00DB7F93"/>
    <w:rsid w:val="00DC44FB"/>
    <w:rsid w:val="00DD1474"/>
    <w:rsid w:val="00DD2B80"/>
    <w:rsid w:val="00DD2FCD"/>
    <w:rsid w:val="00DE283D"/>
    <w:rsid w:val="00DF784A"/>
    <w:rsid w:val="00E02296"/>
    <w:rsid w:val="00E023C0"/>
    <w:rsid w:val="00E02405"/>
    <w:rsid w:val="00E07943"/>
    <w:rsid w:val="00E11201"/>
    <w:rsid w:val="00E12DA0"/>
    <w:rsid w:val="00E16CE2"/>
    <w:rsid w:val="00E24A17"/>
    <w:rsid w:val="00E33F93"/>
    <w:rsid w:val="00E36129"/>
    <w:rsid w:val="00E3682E"/>
    <w:rsid w:val="00E429F9"/>
    <w:rsid w:val="00E45D0E"/>
    <w:rsid w:val="00E467A7"/>
    <w:rsid w:val="00E47528"/>
    <w:rsid w:val="00E51B95"/>
    <w:rsid w:val="00E538CE"/>
    <w:rsid w:val="00E6247E"/>
    <w:rsid w:val="00E633DF"/>
    <w:rsid w:val="00E64EDB"/>
    <w:rsid w:val="00E658F1"/>
    <w:rsid w:val="00E6640B"/>
    <w:rsid w:val="00E7085C"/>
    <w:rsid w:val="00E75C69"/>
    <w:rsid w:val="00E7632D"/>
    <w:rsid w:val="00E934B6"/>
    <w:rsid w:val="00E93987"/>
    <w:rsid w:val="00EA3E6C"/>
    <w:rsid w:val="00EA4870"/>
    <w:rsid w:val="00EA78E5"/>
    <w:rsid w:val="00EA79C8"/>
    <w:rsid w:val="00EA7F84"/>
    <w:rsid w:val="00EB2317"/>
    <w:rsid w:val="00EB29CB"/>
    <w:rsid w:val="00EB6FCC"/>
    <w:rsid w:val="00EC2800"/>
    <w:rsid w:val="00EC2E7F"/>
    <w:rsid w:val="00EC69DC"/>
    <w:rsid w:val="00ED085D"/>
    <w:rsid w:val="00ED0D61"/>
    <w:rsid w:val="00ED27DC"/>
    <w:rsid w:val="00ED48A7"/>
    <w:rsid w:val="00EE0902"/>
    <w:rsid w:val="00EE12AD"/>
    <w:rsid w:val="00EE53C5"/>
    <w:rsid w:val="00EE6C9B"/>
    <w:rsid w:val="00EF0C98"/>
    <w:rsid w:val="00EF5EB4"/>
    <w:rsid w:val="00F07269"/>
    <w:rsid w:val="00F1529B"/>
    <w:rsid w:val="00F22CB7"/>
    <w:rsid w:val="00F27DDF"/>
    <w:rsid w:val="00F27FE3"/>
    <w:rsid w:val="00F311F9"/>
    <w:rsid w:val="00F324F2"/>
    <w:rsid w:val="00F40D3F"/>
    <w:rsid w:val="00F44270"/>
    <w:rsid w:val="00F44832"/>
    <w:rsid w:val="00F45D81"/>
    <w:rsid w:val="00F47F3D"/>
    <w:rsid w:val="00F5091C"/>
    <w:rsid w:val="00F53C16"/>
    <w:rsid w:val="00F55AB0"/>
    <w:rsid w:val="00F56A74"/>
    <w:rsid w:val="00F57EC5"/>
    <w:rsid w:val="00F6302B"/>
    <w:rsid w:val="00F63A15"/>
    <w:rsid w:val="00F644DF"/>
    <w:rsid w:val="00F649B9"/>
    <w:rsid w:val="00F6666A"/>
    <w:rsid w:val="00F709BD"/>
    <w:rsid w:val="00F81158"/>
    <w:rsid w:val="00F8146C"/>
    <w:rsid w:val="00F823E7"/>
    <w:rsid w:val="00F83107"/>
    <w:rsid w:val="00F8396D"/>
    <w:rsid w:val="00F95B86"/>
    <w:rsid w:val="00FA0848"/>
    <w:rsid w:val="00FA41FA"/>
    <w:rsid w:val="00FB5A0D"/>
    <w:rsid w:val="00FC0528"/>
    <w:rsid w:val="00FC42D5"/>
    <w:rsid w:val="00FC456B"/>
    <w:rsid w:val="00FC4740"/>
    <w:rsid w:val="00FD040D"/>
    <w:rsid w:val="00FD0A61"/>
    <w:rsid w:val="00FD350A"/>
    <w:rsid w:val="00FD3C32"/>
    <w:rsid w:val="00FD49FF"/>
    <w:rsid w:val="00FD7E54"/>
    <w:rsid w:val="00FE0790"/>
    <w:rsid w:val="00FE6051"/>
    <w:rsid w:val="00FE69F2"/>
    <w:rsid w:val="00FF015C"/>
    <w:rsid w:val="00FF0CAC"/>
    <w:rsid w:val="00FF161C"/>
    <w:rsid w:val="00FF1D83"/>
    <w:rsid w:val="00FF3338"/>
    <w:rsid w:val="00FF34BC"/>
    <w:rsid w:val="00FF5C54"/>
    <w:rsid w:val="00FF6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57C997D"/>
  <w15:chartTrackingRefBased/>
  <w15:docId w15:val="{45B190AA-0BBB-4056-8F35-4C17F2C07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4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qFormat="1"/>
    <w:lsdException w:name="Intense Reference" w:semiHidden="1"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ody"/>
    <w:qFormat/>
    <w:rsid w:val="00902061"/>
    <w:rPr>
      <w:rFonts w:ascii="Times New Roman" w:hAnsi="Times New Roman"/>
      <w:kern w:val="22"/>
    </w:rPr>
  </w:style>
  <w:style w:type="paragraph" w:styleId="Heading1">
    <w:name w:val="heading 1"/>
    <w:basedOn w:val="Normal"/>
    <w:next w:val="Normal"/>
    <w:link w:val="Heading1Char"/>
    <w:qFormat/>
    <w:rsid w:val="0050154B"/>
    <w:pPr>
      <w:keepNext/>
      <w:keepLines/>
      <w:spacing w:before="440" w:after="60"/>
      <w:outlineLvl w:val="0"/>
    </w:pPr>
    <w:rPr>
      <w:rFonts w:ascii="Arial" w:eastAsiaTheme="majorEastAsia" w:hAnsi="Arial" w:cstheme="majorBidi"/>
      <w:b/>
      <w:color w:val="3B3838" w:themeColor="background2" w:themeShade="40"/>
      <w:sz w:val="44"/>
      <w:szCs w:val="32"/>
    </w:rPr>
  </w:style>
  <w:style w:type="paragraph" w:styleId="Heading2">
    <w:name w:val="heading 2"/>
    <w:basedOn w:val="Normal"/>
    <w:next w:val="Normal"/>
    <w:link w:val="Heading2Char"/>
    <w:unhideWhenUsed/>
    <w:qFormat/>
    <w:rsid w:val="0050154B"/>
    <w:pPr>
      <w:keepNext/>
      <w:keepLines/>
      <w:spacing w:before="280"/>
      <w:outlineLvl w:val="1"/>
    </w:pPr>
    <w:rPr>
      <w:rFonts w:ascii="Arial" w:eastAsiaTheme="majorEastAsia" w:hAnsi="Arial" w:cstheme="majorBidi"/>
      <w:b/>
      <w:sz w:val="32"/>
      <w:szCs w:val="26"/>
    </w:rPr>
  </w:style>
  <w:style w:type="paragraph" w:styleId="Heading3">
    <w:name w:val="heading 3"/>
    <w:basedOn w:val="Normal"/>
    <w:next w:val="Normal"/>
    <w:link w:val="Heading3Char"/>
    <w:unhideWhenUsed/>
    <w:qFormat/>
    <w:rsid w:val="00C96655"/>
    <w:pPr>
      <w:keepNext/>
      <w:keepLines/>
      <w:spacing w:before="240"/>
      <w:outlineLvl w:val="2"/>
    </w:pPr>
    <w:rPr>
      <w:rFonts w:ascii="Arial" w:eastAsiaTheme="majorEastAsia" w:hAnsi="Arial" w:cstheme="majorBidi"/>
      <w:sz w:val="28"/>
      <w:szCs w:val="24"/>
    </w:rPr>
  </w:style>
  <w:style w:type="paragraph" w:styleId="Heading4">
    <w:name w:val="heading 4"/>
    <w:basedOn w:val="Normal"/>
    <w:next w:val="Normal"/>
    <w:link w:val="Heading4Char"/>
    <w:unhideWhenUsed/>
    <w:qFormat/>
    <w:rsid w:val="00C96655"/>
    <w:pPr>
      <w:keepNext/>
      <w:keepLines/>
      <w:spacing w:before="240"/>
      <w:outlineLvl w:val="3"/>
    </w:pPr>
    <w:rPr>
      <w:rFonts w:ascii="Arial" w:eastAsiaTheme="majorEastAsia" w:hAnsi="Arial" w:cstheme="majorBidi"/>
      <w:b/>
      <w:i/>
      <w:iCs/>
      <w:sz w:val="24"/>
    </w:rPr>
  </w:style>
  <w:style w:type="paragraph" w:styleId="Heading5">
    <w:name w:val="heading 5"/>
    <w:basedOn w:val="Normal"/>
    <w:next w:val="Normal"/>
    <w:link w:val="Heading5Char"/>
    <w:unhideWhenUsed/>
    <w:qFormat/>
    <w:rsid w:val="00C96655"/>
    <w:pPr>
      <w:keepNext/>
      <w:keepLines/>
      <w:spacing w:before="200"/>
      <w:outlineLvl w:val="4"/>
    </w:pPr>
    <w:rPr>
      <w:rFonts w:eastAsiaTheme="majorEastAsia" w:cstheme="majorBidi"/>
      <w:b/>
      <w:smallCaps/>
      <w:sz w:val="24"/>
    </w:rPr>
  </w:style>
  <w:style w:type="paragraph" w:styleId="Heading6">
    <w:name w:val="heading 6"/>
    <w:basedOn w:val="Normal"/>
    <w:next w:val="Normal"/>
    <w:link w:val="Heading6Char"/>
    <w:unhideWhenUsed/>
    <w:rsid w:val="004D4881"/>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4D4881"/>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rsid w:val="004D4881"/>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rsid w:val="004D488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1C09"/>
    <w:rPr>
      <w:rFonts w:ascii="Arial" w:eastAsiaTheme="majorEastAsia" w:hAnsi="Arial" w:cstheme="majorBidi"/>
      <w:b/>
      <w:color w:val="3B3838" w:themeColor="background2" w:themeShade="40"/>
      <w:kern w:val="22"/>
      <w:sz w:val="44"/>
      <w:szCs w:val="32"/>
    </w:rPr>
  </w:style>
  <w:style w:type="paragraph" w:styleId="Title">
    <w:name w:val="Title"/>
    <w:basedOn w:val="Normal"/>
    <w:next w:val="Normal"/>
    <w:link w:val="TitleChar"/>
    <w:uiPriority w:val="10"/>
    <w:qFormat/>
    <w:rsid w:val="00FD49FF"/>
    <w:pPr>
      <w:spacing w:before="0" w:after="680"/>
      <w:contextualSpacing/>
      <w:outlineLvl w:val="0"/>
    </w:pPr>
    <w:rPr>
      <w:rFonts w:ascii="Arial" w:eastAsiaTheme="majorEastAsia" w:hAnsi="Arial" w:cstheme="majorBidi"/>
      <w:b/>
      <w:spacing w:val="-10"/>
      <w:kern w:val="28"/>
      <w:sz w:val="56"/>
      <w:szCs w:val="56"/>
    </w:rPr>
  </w:style>
  <w:style w:type="character" w:customStyle="1" w:styleId="TitleChar">
    <w:name w:val="Title Char"/>
    <w:basedOn w:val="DefaultParagraphFont"/>
    <w:link w:val="Title"/>
    <w:uiPriority w:val="10"/>
    <w:rsid w:val="009C1C09"/>
    <w:rPr>
      <w:rFonts w:ascii="Arial" w:eastAsiaTheme="majorEastAsia" w:hAnsi="Arial" w:cstheme="majorBidi"/>
      <w:b/>
      <w:spacing w:val="-10"/>
      <w:kern w:val="28"/>
      <w:sz w:val="56"/>
      <w:szCs w:val="56"/>
    </w:rPr>
  </w:style>
  <w:style w:type="paragraph" w:customStyle="1" w:styleId="Body1">
    <w:name w:val="Body1"/>
    <w:basedOn w:val="Normal"/>
    <w:qFormat/>
    <w:rsid w:val="00BA42D4"/>
    <w:pPr>
      <w:ind w:left="288"/>
    </w:pPr>
  </w:style>
  <w:style w:type="paragraph" w:customStyle="1" w:styleId="Body2">
    <w:name w:val="Body2"/>
    <w:basedOn w:val="Normal"/>
    <w:qFormat/>
    <w:rsid w:val="00AD05D8"/>
    <w:pPr>
      <w:ind w:left="576"/>
    </w:pPr>
  </w:style>
  <w:style w:type="paragraph" w:customStyle="1" w:styleId="Body3">
    <w:name w:val="Body3"/>
    <w:basedOn w:val="Normal"/>
    <w:qFormat/>
    <w:rsid w:val="00AD05D8"/>
    <w:pPr>
      <w:ind w:left="864"/>
    </w:pPr>
  </w:style>
  <w:style w:type="character" w:customStyle="1" w:styleId="Heading6Char">
    <w:name w:val="Heading 6 Char"/>
    <w:basedOn w:val="DefaultParagraphFont"/>
    <w:link w:val="Heading6"/>
    <w:rsid w:val="009C1C09"/>
    <w:rPr>
      <w:rFonts w:asciiTheme="majorHAnsi" w:eastAsiaTheme="majorEastAsia" w:hAnsiTheme="majorHAnsi" w:cstheme="majorBidi"/>
      <w:color w:val="1F4D78" w:themeColor="accent1" w:themeShade="7F"/>
      <w:kern w:val="22"/>
    </w:rPr>
  </w:style>
  <w:style w:type="character" w:customStyle="1" w:styleId="Heading7Char">
    <w:name w:val="Heading 7 Char"/>
    <w:basedOn w:val="DefaultParagraphFont"/>
    <w:link w:val="Heading7"/>
    <w:rsid w:val="009C1C09"/>
    <w:rPr>
      <w:rFonts w:asciiTheme="majorHAnsi" w:eastAsiaTheme="majorEastAsia" w:hAnsiTheme="majorHAnsi" w:cstheme="majorBidi"/>
      <w:i/>
      <w:iCs/>
      <w:color w:val="1F4D78" w:themeColor="accent1" w:themeShade="7F"/>
      <w:kern w:val="22"/>
    </w:rPr>
  </w:style>
  <w:style w:type="character" w:customStyle="1" w:styleId="Heading8Char">
    <w:name w:val="Heading 8 Char"/>
    <w:basedOn w:val="DefaultParagraphFont"/>
    <w:link w:val="Heading8"/>
    <w:rsid w:val="009C1C09"/>
    <w:rPr>
      <w:rFonts w:asciiTheme="majorHAnsi" w:eastAsiaTheme="majorEastAsia" w:hAnsiTheme="majorHAnsi" w:cstheme="majorBidi"/>
      <w:color w:val="272727" w:themeColor="text1" w:themeTint="D8"/>
      <w:kern w:val="22"/>
      <w:sz w:val="21"/>
      <w:szCs w:val="21"/>
    </w:rPr>
  </w:style>
  <w:style w:type="paragraph" w:customStyle="1" w:styleId="Code">
    <w:name w:val="Code"/>
    <w:basedOn w:val="Normal"/>
    <w:qFormat/>
    <w:rsid w:val="00FD49FF"/>
    <w:pPr>
      <w:spacing w:before="60"/>
      <w:contextualSpacing/>
    </w:pPr>
    <w:rPr>
      <w:rFonts w:ascii="Lucida Console" w:hAnsi="Lucida Console"/>
      <w:kern w:val="0"/>
      <w:sz w:val="20"/>
    </w:rPr>
  </w:style>
  <w:style w:type="paragraph" w:customStyle="1" w:styleId="Code1">
    <w:name w:val="Code1"/>
    <w:basedOn w:val="Code"/>
    <w:qFormat/>
    <w:rsid w:val="00AD05D8"/>
    <w:pPr>
      <w:ind w:left="288"/>
    </w:pPr>
  </w:style>
  <w:style w:type="paragraph" w:customStyle="1" w:styleId="Code2">
    <w:name w:val="Code2"/>
    <w:basedOn w:val="Code"/>
    <w:qFormat/>
    <w:rsid w:val="00AD05D8"/>
    <w:pPr>
      <w:ind w:left="576"/>
    </w:pPr>
  </w:style>
  <w:style w:type="paragraph" w:customStyle="1" w:styleId="Code3">
    <w:name w:val="Code3"/>
    <w:basedOn w:val="Code"/>
    <w:qFormat/>
    <w:rsid w:val="00AD05D8"/>
    <w:pPr>
      <w:ind w:left="864"/>
    </w:pPr>
  </w:style>
  <w:style w:type="paragraph" w:customStyle="1" w:styleId="Code4">
    <w:name w:val="Code4"/>
    <w:basedOn w:val="Code"/>
    <w:qFormat/>
    <w:rsid w:val="00AD05D8"/>
    <w:pPr>
      <w:ind w:left="1152"/>
    </w:pPr>
  </w:style>
  <w:style w:type="paragraph" w:customStyle="1" w:styleId="DefBody">
    <w:name w:val="DefBody"/>
    <w:basedOn w:val="Body1"/>
    <w:qFormat/>
    <w:rsid w:val="00AD05D8"/>
    <w:pPr>
      <w:spacing w:before="40"/>
    </w:pPr>
  </w:style>
  <w:style w:type="paragraph" w:customStyle="1" w:styleId="DefBullet">
    <w:name w:val="DefBullet"/>
    <w:basedOn w:val="DefBody"/>
    <w:qFormat/>
    <w:rsid w:val="00AD05D8"/>
    <w:pPr>
      <w:numPr>
        <w:numId w:val="1"/>
      </w:numPr>
      <w:ind w:left="576" w:hanging="288"/>
    </w:pPr>
  </w:style>
  <w:style w:type="paragraph" w:customStyle="1" w:styleId="EqLNoNum">
    <w:name w:val="EqLNoNum"/>
    <w:basedOn w:val="Body1"/>
    <w:qFormat/>
    <w:rsid w:val="00AD05D8"/>
    <w:pPr>
      <w:spacing w:before="80" w:after="80"/>
    </w:pPr>
  </w:style>
  <w:style w:type="paragraph" w:customStyle="1" w:styleId="DefTerm">
    <w:name w:val="DefTerm"/>
    <w:basedOn w:val="Normal"/>
    <w:next w:val="DefBody"/>
    <w:qFormat/>
    <w:rsid w:val="00AD05D8"/>
    <w:pPr>
      <w:spacing w:before="200"/>
    </w:pPr>
    <w:rPr>
      <w:b/>
      <w:sz w:val="24"/>
    </w:rPr>
  </w:style>
  <w:style w:type="paragraph" w:customStyle="1" w:styleId="EqCNum">
    <w:name w:val="EqCNum"/>
    <w:basedOn w:val="Caption"/>
    <w:next w:val="Normal"/>
    <w:qFormat/>
    <w:rsid w:val="007D6FDF"/>
    <w:pPr>
      <w:tabs>
        <w:tab w:val="left" w:pos="4680"/>
        <w:tab w:val="right" w:pos="9360"/>
      </w:tabs>
      <w:ind w:left="720"/>
    </w:pPr>
  </w:style>
  <w:style w:type="paragraph" w:customStyle="1" w:styleId="FigAnchor">
    <w:name w:val="FigAnchor"/>
    <w:basedOn w:val="Normal"/>
    <w:next w:val="Normal"/>
    <w:qFormat/>
    <w:rsid w:val="00BE70D7"/>
    <w:pPr>
      <w:spacing w:before="0" w:line="60" w:lineRule="exact"/>
    </w:pPr>
    <w:rPr>
      <w:rFonts w:ascii="Arial" w:hAnsi="Arial"/>
      <w:sz w:val="4"/>
    </w:rPr>
  </w:style>
  <w:style w:type="paragraph" w:customStyle="1" w:styleId="ExampleAnchor">
    <w:name w:val="ExampleAnchor"/>
    <w:basedOn w:val="FigAnchor"/>
    <w:next w:val="ExampleBody"/>
    <w:uiPriority w:val="8"/>
    <w:qFormat/>
    <w:rsid w:val="00B3430F"/>
  </w:style>
  <w:style w:type="paragraph" w:customStyle="1" w:styleId="ExampleBody">
    <w:name w:val="ExampleBody"/>
    <w:basedOn w:val="Normal"/>
    <w:uiPriority w:val="8"/>
    <w:qFormat/>
    <w:rsid w:val="00BA42D4"/>
  </w:style>
  <w:style w:type="paragraph" w:customStyle="1" w:styleId="ExampleBullet">
    <w:name w:val="ExampleBullet"/>
    <w:basedOn w:val="Normal"/>
    <w:uiPriority w:val="8"/>
    <w:qFormat/>
    <w:rsid w:val="002C0692"/>
    <w:pPr>
      <w:numPr>
        <w:numId w:val="12"/>
      </w:numPr>
    </w:pPr>
  </w:style>
  <w:style w:type="paragraph" w:customStyle="1" w:styleId="FigCaption">
    <w:name w:val="FigCaption"/>
    <w:basedOn w:val="Normal"/>
    <w:next w:val="FigAnchor"/>
    <w:qFormat/>
    <w:rsid w:val="00C02D77"/>
    <w:pPr>
      <w:numPr>
        <w:numId w:val="3"/>
      </w:numPr>
      <w:spacing w:before="240"/>
      <w:ind w:left="288" w:hanging="288"/>
    </w:pPr>
    <w:rPr>
      <w:rFonts w:ascii="Arial" w:hAnsi="Arial"/>
      <w:sz w:val="20"/>
    </w:rPr>
  </w:style>
  <w:style w:type="paragraph" w:customStyle="1" w:styleId="ExampleCaption">
    <w:name w:val="ExampleCaption"/>
    <w:basedOn w:val="FigCaption"/>
    <w:next w:val="ExampleAnchor"/>
    <w:uiPriority w:val="8"/>
    <w:qFormat/>
    <w:rsid w:val="00667B69"/>
    <w:pPr>
      <w:numPr>
        <w:numId w:val="4"/>
      </w:numPr>
      <w:ind w:left="288" w:hanging="288"/>
    </w:pPr>
  </w:style>
  <w:style w:type="paragraph" w:customStyle="1" w:styleId="ExampleIntro">
    <w:name w:val="ExampleIntro"/>
    <w:basedOn w:val="ExampleBody"/>
    <w:next w:val="ExampleBody"/>
    <w:uiPriority w:val="8"/>
    <w:qFormat/>
    <w:rsid w:val="00BA42D4"/>
    <w:rPr>
      <w:b/>
    </w:rPr>
  </w:style>
  <w:style w:type="paragraph" w:customStyle="1" w:styleId="Footnote">
    <w:name w:val="Footnote"/>
    <w:basedOn w:val="Body1"/>
    <w:qFormat/>
    <w:rsid w:val="003C170D"/>
    <w:pPr>
      <w:spacing w:before="0"/>
      <w:ind w:left="0"/>
    </w:pPr>
    <w:rPr>
      <w:rFonts w:ascii="Arial" w:hAnsi="Arial"/>
      <w:sz w:val="20"/>
    </w:rPr>
  </w:style>
  <w:style w:type="paragraph" w:customStyle="1" w:styleId="ChapterNumber">
    <w:name w:val="ChapterNumber"/>
    <w:basedOn w:val="Title"/>
    <w:next w:val="Title"/>
    <w:link w:val="ChapterNumberChar"/>
    <w:qFormat/>
    <w:rsid w:val="00576E6F"/>
    <w:pPr>
      <w:keepNext/>
      <w:numPr>
        <w:numId w:val="16"/>
      </w:numPr>
      <w:spacing w:after="0"/>
    </w:pPr>
    <w:rPr>
      <w:bCs/>
    </w:rPr>
  </w:style>
  <w:style w:type="paragraph" w:customStyle="1" w:styleId="AppendixNumber">
    <w:name w:val="AppendixNumber"/>
    <w:basedOn w:val="Title"/>
    <w:next w:val="Title"/>
    <w:link w:val="AppendixNumberChar"/>
    <w:qFormat/>
    <w:rsid w:val="00576E6F"/>
    <w:pPr>
      <w:keepNext/>
      <w:numPr>
        <w:numId w:val="5"/>
      </w:numPr>
      <w:spacing w:after="0"/>
    </w:pPr>
  </w:style>
  <w:style w:type="character" w:customStyle="1" w:styleId="AppendixNumberChar">
    <w:name w:val="AppendixNumber Char"/>
    <w:basedOn w:val="TitleChar"/>
    <w:link w:val="AppendixNumber"/>
    <w:rsid w:val="009C1C09"/>
    <w:rPr>
      <w:rFonts w:ascii="Arial" w:eastAsiaTheme="majorEastAsia" w:hAnsi="Arial" w:cstheme="majorBidi"/>
      <w:b/>
      <w:spacing w:val="-10"/>
      <w:kern w:val="28"/>
      <w:sz w:val="56"/>
      <w:szCs w:val="56"/>
    </w:rPr>
  </w:style>
  <w:style w:type="character" w:customStyle="1" w:styleId="ChapterNumberChar">
    <w:name w:val="ChapterNumber Char"/>
    <w:basedOn w:val="TitleChar"/>
    <w:link w:val="ChapterNumber"/>
    <w:rsid w:val="009C1C09"/>
    <w:rPr>
      <w:rFonts w:ascii="Arial" w:eastAsiaTheme="majorEastAsia" w:hAnsi="Arial" w:cstheme="majorBidi"/>
      <w:b/>
      <w:bCs/>
      <w:spacing w:val="-10"/>
      <w:kern w:val="28"/>
      <w:sz w:val="56"/>
      <w:szCs w:val="56"/>
    </w:rPr>
  </w:style>
  <w:style w:type="paragraph" w:customStyle="1" w:styleId="Heading1Pg">
    <w:name w:val="Heading 1Pg"/>
    <w:basedOn w:val="Heading1"/>
    <w:next w:val="Normal"/>
    <w:link w:val="Heading1PgChar"/>
    <w:qFormat/>
    <w:rsid w:val="002510E8"/>
    <w:pPr>
      <w:pageBreakBefore/>
    </w:pPr>
  </w:style>
  <w:style w:type="paragraph" w:customStyle="1" w:styleId="Heading2Pg">
    <w:name w:val="Heading 2Pg"/>
    <w:basedOn w:val="Heading2"/>
    <w:link w:val="Heading2PgChar"/>
    <w:qFormat/>
    <w:rsid w:val="00242AD6"/>
    <w:pPr>
      <w:pageBreakBefore/>
    </w:pPr>
  </w:style>
  <w:style w:type="character" w:customStyle="1" w:styleId="Heading1PgChar">
    <w:name w:val="Heading 1Pg Char"/>
    <w:basedOn w:val="Heading1Char"/>
    <w:link w:val="Heading1Pg"/>
    <w:rsid w:val="009C1C09"/>
    <w:rPr>
      <w:rFonts w:ascii="Arial" w:eastAsiaTheme="majorEastAsia" w:hAnsi="Arial" w:cstheme="majorBidi"/>
      <w:b/>
      <w:color w:val="3B3838" w:themeColor="background2" w:themeShade="40"/>
      <w:kern w:val="22"/>
      <w:sz w:val="44"/>
      <w:szCs w:val="32"/>
    </w:rPr>
  </w:style>
  <w:style w:type="character" w:customStyle="1" w:styleId="Heading2PgChar">
    <w:name w:val="Heading 2Pg Char"/>
    <w:basedOn w:val="Heading2Char"/>
    <w:link w:val="Heading2Pg"/>
    <w:rsid w:val="009C1C09"/>
    <w:rPr>
      <w:rFonts w:ascii="Arial" w:eastAsiaTheme="majorEastAsia" w:hAnsi="Arial" w:cstheme="majorBidi"/>
      <w:b/>
      <w:kern w:val="22"/>
      <w:sz w:val="32"/>
      <w:szCs w:val="26"/>
    </w:rPr>
  </w:style>
  <w:style w:type="paragraph" w:customStyle="1" w:styleId="InlineNote">
    <w:name w:val="InlineNote"/>
    <w:basedOn w:val="Normal"/>
    <w:next w:val="Normal"/>
    <w:qFormat/>
    <w:rsid w:val="00C02D77"/>
    <w:pPr>
      <w:numPr>
        <w:numId w:val="10"/>
      </w:numPr>
      <w:spacing w:before="80"/>
      <w:ind w:right="576"/>
    </w:pPr>
  </w:style>
  <w:style w:type="numbering" w:customStyle="1" w:styleId="Caution">
    <w:name w:val="Caution"/>
    <w:uiPriority w:val="99"/>
    <w:rsid w:val="009005DF"/>
    <w:pPr>
      <w:numPr>
        <w:numId w:val="6"/>
      </w:numPr>
    </w:pPr>
  </w:style>
  <w:style w:type="numbering" w:customStyle="1" w:styleId="Tip">
    <w:name w:val="Tip"/>
    <w:uiPriority w:val="99"/>
    <w:rsid w:val="009005DF"/>
    <w:pPr>
      <w:numPr>
        <w:numId w:val="7"/>
      </w:numPr>
    </w:pPr>
  </w:style>
  <w:style w:type="paragraph" w:customStyle="1" w:styleId="InlineTip">
    <w:name w:val="InlineTip"/>
    <w:basedOn w:val="InlineNote"/>
    <w:next w:val="Normal"/>
    <w:qFormat/>
    <w:rsid w:val="00C4614F"/>
    <w:pPr>
      <w:numPr>
        <w:numId w:val="19"/>
      </w:numPr>
    </w:pPr>
  </w:style>
  <w:style w:type="paragraph" w:customStyle="1" w:styleId="InlineCaution">
    <w:name w:val="InlineCaution"/>
    <w:basedOn w:val="InlineNote"/>
    <w:next w:val="Normal"/>
    <w:qFormat/>
    <w:rsid w:val="00C02D77"/>
    <w:pPr>
      <w:numPr>
        <w:numId w:val="22"/>
      </w:numPr>
    </w:pPr>
  </w:style>
  <w:style w:type="numbering" w:customStyle="1" w:styleId="Warning">
    <w:name w:val="Warning"/>
    <w:uiPriority w:val="99"/>
    <w:rsid w:val="009005DF"/>
    <w:pPr>
      <w:numPr>
        <w:numId w:val="8"/>
      </w:numPr>
    </w:pPr>
  </w:style>
  <w:style w:type="paragraph" w:customStyle="1" w:styleId="InlineWarning">
    <w:name w:val="InlineWarning"/>
    <w:basedOn w:val="InlineNote"/>
    <w:next w:val="Normal"/>
    <w:qFormat/>
    <w:rsid w:val="00520365"/>
    <w:pPr>
      <w:numPr>
        <w:numId w:val="20"/>
      </w:numPr>
    </w:pPr>
    <w:rPr>
      <w:b/>
    </w:rPr>
  </w:style>
  <w:style w:type="numbering" w:customStyle="1" w:styleId="Outline">
    <w:name w:val="Outline"/>
    <w:uiPriority w:val="99"/>
    <w:rsid w:val="003F3A6F"/>
    <w:pPr>
      <w:numPr>
        <w:numId w:val="9"/>
      </w:numPr>
    </w:pPr>
  </w:style>
  <w:style w:type="numbering" w:customStyle="1" w:styleId="UnorderedList">
    <w:name w:val="UnorderedList"/>
    <w:uiPriority w:val="99"/>
    <w:rsid w:val="00363EAB"/>
    <w:pPr>
      <w:numPr>
        <w:numId w:val="11"/>
      </w:numPr>
    </w:pPr>
  </w:style>
  <w:style w:type="paragraph" w:customStyle="1" w:styleId="Heading3Pg">
    <w:name w:val="Heading 3Pg"/>
    <w:basedOn w:val="Heading3"/>
    <w:next w:val="Normal"/>
    <w:link w:val="Heading3PgChar"/>
    <w:qFormat/>
    <w:rsid w:val="00242AD6"/>
    <w:pPr>
      <w:pageBreakBefore/>
    </w:pPr>
  </w:style>
  <w:style w:type="paragraph" w:customStyle="1" w:styleId="List1N">
    <w:name w:val="List1N"/>
    <w:basedOn w:val="Normal"/>
    <w:qFormat/>
    <w:rsid w:val="00452D46"/>
    <w:pPr>
      <w:numPr>
        <w:numId w:val="13"/>
      </w:numPr>
    </w:pPr>
  </w:style>
  <w:style w:type="paragraph" w:styleId="FootnoteText">
    <w:name w:val="footnote text"/>
    <w:basedOn w:val="Normal"/>
    <w:link w:val="FootnoteTextChar"/>
    <w:uiPriority w:val="99"/>
    <w:semiHidden/>
    <w:unhideWhenUsed/>
    <w:rsid w:val="003C170D"/>
    <w:pPr>
      <w:spacing w:before="0"/>
    </w:pPr>
    <w:rPr>
      <w:sz w:val="20"/>
      <w:szCs w:val="20"/>
    </w:rPr>
  </w:style>
  <w:style w:type="paragraph" w:customStyle="1" w:styleId="List2A">
    <w:name w:val="List2A"/>
    <w:basedOn w:val="List1N"/>
    <w:qFormat/>
    <w:rsid w:val="00C4614F"/>
    <w:pPr>
      <w:numPr>
        <w:ilvl w:val="1"/>
        <w:numId w:val="2"/>
      </w:numPr>
    </w:pPr>
  </w:style>
  <w:style w:type="character" w:customStyle="1" w:styleId="FootnoteTextChar">
    <w:name w:val="Footnote Text Char"/>
    <w:basedOn w:val="DefaultParagraphFont"/>
    <w:link w:val="FootnoteText"/>
    <w:uiPriority w:val="99"/>
    <w:semiHidden/>
    <w:rsid w:val="003C170D"/>
    <w:rPr>
      <w:rFonts w:ascii="Times New Roman" w:hAnsi="Times New Roman"/>
      <w:sz w:val="20"/>
      <w:szCs w:val="20"/>
    </w:rPr>
  </w:style>
  <w:style w:type="paragraph" w:customStyle="1" w:styleId="List2N">
    <w:name w:val="List2N"/>
    <w:basedOn w:val="List1N"/>
    <w:qFormat/>
    <w:rsid w:val="003A3933"/>
    <w:pPr>
      <w:numPr>
        <w:numId w:val="0"/>
      </w:numPr>
    </w:pPr>
    <w:rPr>
      <w:color w:val="ED7D31" w:themeColor="accent2"/>
    </w:rPr>
  </w:style>
  <w:style w:type="paragraph" w:customStyle="1" w:styleId="List3N">
    <w:name w:val="List3N"/>
    <w:basedOn w:val="List1N"/>
    <w:qFormat/>
    <w:rsid w:val="00C4614F"/>
    <w:pPr>
      <w:numPr>
        <w:ilvl w:val="2"/>
      </w:numPr>
    </w:pPr>
  </w:style>
  <w:style w:type="character" w:styleId="FootnoteReference">
    <w:name w:val="footnote reference"/>
    <w:basedOn w:val="DefaultParagraphFont"/>
    <w:uiPriority w:val="99"/>
    <w:semiHidden/>
    <w:unhideWhenUsed/>
    <w:rsid w:val="003C170D"/>
    <w:rPr>
      <w:vertAlign w:val="superscript"/>
    </w:rPr>
  </w:style>
  <w:style w:type="paragraph" w:customStyle="1" w:styleId="TableAnchor">
    <w:name w:val="TableAnchor"/>
    <w:basedOn w:val="FigAnchor"/>
    <w:next w:val="Normal"/>
    <w:qFormat/>
    <w:rsid w:val="00275006"/>
  </w:style>
  <w:style w:type="paragraph" w:customStyle="1" w:styleId="TableFootnote">
    <w:name w:val="TableFootnote"/>
    <w:basedOn w:val="Footnote"/>
    <w:qFormat/>
    <w:rsid w:val="00275006"/>
    <w:pPr>
      <w:ind w:right="288"/>
    </w:pPr>
    <w:rPr>
      <w:sz w:val="18"/>
    </w:rPr>
  </w:style>
  <w:style w:type="paragraph" w:customStyle="1" w:styleId="TableTitle">
    <w:name w:val="TableTitle"/>
    <w:basedOn w:val="FigCaption"/>
    <w:next w:val="Normal"/>
    <w:qFormat/>
    <w:rsid w:val="00C4614F"/>
    <w:pPr>
      <w:keepLines/>
      <w:numPr>
        <w:numId w:val="14"/>
      </w:numPr>
      <w:ind w:left="0" w:firstLine="0"/>
    </w:pPr>
  </w:style>
  <w:style w:type="paragraph" w:customStyle="1" w:styleId="TCellBody">
    <w:name w:val="TCellBody"/>
    <w:basedOn w:val="Normal"/>
    <w:qFormat/>
    <w:rsid w:val="00C4614F"/>
    <w:pPr>
      <w:spacing w:before="80"/>
    </w:pPr>
    <w:rPr>
      <w:rFonts w:ascii="Arial" w:hAnsi="Arial"/>
      <w:sz w:val="18"/>
    </w:rPr>
  </w:style>
  <w:style w:type="paragraph" w:customStyle="1" w:styleId="TCellBullet1">
    <w:name w:val="TCellBullet1"/>
    <w:basedOn w:val="TCellBody"/>
    <w:qFormat/>
    <w:rsid w:val="00B24D30"/>
    <w:pPr>
      <w:numPr>
        <w:numId w:val="15"/>
      </w:numPr>
      <w:ind w:left="288" w:hanging="288"/>
    </w:pPr>
  </w:style>
  <w:style w:type="paragraph" w:customStyle="1" w:styleId="TColHead">
    <w:name w:val="TColHead"/>
    <w:basedOn w:val="TCellBody"/>
    <w:qFormat/>
    <w:rsid w:val="00C4614F"/>
    <w:pPr>
      <w:spacing w:before="0"/>
    </w:pPr>
    <w:rPr>
      <w:b/>
    </w:rPr>
  </w:style>
  <w:style w:type="paragraph" w:customStyle="1" w:styleId="TCellBodyC">
    <w:name w:val="TCellBodyC"/>
    <w:basedOn w:val="TCellBody"/>
    <w:qFormat/>
    <w:rsid w:val="00B24D30"/>
    <w:pPr>
      <w:jc w:val="center"/>
    </w:pPr>
  </w:style>
  <w:style w:type="paragraph" w:customStyle="1" w:styleId="TCellBodyR">
    <w:name w:val="TCellBodyR"/>
    <w:basedOn w:val="TCellBody"/>
    <w:qFormat/>
    <w:rsid w:val="00B24D30"/>
    <w:pPr>
      <w:jc w:val="right"/>
    </w:pPr>
  </w:style>
  <w:style w:type="paragraph" w:customStyle="1" w:styleId="TColHeadC">
    <w:name w:val="TColHeadC"/>
    <w:basedOn w:val="TColHead"/>
    <w:qFormat/>
    <w:rsid w:val="00B24D30"/>
    <w:pPr>
      <w:jc w:val="center"/>
    </w:pPr>
  </w:style>
  <w:style w:type="paragraph" w:customStyle="1" w:styleId="TColHeadR">
    <w:name w:val="TColHeadR"/>
    <w:basedOn w:val="TColHead"/>
    <w:qFormat/>
    <w:rsid w:val="00B24D30"/>
    <w:pPr>
      <w:jc w:val="right"/>
    </w:pPr>
  </w:style>
  <w:style w:type="paragraph" w:customStyle="1" w:styleId="TopicLine">
    <w:name w:val="TopicLine"/>
    <w:basedOn w:val="Normal"/>
    <w:next w:val="Normal"/>
    <w:qFormat/>
    <w:rsid w:val="00C02D77"/>
    <w:pPr>
      <w:spacing w:before="100" w:after="100"/>
      <w:outlineLvl w:val="5"/>
    </w:pPr>
    <w:rPr>
      <w:rFonts w:ascii="Arial" w:hAnsi="Arial"/>
      <w:b/>
      <w:smallCaps/>
    </w:rPr>
  </w:style>
  <w:style w:type="character" w:styleId="Emphasis">
    <w:name w:val="Emphasis"/>
    <w:basedOn w:val="DefaultParagraphFont"/>
    <w:uiPriority w:val="19"/>
    <w:qFormat/>
    <w:rsid w:val="00273AE9"/>
    <w:rPr>
      <w:i/>
      <w:iCs/>
    </w:rPr>
  </w:style>
  <w:style w:type="character" w:styleId="Strong">
    <w:name w:val="Strong"/>
    <w:basedOn w:val="DefaultParagraphFont"/>
    <w:uiPriority w:val="22"/>
    <w:semiHidden/>
    <w:qFormat/>
    <w:rsid w:val="00273AE9"/>
    <w:rPr>
      <w:b/>
      <w:bCs/>
    </w:rPr>
  </w:style>
  <w:style w:type="numbering" w:customStyle="1" w:styleId="Inline">
    <w:name w:val="Inline"/>
    <w:uiPriority w:val="99"/>
    <w:rsid w:val="009005DF"/>
    <w:pPr>
      <w:numPr>
        <w:numId w:val="18"/>
      </w:numPr>
    </w:pPr>
  </w:style>
  <w:style w:type="character" w:customStyle="1" w:styleId="CodeText">
    <w:name w:val="CodeText"/>
    <w:basedOn w:val="DefaultParagraphFont"/>
    <w:uiPriority w:val="19"/>
    <w:qFormat/>
    <w:rsid w:val="00273AE9"/>
    <w:rPr>
      <w:rFonts w:ascii="Arial" w:hAnsi="Arial"/>
      <w:sz w:val="20"/>
    </w:rPr>
  </w:style>
  <w:style w:type="character" w:customStyle="1" w:styleId="CodeBold">
    <w:name w:val="CodeBold"/>
    <w:basedOn w:val="CodeText"/>
    <w:uiPriority w:val="19"/>
    <w:qFormat/>
    <w:rsid w:val="00273AE9"/>
    <w:rPr>
      <w:rFonts w:ascii="Arial" w:hAnsi="Arial"/>
      <w:b/>
      <w:sz w:val="20"/>
    </w:rPr>
  </w:style>
  <w:style w:type="character" w:customStyle="1" w:styleId="GUIText">
    <w:name w:val="GUIText"/>
    <w:basedOn w:val="DefaultParagraphFont"/>
    <w:uiPriority w:val="19"/>
    <w:qFormat/>
    <w:rsid w:val="00273AE9"/>
    <w:rPr>
      <w:rFonts w:ascii="Arial" w:hAnsi="Arial"/>
      <w:b/>
      <w:sz w:val="20"/>
    </w:rPr>
  </w:style>
  <w:style w:type="character" w:customStyle="1" w:styleId="Subscript">
    <w:name w:val="Subscript"/>
    <w:basedOn w:val="DefaultParagraphFont"/>
    <w:uiPriority w:val="19"/>
    <w:qFormat/>
    <w:rsid w:val="00273AE9"/>
    <w:rPr>
      <w:vertAlign w:val="subscript"/>
    </w:rPr>
  </w:style>
  <w:style w:type="character" w:customStyle="1" w:styleId="Superscript">
    <w:name w:val="Superscript"/>
    <w:basedOn w:val="DefaultParagraphFont"/>
    <w:uiPriority w:val="19"/>
    <w:qFormat/>
    <w:rsid w:val="00273AE9"/>
    <w:rPr>
      <w:vertAlign w:val="superscript"/>
    </w:rPr>
  </w:style>
  <w:style w:type="character" w:styleId="BookTitle">
    <w:name w:val="Book Title"/>
    <w:basedOn w:val="DefaultParagraphFont"/>
    <w:uiPriority w:val="19"/>
    <w:qFormat/>
    <w:rsid w:val="0036740B"/>
    <w:rPr>
      <w:b w:val="0"/>
      <w:bCs/>
      <w:i/>
      <w:iCs/>
      <w:spacing w:val="5"/>
    </w:rPr>
  </w:style>
  <w:style w:type="character" w:customStyle="1" w:styleId="Variable">
    <w:name w:val="Variable"/>
    <w:basedOn w:val="DefaultParagraphFont"/>
    <w:uiPriority w:val="19"/>
    <w:qFormat/>
    <w:rsid w:val="0036740B"/>
    <w:rPr>
      <w:i/>
    </w:rPr>
  </w:style>
  <w:style w:type="character" w:customStyle="1" w:styleId="Heading2Char">
    <w:name w:val="Heading 2 Char"/>
    <w:basedOn w:val="DefaultParagraphFont"/>
    <w:link w:val="Heading2"/>
    <w:rsid w:val="009C1C09"/>
    <w:rPr>
      <w:rFonts w:ascii="Arial" w:eastAsiaTheme="majorEastAsia" w:hAnsi="Arial" w:cstheme="majorBidi"/>
      <w:b/>
      <w:kern w:val="22"/>
      <w:sz w:val="32"/>
      <w:szCs w:val="26"/>
    </w:rPr>
  </w:style>
  <w:style w:type="character" w:customStyle="1" w:styleId="Heading3Char">
    <w:name w:val="Heading 3 Char"/>
    <w:basedOn w:val="DefaultParagraphFont"/>
    <w:link w:val="Heading3"/>
    <w:rsid w:val="009C1C09"/>
    <w:rPr>
      <w:rFonts w:ascii="Arial" w:eastAsiaTheme="majorEastAsia" w:hAnsi="Arial" w:cstheme="majorBidi"/>
      <w:kern w:val="22"/>
      <w:sz w:val="28"/>
      <w:szCs w:val="24"/>
    </w:rPr>
  </w:style>
  <w:style w:type="character" w:customStyle="1" w:styleId="Heading4Char">
    <w:name w:val="Heading 4 Char"/>
    <w:basedOn w:val="DefaultParagraphFont"/>
    <w:link w:val="Heading4"/>
    <w:rsid w:val="009C1C09"/>
    <w:rPr>
      <w:rFonts w:ascii="Arial" w:eastAsiaTheme="majorEastAsia" w:hAnsi="Arial" w:cstheme="majorBidi"/>
      <w:b/>
      <w:i/>
      <w:iCs/>
      <w:kern w:val="22"/>
      <w:sz w:val="24"/>
    </w:rPr>
  </w:style>
  <w:style w:type="character" w:customStyle="1" w:styleId="Heading5Char">
    <w:name w:val="Heading 5 Char"/>
    <w:basedOn w:val="DefaultParagraphFont"/>
    <w:link w:val="Heading5"/>
    <w:rsid w:val="009C1C09"/>
    <w:rPr>
      <w:rFonts w:ascii="Times New Roman" w:eastAsiaTheme="majorEastAsia" w:hAnsi="Times New Roman" w:cstheme="majorBidi"/>
      <w:b/>
      <w:smallCaps/>
      <w:kern w:val="22"/>
      <w:sz w:val="24"/>
    </w:rPr>
  </w:style>
  <w:style w:type="paragraph" w:styleId="Caption">
    <w:name w:val="caption"/>
    <w:basedOn w:val="Normal"/>
    <w:next w:val="Normal"/>
    <w:uiPriority w:val="35"/>
    <w:unhideWhenUsed/>
    <w:qFormat/>
    <w:rsid w:val="00B414EA"/>
    <w:pPr>
      <w:spacing w:before="0" w:after="200"/>
    </w:pPr>
    <w:rPr>
      <w:rFonts w:ascii="Arial" w:hAnsi="Arial"/>
      <w:b/>
      <w:iCs/>
      <w:sz w:val="20"/>
      <w:szCs w:val="18"/>
    </w:rPr>
  </w:style>
  <w:style w:type="character" w:customStyle="1" w:styleId="Heading3PgChar">
    <w:name w:val="Heading 3Pg Char"/>
    <w:basedOn w:val="Heading3Char"/>
    <w:link w:val="Heading3Pg"/>
    <w:rsid w:val="009C1C09"/>
    <w:rPr>
      <w:rFonts w:ascii="Arial" w:eastAsiaTheme="majorEastAsia" w:hAnsi="Arial" w:cstheme="majorBidi"/>
      <w:kern w:val="22"/>
      <w:sz w:val="28"/>
      <w:szCs w:val="24"/>
    </w:rPr>
  </w:style>
  <w:style w:type="paragraph" w:styleId="ListBullet">
    <w:name w:val="List Bullet"/>
    <w:aliases w:val="List Bullet1"/>
    <w:basedOn w:val="Normal"/>
    <w:unhideWhenUsed/>
    <w:qFormat/>
    <w:rsid w:val="00452D46"/>
    <w:pPr>
      <w:numPr>
        <w:numId w:val="21"/>
      </w:numPr>
    </w:pPr>
  </w:style>
  <w:style w:type="numbering" w:customStyle="1" w:styleId="ListBullets">
    <w:name w:val="ListBullets"/>
    <w:uiPriority w:val="99"/>
    <w:rsid w:val="002C0692"/>
    <w:pPr>
      <w:numPr>
        <w:numId w:val="17"/>
      </w:numPr>
    </w:pPr>
  </w:style>
  <w:style w:type="character" w:customStyle="1" w:styleId="Heading9Char">
    <w:name w:val="Heading 9 Char"/>
    <w:basedOn w:val="DefaultParagraphFont"/>
    <w:link w:val="Heading9"/>
    <w:rsid w:val="009C1C09"/>
    <w:rPr>
      <w:rFonts w:asciiTheme="majorHAnsi" w:eastAsiaTheme="majorEastAsia" w:hAnsiTheme="majorHAnsi" w:cstheme="majorBidi"/>
      <w:i/>
      <w:iCs/>
      <w:color w:val="272727" w:themeColor="text1" w:themeTint="D8"/>
      <w:kern w:val="22"/>
      <w:sz w:val="21"/>
      <w:szCs w:val="21"/>
    </w:rPr>
  </w:style>
  <w:style w:type="paragraph" w:styleId="ListBullet2">
    <w:name w:val="List Bullet 2"/>
    <w:basedOn w:val="ListBullet"/>
    <w:unhideWhenUsed/>
    <w:rsid w:val="00FB5A0D"/>
    <w:pPr>
      <w:numPr>
        <w:ilvl w:val="1"/>
      </w:numPr>
    </w:pPr>
  </w:style>
  <w:style w:type="paragraph" w:styleId="ListBullet3">
    <w:name w:val="List Bullet 3"/>
    <w:basedOn w:val="ListBullet"/>
    <w:unhideWhenUsed/>
    <w:rsid w:val="00FB5A0D"/>
    <w:pPr>
      <w:numPr>
        <w:ilvl w:val="2"/>
      </w:numPr>
      <w:contextualSpacing/>
    </w:pPr>
  </w:style>
  <w:style w:type="paragraph" w:styleId="ListBullet4">
    <w:name w:val="List Bullet 4"/>
    <w:basedOn w:val="ListBullet"/>
    <w:unhideWhenUsed/>
    <w:rsid w:val="002C0692"/>
    <w:pPr>
      <w:numPr>
        <w:ilvl w:val="3"/>
      </w:numPr>
      <w:contextualSpacing/>
    </w:pPr>
  </w:style>
  <w:style w:type="paragraph" w:styleId="ListBullet5">
    <w:name w:val="List Bullet 5"/>
    <w:basedOn w:val="ListBullet"/>
    <w:unhideWhenUsed/>
    <w:rsid w:val="002C0692"/>
    <w:pPr>
      <w:numPr>
        <w:ilvl w:val="4"/>
      </w:numPr>
      <w:contextualSpacing/>
    </w:pPr>
  </w:style>
  <w:style w:type="paragraph" w:styleId="TOC2">
    <w:name w:val="toc 2"/>
    <w:basedOn w:val="Normal"/>
    <w:next w:val="Normal"/>
    <w:autoRedefine/>
    <w:uiPriority w:val="39"/>
    <w:unhideWhenUsed/>
    <w:rsid w:val="00E658F1"/>
    <w:pPr>
      <w:spacing w:before="40"/>
      <w:ind w:left="864" w:hanging="432"/>
    </w:pPr>
    <w:rPr>
      <w:rFonts w:cstheme="minorHAnsi"/>
      <w:b/>
      <w:bCs/>
      <w:sz w:val="24"/>
    </w:rPr>
  </w:style>
  <w:style w:type="paragraph" w:styleId="TOC1">
    <w:name w:val="toc 1"/>
    <w:basedOn w:val="Normal"/>
    <w:next w:val="Normal"/>
    <w:autoRedefine/>
    <w:uiPriority w:val="39"/>
    <w:unhideWhenUsed/>
    <w:rsid w:val="00E658F1"/>
    <w:pPr>
      <w:tabs>
        <w:tab w:val="right" w:leader="dot" w:pos="9350"/>
      </w:tabs>
      <w:ind w:left="432" w:hanging="432"/>
    </w:pPr>
    <w:rPr>
      <w:rFonts w:cstheme="minorHAnsi"/>
      <w:b/>
      <w:bCs/>
      <w:iCs/>
      <w:color w:val="0D00B3"/>
      <w:sz w:val="28"/>
      <w:szCs w:val="24"/>
    </w:rPr>
  </w:style>
  <w:style w:type="paragraph" w:styleId="TOC3">
    <w:name w:val="toc 3"/>
    <w:basedOn w:val="Normal"/>
    <w:next w:val="Normal"/>
    <w:autoRedefine/>
    <w:uiPriority w:val="39"/>
    <w:unhideWhenUsed/>
    <w:rsid w:val="00E658F1"/>
    <w:pPr>
      <w:tabs>
        <w:tab w:val="right" w:leader="dot" w:pos="9350"/>
      </w:tabs>
      <w:spacing w:before="0"/>
      <w:ind w:left="1296" w:hanging="432"/>
    </w:pPr>
    <w:rPr>
      <w:rFonts w:cstheme="minorHAnsi"/>
      <w:szCs w:val="20"/>
    </w:rPr>
  </w:style>
  <w:style w:type="paragraph" w:styleId="TOC4">
    <w:name w:val="toc 4"/>
    <w:basedOn w:val="Normal"/>
    <w:next w:val="Normal"/>
    <w:autoRedefine/>
    <w:uiPriority w:val="39"/>
    <w:unhideWhenUsed/>
    <w:rsid w:val="00E658F1"/>
    <w:pPr>
      <w:tabs>
        <w:tab w:val="right" w:leader="dot" w:pos="9350"/>
      </w:tabs>
      <w:spacing w:before="0"/>
      <w:ind w:left="2160" w:hanging="432"/>
    </w:pPr>
    <w:rPr>
      <w:rFonts w:cstheme="minorHAnsi"/>
      <w:sz w:val="20"/>
      <w:szCs w:val="20"/>
    </w:rPr>
  </w:style>
  <w:style w:type="paragraph" w:styleId="TOC5">
    <w:name w:val="toc 5"/>
    <w:basedOn w:val="Normal"/>
    <w:next w:val="Normal"/>
    <w:autoRedefine/>
    <w:uiPriority w:val="39"/>
    <w:unhideWhenUsed/>
    <w:rsid w:val="00E467A7"/>
    <w:pPr>
      <w:spacing w:before="0"/>
      <w:ind w:left="2160" w:hanging="432"/>
    </w:pPr>
    <w:rPr>
      <w:rFonts w:cstheme="minorHAnsi"/>
      <w:i/>
      <w:sz w:val="20"/>
      <w:szCs w:val="20"/>
    </w:rPr>
  </w:style>
  <w:style w:type="paragraph" w:styleId="TOC6">
    <w:name w:val="toc 6"/>
    <w:basedOn w:val="Normal"/>
    <w:next w:val="Normal"/>
    <w:autoRedefine/>
    <w:uiPriority w:val="39"/>
    <w:unhideWhenUsed/>
    <w:rsid w:val="008A2330"/>
    <w:pPr>
      <w:spacing w:before="0"/>
      <w:ind w:left="1728"/>
    </w:pPr>
    <w:rPr>
      <w:rFonts w:cstheme="minorHAnsi"/>
      <w:i/>
      <w:sz w:val="20"/>
      <w:szCs w:val="20"/>
    </w:rPr>
  </w:style>
  <w:style w:type="character" w:styleId="Hyperlink">
    <w:name w:val="Hyperlink"/>
    <w:basedOn w:val="DefaultParagraphFont"/>
    <w:uiPriority w:val="99"/>
    <w:rsid w:val="00902061"/>
    <w:rPr>
      <w:color w:val="0000FF"/>
      <w:sz w:val="20"/>
      <w:u w:val="single"/>
    </w:rPr>
  </w:style>
  <w:style w:type="paragraph" w:styleId="TOC7">
    <w:name w:val="toc 7"/>
    <w:basedOn w:val="Normal"/>
    <w:next w:val="Normal"/>
    <w:autoRedefine/>
    <w:uiPriority w:val="39"/>
    <w:unhideWhenUsed/>
    <w:rsid w:val="00C02D77"/>
    <w:pPr>
      <w:spacing w:before="0"/>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C02D77"/>
    <w:pPr>
      <w:spacing w:before="0"/>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C02D77"/>
    <w:pPr>
      <w:spacing w:before="0"/>
      <w:ind w:left="1760"/>
    </w:pPr>
    <w:rPr>
      <w:rFonts w:asciiTheme="minorHAnsi" w:hAnsiTheme="minorHAnsi" w:cstheme="minorHAnsi"/>
      <w:sz w:val="20"/>
      <w:szCs w:val="20"/>
    </w:rPr>
  </w:style>
  <w:style w:type="paragraph" w:styleId="TOCHeading">
    <w:name w:val="TOC Heading"/>
    <w:basedOn w:val="Heading1"/>
    <w:next w:val="Normal"/>
    <w:uiPriority w:val="39"/>
    <w:unhideWhenUsed/>
    <w:qFormat/>
    <w:rsid w:val="00C02D77"/>
    <w:pPr>
      <w:spacing w:before="240" w:after="0" w:line="259" w:lineRule="auto"/>
      <w:outlineLvl w:val="9"/>
    </w:pPr>
    <w:rPr>
      <w:rFonts w:asciiTheme="majorHAnsi" w:hAnsiTheme="majorHAnsi"/>
      <w:b w:val="0"/>
      <w:color w:val="2E74B5" w:themeColor="accent1" w:themeShade="BF"/>
      <w:kern w:val="0"/>
      <w:sz w:val="32"/>
    </w:rPr>
  </w:style>
  <w:style w:type="paragraph" w:styleId="Header">
    <w:name w:val="header"/>
    <w:basedOn w:val="Normal"/>
    <w:link w:val="HeaderChar"/>
    <w:uiPriority w:val="99"/>
    <w:unhideWhenUsed/>
    <w:rsid w:val="00C51AA6"/>
    <w:pPr>
      <w:tabs>
        <w:tab w:val="center" w:pos="4680"/>
        <w:tab w:val="right" w:pos="9360"/>
      </w:tabs>
      <w:spacing w:before="0"/>
    </w:pPr>
  </w:style>
  <w:style w:type="character" w:customStyle="1" w:styleId="HeaderChar">
    <w:name w:val="Header Char"/>
    <w:basedOn w:val="DefaultParagraphFont"/>
    <w:link w:val="Header"/>
    <w:uiPriority w:val="99"/>
    <w:rsid w:val="00C51AA6"/>
    <w:rPr>
      <w:rFonts w:ascii="Times New Roman" w:hAnsi="Times New Roman"/>
      <w:kern w:val="22"/>
    </w:rPr>
  </w:style>
  <w:style w:type="paragraph" w:styleId="Footer">
    <w:name w:val="footer"/>
    <w:basedOn w:val="Normal"/>
    <w:link w:val="FooterChar"/>
    <w:uiPriority w:val="99"/>
    <w:unhideWhenUsed/>
    <w:rsid w:val="00C51AA6"/>
    <w:pPr>
      <w:tabs>
        <w:tab w:val="center" w:pos="4680"/>
        <w:tab w:val="right" w:pos="9360"/>
      </w:tabs>
      <w:spacing w:before="0"/>
    </w:pPr>
  </w:style>
  <w:style w:type="character" w:customStyle="1" w:styleId="FooterChar">
    <w:name w:val="Footer Char"/>
    <w:basedOn w:val="DefaultParagraphFont"/>
    <w:link w:val="Footer"/>
    <w:uiPriority w:val="99"/>
    <w:rsid w:val="00C51AA6"/>
    <w:rPr>
      <w:rFonts w:ascii="Times New Roman" w:hAnsi="Times New Roman"/>
      <w:kern w:val="22"/>
    </w:rPr>
  </w:style>
  <w:style w:type="paragraph" w:styleId="ListParagraph">
    <w:name w:val="List Paragraph"/>
    <w:basedOn w:val="Normal"/>
    <w:uiPriority w:val="34"/>
    <w:qFormat/>
    <w:rsid w:val="00CF47F1"/>
    <w:pPr>
      <w:spacing w:before="0" w:after="160" w:line="259" w:lineRule="auto"/>
      <w:ind w:left="720"/>
      <w:contextualSpacing/>
    </w:pPr>
    <w:rPr>
      <w:rFonts w:asciiTheme="minorHAnsi" w:hAnsiTheme="minorHAnsi"/>
      <w:kern w:val="0"/>
    </w:rPr>
  </w:style>
  <w:style w:type="table" w:styleId="TableGrid">
    <w:name w:val="Table Grid"/>
    <w:basedOn w:val="TableNormal"/>
    <w:uiPriority w:val="39"/>
    <w:rsid w:val="004E7DC4"/>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B0F65"/>
    <w:pPr>
      <w:spacing w:before="100" w:beforeAutospacing="1" w:after="100" w:afterAutospacing="1"/>
    </w:pPr>
    <w:rPr>
      <w:rFonts w:eastAsia="Times New Roman" w:cs="Times New Roman"/>
      <w:kern w:val="0"/>
      <w:sz w:val="24"/>
      <w:szCs w:val="24"/>
    </w:rPr>
  </w:style>
  <w:style w:type="paragraph" w:styleId="BalloonText">
    <w:name w:val="Balloon Text"/>
    <w:basedOn w:val="Normal"/>
    <w:link w:val="BalloonTextChar"/>
    <w:uiPriority w:val="99"/>
    <w:semiHidden/>
    <w:unhideWhenUsed/>
    <w:rsid w:val="000F5339"/>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5339"/>
    <w:rPr>
      <w:rFonts w:ascii="Segoe UI" w:hAnsi="Segoe UI" w:cs="Segoe UI"/>
      <w:kern w:val="22"/>
      <w:sz w:val="18"/>
      <w:szCs w:val="18"/>
    </w:rPr>
  </w:style>
  <w:style w:type="character" w:styleId="CommentReference">
    <w:name w:val="annotation reference"/>
    <w:basedOn w:val="DefaultParagraphFont"/>
    <w:uiPriority w:val="99"/>
    <w:semiHidden/>
    <w:unhideWhenUsed/>
    <w:rsid w:val="004072FC"/>
    <w:rPr>
      <w:sz w:val="16"/>
      <w:szCs w:val="16"/>
    </w:rPr>
  </w:style>
  <w:style w:type="paragraph" w:styleId="CommentText">
    <w:name w:val="annotation text"/>
    <w:basedOn w:val="Normal"/>
    <w:link w:val="CommentTextChar"/>
    <w:uiPriority w:val="99"/>
    <w:semiHidden/>
    <w:unhideWhenUsed/>
    <w:rsid w:val="004072FC"/>
    <w:rPr>
      <w:sz w:val="20"/>
      <w:szCs w:val="20"/>
    </w:rPr>
  </w:style>
  <w:style w:type="character" w:customStyle="1" w:styleId="CommentTextChar">
    <w:name w:val="Comment Text Char"/>
    <w:basedOn w:val="DefaultParagraphFont"/>
    <w:link w:val="CommentText"/>
    <w:uiPriority w:val="99"/>
    <w:semiHidden/>
    <w:rsid w:val="004072FC"/>
    <w:rPr>
      <w:rFonts w:ascii="Times New Roman" w:hAnsi="Times New Roman"/>
      <w:kern w:val="22"/>
      <w:sz w:val="20"/>
      <w:szCs w:val="20"/>
    </w:rPr>
  </w:style>
  <w:style w:type="paragraph" w:styleId="CommentSubject">
    <w:name w:val="annotation subject"/>
    <w:basedOn w:val="CommentText"/>
    <w:next w:val="CommentText"/>
    <w:link w:val="CommentSubjectChar"/>
    <w:uiPriority w:val="99"/>
    <w:semiHidden/>
    <w:unhideWhenUsed/>
    <w:rsid w:val="004072FC"/>
    <w:rPr>
      <w:b/>
      <w:bCs/>
    </w:rPr>
  </w:style>
  <w:style w:type="character" w:customStyle="1" w:styleId="CommentSubjectChar">
    <w:name w:val="Comment Subject Char"/>
    <w:basedOn w:val="CommentTextChar"/>
    <w:link w:val="CommentSubject"/>
    <w:uiPriority w:val="99"/>
    <w:semiHidden/>
    <w:rsid w:val="004072FC"/>
    <w:rPr>
      <w:rFonts w:ascii="Times New Roman" w:hAnsi="Times New Roman"/>
      <w:b/>
      <w:bCs/>
      <w:kern w:val="2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6746145">
      <w:bodyDiv w:val="1"/>
      <w:marLeft w:val="0"/>
      <w:marRight w:val="0"/>
      <w:marTop w:val="0"/>
      <w:marBottom w:val="0"/>
      <w:divBdr>
        <w:top w:val="none" w:sz="0" w:space="0" w:color="auto"/>
        <w:left w:val="none" w:sz="0" w:space="0" w:color="auto"/>
        <w:bottom w:val="none" w:sz="0" w:space="0" w:color="auto"/>
        <w:right w:val="none" w:sz="0" w:space="0" w:color="auto"/>
      </w:divBdr>
      <w:divsChild>
        <w:div w:id="91321792">
          <w:marLeft w:val="0"/>
          <w:marRight w:val="0"/>
          <w:marTop w:val="0"/>
          <w:marBottom w:val="0"/>
          <w:divBdr>
            <w:top w:val="none" w:sz="0" w:space="0" w:color="auto"/>
            <w:left w:val="none" w:sz="0" w:space="0" w:color="auto"/>
            <w:bottom w:val="none" w:sz="0" w:space="0" w:color="auto"/>
            <w:right w:val="none" w:sz="0" w:space="0" w:color="auto"/>
          </w:divBdr>
        </w:div>
        <w:div w:id="1565482844">
          <w:marLeft w:val="0"/>
          <w:marRight w:val="0"/>
          <w:marTop w:val="0"/>
          <w:marBottom w:val="0"/>
          <w:divBdr>
            <w:top w:val="none" w:sz="0" w:space="0" w:color="auto"/>
            <w:left w:val="none" w:sz="0" w:space="0" w:color="auto"/>
            <w:bottom w:val="none" w:sz="0" w:space="0" w:color="auto"/>
            <w:right w:val="none" w:sz="0" w:space="0" w:color="auto"/>
          </w:divBdr>
          <w:divsChild>
            <w:div w:id="325014229">
              <w:marLeft w:val="0"/>
              <w:marRight w:val="0"/>
              <w:marTop w:val="0"/>
              <w:marBottom w:val="0"/>
              <w:divBdr>
                <w:top w:val="none" w:sz="0" w:space="0" w:color="auto"/>
                <w:left w:val="none" w:sz="0" w:space="0" w:color="auto"/>
                <w:bottom w:val="none" w:sz="0" w:space="0" w:color="auto"/>
                <w:right w:val="none" w:sz="0" w:space="0" w:color="auto"/>
              </w:divBdr>
            </w:div>
            <w:div w:id="312413713">
              <w:marLeft w:val="0"/>
              <w:marRight w:val="0"/>
              <w:marTop w:val="0"/>
              <w:marBottom w:val="0"/>
              <w:divBdr>
                <w:top w:val="none" w:sz="0" w:space="0" w:color="auto"/>
                <w:left w:val="none" w:sz="0" w:space="0" w:color="auto"/>
                <w:bottom w:val="none" w:sz="0" w:space="0" w:color="auto"/>
                <w:right w:val="none" w:sz="0" w:space="0" w:color="auto"/>
              </w:divBdr>
            </w:div>
            <w:div w:id="593175924">
              <w:marLeft w:val="0"/>
              <w:marRight w:val="0"/>
              <w:marTop w:val="0"/>
              <w:marBottom w:val="0"/>
              <w:divBdr>
                <w:top w:val="none" w:sz="0" w:space="0" w:color="auto"/>
                <w:left w:val="none" w:sz="0" w:space="0" w:color="auto"/>
                <w:bottom w:val="none" w:sz="0" w:space="0" w:color="auto"/>
                <w:right w:val="none" w:sz="0" w:space="0" w:color="auto"/>
              </w:divBdr>
            </w:div>
          </w:divsChild>
        </w:div>
        <w:div w:id="69354559">
          <w:marLeft w:val="0"/>
          <w:marRight w:val="0"/>
          <w:marTop w:val="0"/>
          <w:marBottom w:val="0"/>
          <w:divBdr>
            <w:top w:val="none" w:sz="0" w:space="0" w:color="auto"/>
            <w:left w:val="none" w:sz="0" w:space="0" w:color="auto"/>
            <w:bottom w:val="none" w:sz="0" w:space="0" w:color="auto"/>
            <w:right w:val="none" w:sz="0" w:space="0" w:color="auto"/>
          </w:divBdr>
          <w:divsChild>
            <w:div w:id="1634631285">
              <w:marLeft w:val="0"/>
              <w:marRight w:val="0"/>
              <w:marTop w:val="0"/>
              <w:marBottom w:val="0"/>
              <w:divBdr>
                <w:top w:val="none" w:sz="0" w:space="0" w:color="auto"/>
                <w:left w:val="none" w:sz="0" w:space="0" w:color="auto"/>
                <w:bottom w:val="none" w:sz="0" w:space="0" w:color="auto"/>
                <w:right w:val="none" w:sz="0" w:space="0" w:color="auto"/>
              </w:divBdr>
            </w:div>
          </w:divsChild>
        </w:div>
        <w:div w:id="1559706936">
          <w:marLeft w:val="0"/>
          <w:marRight w:val="0"/>
          <w:marTop w:val="0"/>
          <w:marBottom w:val="0"/>
          <w:divBdr>
            <w:top w:val="none" w:sz="0" w:space="0" w:color="auto"/>
            <w:left w:val="none" w:sz="0" w:space="0" w:color="auto"/>
            <w:bottom w:val="none" w:sz="0" w:space="0" w:color="auto"/>
            <w:right w:val="none" w:sz="0" w:space="0" w:color="auto"/>
          </w:divBdr>
          <w:divsChild>
            <w:div w:id="137842609">
              <w:marLeft w:val="0"/>
              <w:marRight w:val="0"/>
              <w:marTop w:val="0"/>
              <w:marBottom w:val="0"/>
              <w:divBdr>
                <w:top w:val="none" w:sz="0" w:space="0" w:color="auto"/>
                <w:left w:val="none" w:sz="0" w:space="0" w:color="auto"/>
                <w:bottom w:val="none" w:sz="0" w:space="0" w:color="auto"/>
                <w:right w:val="none" w:sz="0" w:space="0" w:color="auto"/>
              </w:divBdr>
            </w:div>
          </w:divsChild>
        </w:div>
        <w:div w:id="2052337539">
          <w:marLeft w:val="0"/>
          <w:marRight w:val="0"/>
          <w:marTop w:val="0"/>
          <w:marBottom w:val="0"/>
          <w:divBdr>
            <w:top w:val="none" w:sz="0" w:space="0" w:color="auto"/>
            <w:left w:val="none" w:sz="0" w:space="0" w:color="auto"/>
            <w:bottom w:val="none" w:sz="0" w:space="0" w:color="auto"/>
            <w:right w:val="none" w:sz="0" w:space="0" w:color="auto"/>
          </w:divBdr>
          <w:divsChild>
            <w:div w:id="612640361">
              <w:marLeft w:val="0"/>
              <w:marRight w:val="0"/>
              <w:marTop w:val="0"/>
              <w:marBottom w:val="0"/>
              <w:divBdr>
                <w:top w:val="none" w:sz="0" w:space="0" w:color="auto"/>
                <w:left w:val="none" w:sz="0" w:space="0" w:color="auto"/>
                <w:bottom w:val="none" w:sz="0" w:space="0" w:color="auto"/>
                <w:right w:val="none" w:sz="0" w:space="0" w:color="auto"/>
              </w:divBdr>
            </w:div>
            <w:div w:id="31407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microsoft.com/office/2016/09/relationships/commentsIds" Target="commentsId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1F5A0-A0F1-4AF7-BE32-95912A35E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5115</Words>
  <Characters>29162</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Stevens</dc:creator>
  <cp:keywords/>
  <dc:description/>
  <cp:lastModifiedBy>Mitchell Frischmeyer</cp:lastModifiedBy>
  <cp:revision>2</cp:revision>
  <dcterms:created xsi:type="dcterms:W3CDTF">2019-07-31T18:47:00Z</dcterms:created>
  <dcterms:modified xsi:type="dcterms:W3CDTF">2019-07-31T18:47:00Z</dcterms:modified>
</cp:coreProperties>
</file>