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44BB" w:rsidRPr="00A444BB" w:rsidRDefault="00A444BB" w:rsidP="00A444BB">
      <w:pPr>
        <w:spacing w:after="160"/>
        <w:jc w:val="both"/>
        <w:rPr>
          <w:rFonts w:ascii="Times New Roman" w:eastAsia="Times New Roman" w:hAnsi="Times New Roman" w:cs="Times New Roman"/>
          <w:lang w:eastAsia="es-ES_tradnl"/>
        </w:rPr>
      </w:pPr>
      <w:bookmarkStart w:id="0" w:name="_GoBack"/>
      <w:bookmarkEnd w:id="0"/>
      <w:r w:rsidRPr="00A444BB">
        <w:rPr>
          <w:rFonts w:ascii="Calibri" w:eastAsia="Times New Roman" w:hAnsi="Calibri" w:cs="Calibri"/>
          <w:color w:val="000000"/>
          <w:sz w:val="20"/>
          <w:szCs w:val="20"/>
          <w:lang w:eastAsia="es-ES_tradnl"/>
        </w:rPr>
        <w:t xml:space="preserve">La presentación de informe es la culminación del proceso de análisis de datos en una investigación basada en </w:t>
      </w:r>
      <w:r w:rsidRPr="00A444BB">
        <w:rPr>
          <w:rFonts w:ascii="Calibri" w:eastAsia="Times New Roman" w:hAnsi="Calibri" w:cs="Calibri"/>
          <w:i/>
          <w:iCs/>
          <w:color w:val="000000"/>
          <w:sz w:val="20"/>
          <w:szCs w:val="20"/>
          <w:lang w:eastAsia="es-ES_tradnl"/>
        </w:rPr>
        <w:t>Thick Data</w:t>
      </w:r>
      <w:r w:rsidRPr="00A444BB">
        <w:rPr>
          <w:rFonts w:ascii="Calibri" w:eastAsia="Times New Roman" w:hAnsi="Calibri" w:cs="Calibri"/>
          <w:color w:val="000000"/>
          <w:sz w:val="20"/>
          <w:szCs w:val="20"/>
          <w:lang w:eastAsia="es-ES_tradnl"/>
        </w:rPr>
        <w:t>. Su objetivo es presentar de manera clara y estructurada los hallazgos obtenidos durante la observación etnográfica digital, utilizando una narrativa coherente que conecte los resultados con el problema público estudiado. En esta fase, hay que ser capaces de transformar los datos codificados en narrativas que expliquen los patrones observados, y la relación de estos patrones con las dinámicas sociales o políticas más amplias.</w:t>
      </w:r>
    </w:p>
    <w:p w:rsidR="00A444BB" w:rsidRPr="00A444BB" w:rsidRDefault="00A444BB" w:rsidP="00A444BB">
      <w:pPr>
        <w:spacing w:after="160"/>
        <w:jc w:val="both"/>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Para guiar la presentación de informes de resultados, se recomienda seguir una estructura que incluya las siguientes secciones, conforme a las sugerencias de autores y expertos en investigación etnográfica:</w:t>
      </w:r>
    </w:p>
    <w:tbl>
      <w:tblPr>
        <w:tblW w:w="0" w:type="auto"/>
        <w:tblCellMar>
          <w:top w:w="15" w:type="dxa"/>
          <w:left w:w="15" w:type="dxa"/>
          <w:bottom w:w="15" w:type="dxa"/>
          <w:right w:w="15" w:type="dxa"/>
        </w:tblCellMar>
        <w:tblLook w:val="04A0" w:firstRow="1" w:lastRow="0" w:firstColumn="1" w:lastColumn="0" w:noHBand="0" w:noVBand="1"/>
      </w:tblPr>
      <w:tblGrid>
        <w:gridCol w:w="1344"/>
        <w:gridCol w:w="5635"/>
        <w:gridCol w:w="3811"/>
      </w:tblGrid>
      <w:tr w:rsidR="00A444BB" w:rsidRPr="00A444BB" w:rsidTr="00A444BB">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jc w:val="cente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Estructura de informe de resultados</w:t>
            </w:r>
          </w:p>
        </w:tc>
      </w:tr>
      <w:tr w:rsidR="00A444BB" w:rsidRPr="00A444BB" w:rsidTr="00A444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jc w:val="cente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Sección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jc w:val="cente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Contenido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jc w:val="cente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Recomendaciones</w:t>
            </w:r>
          </w:p>
        </w:tc>
      </w:tr>
      <w:tr w:rsidR="00A444BB" w:rsidRPr="00A444BB" w:rsidTr="00A444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Introducción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En esta sección se debe presentar el tema o problema público investigado, contextualizándolo en su relevancia social o política. Además, es importante exponer brevemente el enfoque metodológico utilizado, explicando por qué la observación etnográfica fue la técnica más adecuada para captar las dinámicas observadas en plataformas digitales.</w:t>
            </w:r>
          </w:p>
          <w:p w:rsidR="00A444BB" w:rsidRPr="00A444BB" w:rsidRDefault="00A444BB" w:rsidP="00A444BB">
            <w:pPr>
              <w:rPr>
                <w:rFonts w:ascii="Times New Roman" w:eastAsia="Times New Roman" w:hAnsi="Times New Roman" w:cs="Times New Roman"/>
                <w:lang w:eastAsia="es-ES_tradnl"/>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Ardévol (2017) señala que es fundamental integrar tanto las narrativas cualitativas como datos contextuales para asegurar que el informe sea exhaustivo y accesible, destacando las historias humanas detrás de los datos.</w:t>
            </w:r>
          </w:p>
        </w:tc>
      </w:tr>
      <w:tr w:rsidR="00A444BB" w:rsidRPr="00A444BB" w:rsidTr="00A444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Metodología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 xml:space="preserve">Aquí se debe detallar cómo se llevó a cabo la observación etnográfica, explicando el proceso de recolección de datos, las plataformas digitales observadas (X, TikTok, Instagram), los </w:t>
            </w:r>
            <w:r w:rsidRPr="00A444BB">
              <w:rPr>
                <w:rFonts w:ascii="Calibri" w:eastAsia="Times New Roman" w:hAnsi="Calibri" w:cs="Calibri"/>
                <w:i/>
                <w:iCs/>
                <w:color w:val="000000"/>
                <w:sz w:val="20"/>
                <w:szCs w:val="20"/>
                <w:lang w:eastAsia="es-ES_tradnl"/>
              </w:rPr>
              <w:t>hashtags</w:t>
            </w:r>
            <w:r w:rsidRPr="00A444BB">
              <w:rPr>
                <w:rFonts w:ascii="Calibri" w:eastAsia="Times New Roman" w:hAnsi="Calibri" w:cs="Calibri"/>
                <w:color w:val="000000"/>
                <w:sz w:val="20"/>
                <w:szCs w:val="20"/>
                <w:lang w:eastAsia="es-ES_tradnl"/>
              </w:rPr>
              <w:t xml:space="preserve"> o cuentas seleccionadas, y el período de tiempo cubierto. Es importante explicar cómo se utilizaron la codificación abierta y axial para analizar los datos.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Latzko-Toth et. al. (2022) recomiendan que el informe incluya una descripción clara de los métodos utilizados, resaltando la combinación de análisis narrativo y visualizaciones de los datos recopilados.</w:t>
            </w:r>
          </w:p>
        </w:tc>
      </w:tr>
      <w:tr w:rsidR="00A444BB" w:rsidRPr="00A444BB" w:rsidTr="00A444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Resultados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En esta sección se deben transformar los datos codificados en narrativas que expliquen de manera coherente los hallazgos de la investigación. Aquí, deben presentarse los temas principales identificados durante la observación, destacando los patrones y las interacciones más significativas. Hay que incluir ejemplos específicos de las interacciones observadas para ilustrar los hallazgos. Por ejemplo, se pueden citar publicaciones representativas, describir interacciones clave, o detallar cómo se expresaron las emociones predominantes.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Jemielniak (2020) sugiere resaltar en esta sección los predictores más relevantes, es decir, aquellos elementos que mejor anticipan características o comportamientos específicos en el fenómeno social observado.</w:t>
            </w:r>
          </w:p>
        </w:tc>
      </w:tr>
      <w:tr w:rsidR="00A444BB" w:rsidRPr="00A444BB" w:rsidTr="00A444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Análisis y discusión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Aquí se debe incluir un análisis más profundo de las narrativas identificadas en los resultados. La intención es relacionar los hallazgos con el contexto social y político más amplio, explicando qué significan los patrones observados en términos de las tensiones o problemáticas públicas.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Mortati et al. (2023) recomiendan utilizar ayudas visuales (tablas, gráficos o diagramas) para ilustrar los hallazgos clave.</w:t>
            </w:r>
          </w:p>
        </w:tc>
      </w:tr>
      <w:tr w:rsidR="00A444BB" w:rsidRPr="00A444BB" w:rsidTr="00A444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Conclusiones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Se deben resumir los hallazgos clave de la investigación y sus implicaciones para el problema público estudiado. Es necesario ofrecer recomendaciones basadas en los resultados obtenidos, identificando posibles acciones que los tomadores de decisiones podrían considerar para abordar el problema.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444BB" w:rsidRPr="00A444BB" w:rsidRDefault="00A444BB" w:rsidP="00A444BB">
            <w:pPr>
              <w:rPr>
                <w:rFonts w:ascii="Times New Roman" w:eastAsia="Times New Roman" w:hAnsi="Times New Roman" w:cs="Times New Roman"/>
                <w:lang w:eastAsia="es-ES_tradnl"/>
              </w:rPr>
            </w:pPr>
            <w:r w:rsidRPr="00A444BB">
              <w:rPr>
                <w:rFonts w:ascii="Calibri" w:eastAsia="Times New Roman" w:hAnsi="Calibri" w:cs="Calibri"/>
                <w:color w:val="000000"/>
                <w:sz w:val="20"/>
                <w:szCs w:val="20"/>
                <w:lang w:eastAsia="es-ES_tradnl"/>
              </w:rPr>
              <w:t xml:space="preserve">Jemielniak (2020) indica que estas recomendaciones deben ser accionables, es decir, que proporcionen </w:t>
            </w:r>
            <w:r w:rsidRPr="00A444BB">
              <w:rPr>
                <w:rFonts w:ascii="Calibri" w:eastAsia="Times New Roman" w:hAnsi="Calibri" w:cs="Calibri"/>
                <w:i/>
                <w:iCs/>
                <w:color w:val="000000"/>
                <w:sz w:val="20"/>
                <w:szCs w:val="20"/>
                <w:lang w:eastAsia="es-ES_tradnl"/>
              </w:rPr>
              <w:t>insights</w:t>
            </w:r>
            <w:r w:rsidRPr="00A444BB">
              <w:rPr>
                <w:rFonts w:ascii="Calibri" w:eastAsia="Times New Roman" w:hAnsi="Calibri" w:cs="Calibri"/>
                <w:color w:val="000000"/>
                <w:sz w:val="20"/>
                <w:szCs w:val="20"/>
                <w:lang w:eastAsia="es-ES_tradnl"/>
              </w:rPr>
              <w:t xml:space="preserve"> prácticos para los tomadores de decisiones, basados en los patrones y temas identificados.</w:t>
            </w:r>
          </w:p>
        </w:tc>
      </w:tr>
    </w:tbl>
    <w:p w:rsidR="00E516C1" w:rsidRDefault="00E516C1"/>
    <w:sectPr w:rsidR="00E516C1" w:rsidSect="00A444B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BB"/>
    <w:rsid w:val="003066EF"/>
    <w:rsid w:val="00A444BB"/>
    <w:rsid w:val="00E516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DA758CF"/>
  <w15:chartTrackingRefBased/>
  <w15:docId w15:val="{1ACBF0B3-30F7-D240-AD8B-058971B2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444BB"/>
    <w:pPr>
      <w:spacing w:before="100" w:beforeAutospacing="1" w:after="100" w:afterAutospacing="1"/>
    </w:pPr>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846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566</Words>
  <Characters>3113</Characters>
  <Application>Microsoft Office Word</Application>
  <DocSecurity>0</DocSecurity>
  <Lines>25</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2024-11-22T14:48:00Z</dcterms:created>
  <dcterms:modified xsi:type="dcterms:W3CDTF">2024-11-22T14:51:00Z</dcterms:modified>
</cp:coreProperties>
</file>