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B173" w14:textId="77777777" w:rsidR="0098686E" w:rsidRPr="0098686E" w:rsidRDefault="0098686E" w:rsidP="0098686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8686E">
        <w:rPr>
          <w:rFonts w:eastAsia="Times New Roman" w:cstheme="minorHAnsi"/>
          <w:b/>
          <w:bCs/>
          <w:color w:val="000000"/>
          <w:sz w:val="24"/>
          <w:szCs w:val="24"/>
        </w:rPr>
        <w:t>NOTICE</w:t>
      </w:r>
    </w:p>
    <w:p w14:paraId="53555D38" w14:textId="77777777" w:rsidR="0098686E" w:rsidRPr="0098686E" w:rsidRDefault="0098686E" w:rsidP="0098686E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8686E">
        <w:rPr>
          <w:rFonts w:eastAsia="Times New Roman" w:cstheme="minorHAnsi"/>
          <w:color w:val="000000"/>
        </w:rPr>
        <w:t>This software (or technical data) was produced for the U.S. Government under contract 2015-14120200002-002, and is subject to the Rights in Data-General Clause 52.227-14 , ALT IV (MAY 2014) or (DEC 2007).</w:t>
      </w:r>
    </w:p>
    <w:p w14:paraId="0CE62263" w14:textId="182ABF39" w:rsidR="0098686E" w:rsidRDefault="0098686E" w:rsidP="0098686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98686E">
        <w:rPr>
          <w:rFonts w:eastAsia="Times New Roman" w:cstheme="minorHAnsi"/>
          <w:color w:val="000000"/>
        </w:rPr>
        <w:t>©2019 The MITRE Corporation. All Rights Reserved.</w:t>
      </w:r>
    </w:p>
    <w:p w14:paraId="3AF6A96D" w14:textId="217BDF91" w:rsidR="007570B5" w:rsidRPr="0098686E" w:rsidRDefault="007570B5" w:rsidP="0098686E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570B5">
        <w:rPr>
          <w:rFonts w:eastAsia="Times New Roman" w:cstheme="minorHAnsi"/>
          <w:color w:val="222222"/>
        </w:rPr>
        <w:t>Approved for Public Release; Distribution Unlimited. Case Number 19-2656</w:t>
      </w:r>
      <w:bookmarkStart w:id="0" w:name="_GoBack"/>
      <w:bookmarkEnd w:id="0"/>
    </w:p>
    <w:p w14:paraId="6BA4EB91" w14:textId="77777777" w:rsidR="0098686E" w:rsidRDefault="0098686E">
      <w:pPr>
        <w:pBdr>
          <w:bottom w:val="single" w:sz="12" w:space="1" w:color="auto"/>
        </w:pBdr>
        <w:rPr>
          <w:u w:val="single"/>
        </w:rPr>
      </w:pPr>
    </w:p>
    <w:p w14:paraId="0C778558" w14:textId="77777777" w:rsidR="0098686E" w:rsidRDefault="0098686E">
      <w:pPr>
        <w:rPr>
          <w:u w:val="single"/>
        </w:rPr>
      </w:pPr>
    </w:p>
    <w:p w14:paraId="493FA052" w14:textId="6234390D" w:rsidR="007E3609" w:rsidRDefault="006948EE">
      <w:r w:rsidRPr="00587E15">
        <w:rPr>
          <w:u w:val="single"/>
        </w:rPr>
        <w:t>Code overview</w:t>
      </w:r>
      <w:r>
        <w:t>: The R script file “</w:t>
      </w:r>
      <w:r w:rsidRPr="006948EE">
        <w:t>W</w:t>
      </w:r>
      <w:r w:rsidR="00820F38">
        <w:t>ITHIN</w:t>
      </w:r>
      <w:r w:rsidRPr="006948EE">
        <w:t>_</w:t>
      </w:r>
      <w:r w:rsidR="00820F38">
        <w:t>METRIC</w:t>
      </w:r>
      <w:r w:rsidRPr="006948EE">
        <w:t>_example_</w:t>
      </w:r>
      <w:r w:rsidR="00E6627B">
        <w:t>code_</w:t>
      </w:r>
      <w:r w:rsidR="00820F38">
        <w:t>PR</w:t>
      </w:r>
      <w:r>
        <w:t xml:space="preserve">” is a streamlined version of the code necessary to run the within-subjects analysis. </w:t>
      </w:r>
      <w:r w:rsidR="00BB0548">
        <w:t>We</w:t>
      </w:r>
      <w:r>
        <w:t xml:space="preserve"> have commented out several supplementary analyses.  The core analyses are on lines </w:t>
      </w:r>
      <w:r w:rsidR="00B36B44">
        <w:t>54</w:t>
      </w:r>
      <w:r>
        <w:t>-</w:t>
      </w:r>
      <w:r w:rsidR="00B36B44">
        <w:t>60</w:t>
      </w:r>
      <w:r>
        <w:t xml:space="preserve"> (the conditional mixed effects model) and lines 7</w:t>
      </w:r>
      <w:r w:rsidR="00B36B44">
        <w:t>4</w:t>
      </w:r>
      <w:r>
        <w:t>-</w:t>
      </w:r>
      <w:r w:rsidR="00B36B44">
        <w:t>82</w:t>
      </w:r>
      <w:r>
        <w:t xml:space="preserve"> (calculation of within-subject R-squared and boostrapping a confidence interval). The within-subject R-squared will come from the object (</w:t>
      </w:r>
      <w:r w:rsidRPr="006948EE">
        <w:t>rsq_out_extra</w:t>
      </w:r>
      <w:r>
        <w:t>, line 7</w:t>
      </w:r>
      <w:r w:rsidR="00B36B44">
        <w:t>8</w:t>
      </w:r>
      <w:r>
        <w:t xml:space="preserve">).  The 95% CI will come from the code on line </w:t>
      </w:r>
      <w:r w:rsidR="00B36B44">
        <w:t>82</w:t>
      </w:r>
      <w:r>
        <w:t xml:space="preserve">.       </w:t>
      </w:r>
    </w:p>
    <w:p w14:paraId="28F643A1" w14:textId="2E506645" w:rsidR="00327E28" w:rsidRDefault="006948EE">
      <w:r w:rsidRPr="00587E15">
        <w:rPr>
          <w:u w:val="single"/>
        </w:rPr>
        <w:t>Other assumptions</w:t>
      </w:r>
      <w:r>
        <w:t>:  This code example is for one measure only (extraversion.d) and assumes that the data</w:t>
      </w:r>
      <w:r w:rsidR="00327E28">
        <w:t xml:space="preserve"> are </w:t>
      </w:r>
      <w:r>
        <w:t>stacked</w:t>
      </w:r>
      <w:r w:rsidR="00587E15">
        <w:t xml:space="preserve"> (</w:t>
      </w:r>
      <w:r>
        <w:t>each individual row has responses to GroundTruth and ScoreEstimate for each person</w:t>
      </w:r>
      <w:r w:rsidR="00587E15">
        <w:t xml:space="preserve"> </w:t>
      </w:r>
      <w:r>
        <w:t>for each measure</w:t>
      </w:r>
      <w:r w:rsidR="00587E15">
        <w:t>)</w:t>
      </w:r>
      <w:r>
        <w:t xml:space="preserve">.  This code will need to be run for each measure separately and in the lmer call on line </w:t>
      </w:r>
      <w:r w:rsidR="00577937">
        <w:t>55</w:t>
      </w:r>
      <w:r>
        <w:t xml:space="preserve"> </w:t>
      </w:r>
      <w:r w:rsidR="00327E28">
        <w:t xml:space="preserve">you can specify the measure/data you would like to use (i.e., </w:t>
      </w:r>
      <w:r w:rsidR="00327E28" w:rsidRPr="00327E28">
        <w:t>data=subset(team_data, variable.name=="extraversion.d")</w:t>
      </w:r>
      <w:r w:rsidR="00327E28">
        <w:t>).  Below is the structure of the data assumed when using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50"/>
        <w:gridCol w:w="1621"/>
        <w:gridCol w:w="1554"/>
        <w:gridCol w:w="1558"/>
      </w:tblGrid>
      <w:tr w:rsidR="00327E28" w14:paraId="317772F9" w14:textId="77777777" w:rsidTr="00327E28">
        <w:tc>
          <w:tcPr>
            <w:tcW w:w="1535" w:type="dxa"/>
          </w:tcPr>
          <w:p w14:paraId="0A8D492A" w14:textId="77777777" w:rsidR="00327E28" w:rsidRDefault="00327E28">
            <w:r>
              <w:t>ID</w:t>
            </w:r>
          </w:p>
        </w:tc>
        <w:tc>
          <w:tcPr>
            <w:tcW w:w="1550" w:type="dxa"/>
          </w:tcPr>
          <w:p w14:paraId="693C8348" w14:textId="77777777" w:rsidR="00327E28" w:rsidRDefault="00327E28">
            <w:r>
              <w:t>Date</w:t>
            </w:r>
          </w:p>
        </w:tc>
        <w:tc>
          <w:tcPr>
            <w:tcW w:w="1621" w:type="dxa"/>
          </w:tcPr>
          <w:p w14:paraId="518555BE" w14:textId="77777777" w:rsidR="00327E28" w:rsidRDefault="00327E28">
            <w:r>
              <w:t>Variable.name</w:t>
            </w:r>
          </w:p>
        </w:tc>
        <w:tc>
          <w:tcPr>
            <w:tcW w:w="1554" w:type="dxa"/>
          </w:tcPr>
          <w:p w14:paraId="03374C25" w14:textId="77777777" w:rsidR="00327E28" w:rsidRDefault="00327E28">
            <w:r>
              <w:t>GroundTruth</w:t>
            </w:r>
          </w:p>
        </w:tc>
        <w:tc>
          <w:tcPr>
            <w:tcW w:w="1558" w:type="dxa"/>
          </w:tcPr>
          <w:p w14:paraId="7B70CD0D" w14:textId="77777777" w:rsidR="00327E28" w:rsidRDefault="00327E28">
            <w:r>
              <w:t>ScoreEstimate</w:t>
            </w:r>
          </w:p>
        </w:tc>
      </w:tr>
      <w:tr w:rsidR="00327E28" w14:paraId="68D55713" w14:textId="77777777" w:rsidTr="00327E28">
        <w:tc>
          <w:tcPr>
            <w:tcW w:w="1535" w:type="dxa"/>
          </w:tcPr>
          <w:p w14:paraId="4E827F9E" w14:textId="77777777" w:rsidR="00327E28" w:rsidRDefault="00327E28">
            <w:r>
              <w:t>1</w:t>
            </w:r>
          </w:p>
        </w:tc>
        <w:tc>
          <w:tcPr>
            <w:tcW w:w="1550" w:type="dxa"/>
          </w:tcPr>
          <w:p w14:paraId="7F669CF9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1/11/2018</w:t>
            </w:r>
          </w:p>
        </w:tc>
        <w:tc>
          <w:tcPr>
            <w:tcW w:w="1621" w:type="dxa"/>
          </w:tcPr>
          <w:p w14:paraId="1EA0EEBA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1EF30933" w14:textId="77777777" w:rsidR="00327E28" w:rsidRDefault="00327E28">
            <w:r>
              <w:t>4</w:t>
            </w:r>
          </w:p>
        </w:tc>
        <w:tc>
          <w:tcPr>
            <w:tcW w:w="1558" w:type="dxa"/>
          </w:tcPr>
          <w:p w14:paraId="6CB4A2C5" w14:textId="77777777" w:rsidR="00327E28" w:rsidRDefault="00327E28">
            <w:r>
              <w:t>2.56</w:t>
            </w:r>
          </w:p>
        </w:tc>
      </w:tr>
      <w:tr w:rsidR="00327E28" w14:paraId="0A441BC6" w14:textId="77777777" w:rsidTr="00327E28">
        <w:tc>
          <w:tcPr>
            <w:tcW w:w="1535" w:type="dxa"/>
          </w:tcPr>
          <w:p w14:paraId="5B7A6950" w14:textId="77777777" w:rsidR="00327E28" w:rsidRDefault="00327E28">
            <w:r>
              <w:t>1</w:t>
            </w:r>
          </w:p>
        </w:tc>
        <w:tc>
          <w:tcPr>
            <w:tcW w:w="1550" w:type="dxa"/>
          </w:tcPr>
          <w:p w14:paraId="0227141C" w14:textId="77777777" w:rsidR="00327E28" w:rsidRDefault="00327E28">
            <w:r>
              <w:t>2/12/2018</w:t>
            </w:r>
          </w:p>
        </w:tc>
        <w:tc>
          <w:tcPr>
            <w:tcW w:w="1621" w:type="dxa"/>
          </w:tcPr>
          <w:p w14:paraId="303B14D2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659A7AEE" w14:textId="77777777" w:rsidR="00327E28" w:rsidRDefault="00327E28">
            <w:r>
              <w:t>4</w:t>
            </w:r>
          </w:p>
        </w:tc>
        <w:tc>
          <w:tcPr>
            <w:tcW w:w="1558" w:type="dxa"/>
          </w:tcPr>
          <w:p w14:paraId="726AE79B" w14:textId="77777777" w:rsidR="00327E28" w:rsidRDefault="00327E28">
            <w:r>
              <w:t>3.21</w:t>
            </w:r>
          </w:p>
        </w:tc>
      </w:tr>
      <w:tr w:rsidR="00327E28" w14:paraId="33E0D0DE" w14:textId="77777777" w:rsidTr="00327E28">
        <w:tc>
          <w:tcPr>
            <w:tcW w:w="1535" w:type="dxa"/>
          </w:tcPr>
          <w:p w14:paraId="71EA3525" w14:textId="77777777" w:rsidR="00327E28" w:rsidRDefault="00327E28">
            <w:r>
              <w:t>1</w:t>
            </w:r>
          </w:p>
        </w:tc>
        <w:tc>
          <w:tcPr>
            <w:tcW w:w="1550" w:type="dxa"/>
          </w:tcPr>
          <w:p w14:paraId="4105D1D0" w14:textId="77777777" w:rsidR="00327E28" w:rsidRDefault="00327E28">
            <w:r>
              <w:t>3/14/2018</w:t>
            </w:r>
          </w:p>
        </w:tc>
        <w:tc>
          <w:tcPr>
            <w:tcW w:w="1621" w:type="dxa"/>
          </w:tcPr>
          <w:p w14:paraId="174EFEB1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4C8D95E1" w14:textId="77777777" w:rsidR="00327E28" w:rsidRDefault="00327E28">
            <w:r>
              <w:t>4.5</w:t>
            </w:r>
          </w:p>
        </w:tc>
        <w:tc>
          <w:tcPr>
            <w:tcW w:w="1558" w:type="dxa"/>
          </w:tcPr>
          <w:p w14:paraId="6EBBC0D0" w14:textId="77777777" w:rsidR="00327E28" w:rsidRDefault="00327E28">
            <w:r>
              <w:t>5.67</w:t>
            </w:r>
          </w:p>
        </w:tc>
      </w:tr>
      <w:tr w:rsidR="00327E28" w14:paraId="0F13D6F0" w14:textId="77777777" w:rsidTr="00327E28">
        <w:tc>
          <w:tcPr>
            <w:tcW w:w="1535" w:type="dxa"/>
          </w:tcPr>
          <w:p w14:paraId="52B99E4D" w14:textId="77777777" w:rsidR="00327E28" w:rsidRDefault="00327E28">
            <w:r>
              <w:t>2</w:t>
            </w:r>
          </w:p>
        </w:tc>
        <w:tc>
          <w:tcPr>
            <w:tcW w:w="1550" w:type="dxa"/>
          </w:tcPr>
          <w:p w14:paraId="35FADF04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1/11/2018</w:t>
            </w:r>
          </w:p>
        </w:tc>
        <w:tc>
          <w:tcPr>
            <w:tcW w:w="1621" w:type="dxa"/>
          </w:tcPr>
          <w:p w14:paraId="744A7DA2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68C2A03E" w14:textId="77777777" w:rsidR="00327E28" w:rsidRDefault="00327E28">
            <w:r>
              <w:t>3</w:t>
            </w:r>
          </w:p>
        </w:tc>
        <w:tc>
          <w:tcPr>
            <w:tcW w:w="1558" w:type="dxa"/>
          </w:tcPr>
          <w:p w14:paraId="0D8A560D" w14:textId="77777777" w:rsidR="00327E28" w:rsidRDefault="00327E28">
            <w:r>
              <w:t>3.01</w:t>
            </w:r>
          </w:p>
        </w:tc>
      </w:tr>
      <w:tr w:rsidR="00327E28" w14:paraId="6753E5E3" w14:textId="77777777" w:rsidTr="00327E28">
        <w:tc>
          <w:tcPr>
            <w:tcW w:w="1535" w:type="dxa"/>
          </w:tcPr>
          <w:p w14:paraId="07298118" w14:textId="77777777" w:rsidR="00327E28" w:rsidRDefault="00327E28">
            <w:r>
              <w:t>2</w:t>
            </w:r>
          </w:p>
        </w:tc>
        <w:tc>
          <w:tcPr>
            <w:tcW w:w="1550" w:type="dxa"/>
          </w:tcPr>
          <w:p w14:paraId="5E4A2945" w14:textId="77777777" w:rsidR="00327E28" w:rsidRDefault="00327E28">
            <w:r>
              <w:t>2/12/2018</w:t>
            </w:r>
          </w:p>
        </w:tc>
        <w:tc>
          <w:tcPr>
            <w:tcW w:w="1621" w:type="dxa"/>
          </w:tcPr>
          <w:p w14:paraId="5E1E14B4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430D3906" w14:textId="77777777" w:rsidR="00327E28" w:rsidRDefault="00327E28">
            <w:r>
              <w:t>5</w:t>
            </w:r>
          </w:p>
        </w:tc>
        <w:tc>
          <w:tcPr>
            <w:tcW w:w="1558" w:type="dxa"/>
          </w:tcPr>
          <w:p w14:paraId="6D5169C7" w14:textId="77777777" w:rsidR="00327E28" w:rsidRDefault="00327E28">
            <w:r>
              <w:t>2.99</w:t>
            </w:r>
          </w:p>
        </w:tc>
      </w:tr>
      <w:tr w:rsidR="00327E28" w14:paraId="490BFF5A" w14:textId="77777777" w:rsidTr="00327E28">
        <w:tc>
          <w:tcPr>
            <w:tcW w:w="1535" w:type="dxa"/>
          </w:tcPr>
          <w:p w14:paraId="18A71334" w14:textId="77777777" w:rsidR="00327E28" w:rsidRDefault="00327E28">
            <w:r>
              <w:t>3</w:t>
            </w:r>
          </w:p>
        </w:tc>
        <w:tc>
          <w:tcPr>
            <w:tcW w:w="1550" w:type="dxa"/>
          </w:tcPr>
          <w:p w14:paraId="5C986E48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1/11/2018</w:t>
            </w:r>
          </w:p>
        </w:tc>
        <w:tc>
          <w:tcPr>
            <w:tcW w:w="1621" w:type="dxa"/>
          </w:tcPr>
          <w:p w14:paraId="5ECBA96E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462FC2AB" w14:textId="77777777" w:rsidR="00327E28" w:rsidRDefault="00327E28">
            <w:r>
              <w:t>2</w:t>
            </w:r>
          </w:p>
        </w:tc>
        <w:tc>
          <w:tcPr>
            <w:tcW w:w="1558" w:type="dxa"/>
          </w:tcPr>
          <w:p w14:paraId="314BEE91" w14:textId="77777777" w:rsidR="00327E28" w:rsidRDefault="00327E28">
            <w:r>
              <w:t>5</w:t>
            </w:r>
          </w:p>
        </w:tc>
      </w:tr>
      <w:tr w:rsidR="00327E28" w14:paraId="1A0B7820" w14:textId="77777777" w:rsidTr="00327E28">
        <w:tc>
          <w:tcPr>
            <w:tcW w:w="1535" w:type="dxa"/>
          </w:tcPr>
          <w:p w14:paraId="6C4FEEE4" w14:textId="77777777" w:rsidR="00327E28" w:rsidRDefault="00327E28">
            <w:r>
              <w:t>3</w:t>
            </w:r>
          </w:p>
        </w:tc>
        <w:tc>
          <w:tcPr>
            <w:tcW w:w="1550" w:type="dxa"/>
          </w:tcPr>
          <w:p w14:paraId="518CA0CE" w14:textId="77777777" w:rsidR="00327E28" w:rsidRDefault="00327E28">
            <w:r>
              <w:t>2/12/2018</w:t>
            </w:r>
          </w:p>
        </w:tc>
        <w:tc>
          <w:tcPr>
            <w:tcW w:w="1621" w:type="dxa"/>
          </w:tcPr>
          <w:p w14:paraId="1B01E1F8" w14:textId="77777777" w:rsidR="00327E28" w:rsidRDefault="00327E28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agreeableness.d</w:t>
            </w:r>
          </w:p>
        </w:tc>
        <w:tc>
          <w:tcPr>
            <w:tcW w:w="1554" w:type="dxa"/>
          </w:tcPr>
          <w:p w14:paraId="3246A67C" w14:textId="77777777" w:rsidR="00327E28" w:rsidRDefault="00327E28">
            <w:r>
              <w:t>1</w:t>
            </w:r>
          </w:p>
        </w:tc>
        <w:tc>
          <w:tcPr>
            <w:tcW w:w="1558" w:type="dxa"/>
          </w:tcPr>
          <w:p w14:paraId="5B6DB026" w14:textId="77777777" w:rsidR="00327E28" w:rsidRDefault="00327E28">
            <w:r>
              <w:t>1.21</w:t>
            </w:r>
          </w:p>
        </w:tc>
      </w:tr>
      <w:tr w:rsidR="00327E28" w14:paraId="19984DFE" w14:textId="77777777" w:rsidTr="00327E28">
        <w:tc>
          <w:tcPr>
            <w:tcW w:w="1535" w:type="dxa"/>
          </w:tcPr>
          <w:p w14:paraId="450C20B1" w14:textId="77777777" w:rsidR="00327E28" w:rsidRDefault="00327E28">
            <w:r>
              <w:t>.</w:t>
            </w:r>
          </w:p>
        </w:tc>
        <w:tc>
          <w:tcPr>
            <w:tcW w:w="1550" w:type="dxa"/>
          </w:tcPr>
          <w:p w14:paraId="7D4F018F" w14:textId="77777777" w:rsidR="00327E28" w:rsidRDefault="00327E28">
            <w:r>
              <w:t>.</w:t>
            </w:r>
          </w:p>
        </w:tc>
        <w:tc>
          <w:tcPr>
            <w:tcW w:w="1621" w:type="dxa"/>
          </w:tcPr>
          <w:p w14:paraId="5AFBD44B" w14:textId="77777777" w:rsidR="00327E28" w:rsidRDefault="00327E28">
            <w:r w:rsidRPr="00327E28">
              <w:t>cwb.d</w:t>
            </w:r>
          </w:p>
        </w:tc>
        <w:tc>
          <w:tcPr>
            <w:tcW w:w="1554" w:type="dxa"/>
          </w:tcPr>
          <w:p w14:paraId="0A0C1924" w14:textId="77777777" w:rsidR="00327E28" w:rsidRDefault="00327E28">
            <w:r>
              <w:t>.</w:t>
            </w:r>
          </w:p>
        </w:tc>
        <w:tc>
          <w:tcPr>
            <w:tcW w:w="1558" w:type="dxa"/>
          </w:tcPr>
          <w:p w14:paraId="0D2D3008" w14:textId="77777777" w:rsidR="00327E28" w:rsidRDefault="00327E28">
            <w:r>
              <w:t>.</w:t>
            </w:r>
          </w:p>
        </w:tc>
      </w:tr>
      <w:tr w:rsidR="00327E28" w14:paraId="426191B3" w14:textId="77777777" w:rsidTr="00327E28">
        <w:tc>
          <w:tcPr>
            <w:tcW w:w="1535" w:type="dxa"/>
          </w:tcPr>
          <w:p w14:paraId="02F4CDC3" w14:textId="77777777" w:rsidR="00327E28" w:rsidRDefault="00327E28">
            <w:r>
              <w:t>.</w:t>
            </w:r>
          </w:p>
        </w:tc>
        <w:tc>
          <w:tcPr>
            <w:tcW w:w="1550" w:type="dxa"/>
          </w:tcPr>
          <w:p w14:paraId="04866612" w14:textId="77777777" w:rsidR="00327E28" w:rsidRDefault="00327E28">
            <w:r>
              <w:t>.</w:t>
            </w:r>
          </w:p>
        </w:tc>
        <w:tc>
          <w:tcPr>
            <w:tcW w:w="1621" w:type="dxa"/>
          </w:tcPr>
          <w:p w14:paraId="330664CF" w14:textId="77777777" w:rsidR="00327E28" w:rsidRDefault="00327E28">
            <w:r w:rsidRPr="00327E28">
              <w:t>cwb.d</w:t>
            </w:r>
          </w:p>
        </w:tc>
        <w:tc>
          <w:tcPr>
            <w:tcW w:w="1554" w:type="dxa"/>
          </w:tcPr>
          <w:p w14:paraId="17562060" w14:textId="77777777" w:rsidR="00327E28" w:rsidRDefault="00327E28">
            <w:r>
              <w:t>.</w:t>
            </w:r>
          </w:p>
        </w:tc>
        <w:tc>
          <w:tcPr>
            <w:tcW w:w="1558" w:type="dxa"/>
          </w:tcPr>
          <w:p w14:paraId="5E24BC88" w14:textId="77777777" w:rsidR="00327E28" w:rsidRDefault="00327E28">
            <w:r>
              <w:t>.</w:t>
            </w:r>
          </w:p>
        </w:tc>
      </w:tr>
      <w:tr w:rsidR="00327E28" w14:paraId="12F94467" w14:textId="77777777" w:rsidTr="00327E28">
        <w:tc>
          <w:tcPr>
            <w:tcW w:w="1535" w:type="dxa"/>
          </w:tcPr>
          <w:p w14:paraId="341F4B8E" w14:textId="77777777" w:rsidR="00327E28" w:rsidRDefault="00327E28">
            <w:r>
              <w:t>.</w:t>
            </w:r>
          </w:p>
        </w:tc>
        <w:tc>
          <w:tcPr>
            <w:tcW w:w="1550" w:type="dxa"/>
          </w:tcPr>
          <w:p w14:paraId="2FA26406" w14:textId="77777777" w:rsidR="00327E28" w:rsidRDefault="00327E28">
            <w:r>
              <w:t>.</w:t>
            </w:r>
          </w:p>
        </w:tc>
        <w:tc>
          <w:tcPr>
            <w:tcW w:w="1621" w:type="dxa"/>
          </w:tcPr>
          <w:p w14:paraId="03E40111" w14:textId="77777777" w:rsidR="00327E28" w:rsidRPr="00327E28" w:rsidRDefault="00327E28">
            <w:r>
              <w:t>.</w:t>
            </w:r>
          </w:p>
        </w:tc>
        <w:tc>
          <w:tcPr>
            <w:tcW w:w="1554" w:type="dxa"/>
          </w:tcPr>
          <w:p w14:paraId="5D099635" w14:textId="77777777" w:rsidR="00327E28" w:rsidRDefault="00327E28">
            <w:r>
              <w:t>.</w:t>
            </w:r>
          </w:p>
        </w:tc>
        <w:tc>
          <w:tcPr>
            <w:tcW w:w="1558" w:type="dxa"/>
          </w:tcPr>
          <w:p w14:paraId="53D44F76" w14:textId="77777777" w:rsidR="00327E28" w:rsidRDefault="00327E28">
            <w:r>
              <w:t>.</w:t>
            </w:r>
          </w:p>
        </w:tc>
      </w:tr>
      <w:tr w:rsidR="00327E28" w14:paraId="10694F0B" w14:textId="77777777" w:rsidTr="00327E28">
        <w:tc>
          <w:tcPr>
            <w:tcW w:w="1535" w:type="dxa"/>
          </w:tcPr>
          <w:p w14:paraId="7FC1D16C" w14:textId="77777777" w:rsidR="00327E28" w:rsidRDefault="00327E28">
            <w:r>
              <w:t>.</w:t>
            </w:r>
          </w:p>
        </w:tc>
        <w:tc>
          <w:tcPr>
            <w:tcW w:w="1550" w:type="dxa"/>
          </w:tcPr>
          <w:p w14:paraId="498C0A4E" w14:textId="77777777" w:rsidR="00327E28" w:rsidRDefault="00327E28">
            <w:r>
              <w:t>.</w:t>
            </w:r>
          </w:p>
        </w:tc>
        <w:tc>
          <w:tcPr>
            <w:tcW w:w="1621" w:type="dxa"/>
          </w:tcPr>
          <w:p w14:paraId="1C7425BC" w14:textId="77777777" w:rsidR="00327E28" w:rsidRPr="00327E28" w:rsidRDefault="00327E28">
            <w:r>
              <w:t>.</w:t>
            </w:r>
          </w:p>
        </w:tc>
        <w:tc>
          <w:tcPr>
            <w:tcW w:w="1554" w:type="dxa"/>
          </w:tcPr>
          <w:p w14:paraId="2ED85725" w14:textId="77777777" w:rsidR="00327E28" w:rsidRDefault="00327E28">
            <w:r>
              <w:t>.</w:t>
            </w:r>
          </w:p>
        </w:tc>
        <w:tc>
          <w:tcPr>
            <w:tcW w:w="1558" w:type="dxa"/>
          </w:tcPr>
          <w:p w14:paraId="3C93E29C" w14:textId="77777777" w:rsidR="00327E28" w:rsidRDefault="00327E28">
            <w:r>
              <w:t>.</w:t>
            </w:r>
          </w:p>
        </w:tc>
      </w:tr>
    </w:tbl>
    <w:p w14:paraId="330A20B4" w14:textId="77777777" w:rsidR="006948EE" w:rsidRDefault="00327E28">
      <w:r>
        <w:t xml:space="preserve">  </w:t>
      </w:r>
      <w:r w:rsidR="006948EE">
        <w:t xml:space="preserve">  </w:t>
      </w:r>
    </w:p>
    <w:p w14:paraId="26956CB6" w14:textId="6043333E" w:rsidR="00587E15" w:rsidRDefault="00587E15"/>
    <w:sectPr w:rsidR="0058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3FB"/>
    <w:rsid w:val="00327E28"/>
    <w:rsid w:val="00577937"/>
    <w:rsid w:val="00587E15"/>
    <w:rsid w:val="006948EE"/>
    <w:rsid w:val="007570B5"/>
    <w:rsid w:val="007E3609"/>
    <w:rsid w:val="00820F38"/>
    <w:rsid w:val="0098686E"/>
    <w:rsid w:val="00A553FB"/>
    <w:rsid w:val="00B36B44"/>
    <w:rsid w:val="00BB0548"/>
    <w:rsid w:val="00E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8B6"/>
  <w15:chartTrackingRefBased/>
  <w15:docId w15:val="{3E1689A5-DEAF-4D85-9855-773DA821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df330131-c858-4ee4-88ac-c72ca0047339">Deliverables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23C5DE97EC8C449728A90E9D80B77E" ma:contentTypeVersion="9" ma:contentTypeDescription="Create a new document." ma:contentTypeScope="" ma:versionID="172dfefdaa09ec729a67091cefeacf6f">
  <xsd:schema xmlns:xsd="http://www.w3.org/2001/XMLSchema" xmlns:xs="http://www.w3.org/2001/XMLSchema" xmlns:p="http://schemas.microsoft.com/office/2006/metadata/properties" xmlns:ns2="df330131-c858-4ee4-88ac-c72ca0047339" xmlns:ns3="7ed2f64d-5e9c-4166-94fb-4612dc23f8bf" targetNamespace="http://schemas.microsoft.com/office/2006/metadata/properties" ma:root="true" ma:fieldsID="db609a962932da9b8a28bd8584803a20" ns2:_="" ns3:_="">
    <xsd:import namespace="df330131-c858-4ee4-88ac-c72ca0047339"/>
    <xsd:import namespace="7ed2f64d-5e9c-4166-94fb-4612dc23f8b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30131-c858-4ee4-88ac-c72ca004733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Document Type" ma:default="Deliverables" ma:format="Dropdown" ma:internalName="Document_x0020_Type" ma:readOnly="false">
      <xsd:simpleType>
        <xsd:restriction base="dms:Choice">
          <xsd:enumeration value="Deliverables"/>
          <xsd:enumeration value="Memos"/>
          <xsd:enumeration value="Data"/>
          <xsd:enumeration value="DataAnalysis"/>
          <xsd:enumeration value="ProjectInformation"/>
          <xsd:enumeration value="meetingNotes"/>
          <xsd:enumeration value="GroundTruthMeasures"/>
          <xsd:enumeration value="HumRRO"/>
          <xsd:enumeration value="references"/>
          <xsd:enumeration value="supplementalAnalyses"/>
          <xsd:enumeration value="surveyTracking"/>
          <xsd:enumeration value="V&amp;V"/>
          <xsd:enumeration value="manualDataDownload"/>
        </xsd:restriction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2f64d-5e9c-4166-94fb-4612dc23f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98697-0FAC-475E-98B2-47019E3FF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6F00A-F98E-416A-ACF4-003DF1FB7F0D}">
  <ds:schemaRefs>
    <ds:schemaRef ds:uri="http://schemas.microsoft.com/office/2006/metadata/properties"/>
    <ds:schemaRef ds:uri="http://schemas.microsoft.com/office/infopath/2007/PartnerControls"/>
    <ds:schemaRef ds:uri="df330131-c858-4ee4-88ac-c72ca0047339"/>
  </ds:schemaRefs>
</ds:datastoreItem>
</file>

<file path=customXml/itemProps3.xml><?xml version="1.0" encoding="utf-8"?>
<ds:datastoreItem xmlns:ds="http://schemas.openxmlformats.org/officeDocument/2006/customXml" ds:itemID="{0EB8FDC2-0D54-49BB-BE52-02DC87A1E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30131-c858-4ee4-88ac-c72ca0047339"/>
    <ds:schemaRef ds:uri="7ed2f64d-5e9c-4166-94fb-4612dc23f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Dieckmann</dc:creator>
  <cp:keywords/>
  <dc:description/>
  <cp:lastModifiedBy>Royan Beltz, Jodie</cp:lastModifiedBy>
  <cp:revision>4</cp:revision>
  <dcterms:created xsi:type="dcterms:W3CDTF">2019-08-08T19:11:00Z</dcterms:created>
  <dcterms:modified xsi:type="dcterms:W3CDTF">2019-09-23T19:39:00Z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0x0101005E23C5DE97EC8C449728A90E9D80B77E</vt:lpwstr>
  </property>
</Properties>
</file>