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lljd3bfe07yu" w:id="2"/>
      <w:bookmarkEnd w:id="2"/>
      <w:r w:rsidDel="00000000" w:rsidR="00000000" w:rsidRPr="00000000">
        <w:rPr>
          <w:rFonts w:ascii="Arial" w:cs="Arial" w:eastAsia="Arial" w:hAnsi="Arial"/>
          <w:b w:val="1"/>
          <w:color w:val="161d36"/>
          <w:sz w:val="52"/>
          <w:szCs w:val="52"/>
          <w:rtl w:val="0"/>
        </w:rPr>
        <w:t xml:space="preserve">TO</w:t>
      </w:r>
      <w:r w:rsidDel="00000000" w:rsidR="00000000" w:rsidRPr="00000000">
        <w:rPr>
          <w:rFonts w:ascii="Arial" w:cs="Arial" w:eastAsia="Arial" w:hAnsi="Arial"/>
          <w:b w:val="1"/>
          <w:color w:val="161d36"/>
          <w:sz w:val="52"/>
          <w:szCs w:val="52"/>
          <w:rtl w:val="0"/>
        </w:rPr>
        <w:t xml:space="preserve">Px</w:t>
      </w:r>
      <w:r w:rsidDel="00000000" w:rsidR="00000000" w:rsidRPr="00000000">
        <w:rPr>
          <w:rFonts w:ascii="Arial" w:cs="Arial" w:eastAsia="Arial" w:hAnsi="Arial"/>
          <w:b w:val="1"/>
          <w:color w:val="161d36"/>
          <w:sz w:val="52"/>
          <w:szCs w:val="52"/>
          <w:rtl w:val="0"/>
        </w:rPr>
        <w:t xml:space="preserve">: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b w:val="1"/>
          <w:color w:val="161d36"/>
          <w:sz w:val="24"/>
          <w:szCs w:val="24"/>
          <w:rtl w:val="0"/>
        </w:rPr>
        <w:t xml:space="preserve"> </w:t>
      </w:r>
      <w:r w:rsidDel="00000000" w:rsidR="00000000" w:rsidRPr="00000000">
        <w:rPr>
          <w:rFonts w:ascii="Arial" w:cs="Arial" w:eastAsia="Arial" w:hAnsi="Arial"/>
          <w:color w:val="434343"/>
          <w:sz w:val="24"/>
          <w:szCs w:val="24"/>
          <w:rtl w:val="0"/>
        </w:rPr>
        <w:t xml:space="preserve">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4"/>
          <w:szCs w:val="24"/>
        </w:rPr>
      </w:pPr>
      <w:r w:rsidDel="00000000" w:rsidR="00000000" w:rsidRPr="00000000">
        <w:rPr>
          <w:rFonts w:ascii="Arial" w:cs="Arial" w:eastAsia="Arial" w:hAnsi="Arial"/>
          <w:b w:val="1"/>
          <w:color w:val="161d36"/>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w:t>
      </w:r>
      <w:r w:rsidDel="00000000" w:rsidR="00000000" w:rsidRPr="00000000">
        <w:rPr>
          <w:rFonts w:ascii="Arial" w:cs="Arial" w:eastAsia="Arial" w:hAnsi="Arial"/>
          <w:color w:val="161d36"/>
          <w:sz w:val="24"/>
          <w:szCs w:val="24"/>
          <w:rtl w:val="0"/>
        </w:rPr>
        <w:t xml:space="preserve">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w:t>
      </w:r>
      <w:r w:rsidDel="00000000" w:rsidR="00000000" w:rsidRPr="00000000">
        <w:rPr>
          <w:rFonts w:ascii="Arial" w:cs="Arial" w:eastAsia="Arial" w:hAnsi="Arial"/>
          <w:color w:val="ff0000"/>
          <w:sz w:val="24"/>
          <w:szCs w:val="24"/>
          <w:rtl w:val="0"/>
        </w:rPr>
        <w:t xml:space="preserve"> [agency] </w:t>
      </w:r>
      <w:r w:rsidDel="00000000" w:rsidR="00000000" w:rsidRPr="00000000">
        <w:rPr>
          <w:rFonts w:ascii="Arial" w:cs="Arial" w:eastAsia="Arial" w:hAnsi="Arial"/>
          <w:color w:val="434343"/>
          <w:sz w:val="24"/>
          <w:szCs w:val="24"/>
          <w:rtl w:val="0"/>
        </w:rPr>
        <w:t xml:space="preserve">is facilitating a TOPx sprint focused on challenges related to</w:t>
      </w:r>
      <w:r w:rsidDel="00000000" w:rsidR="00000000" w:rsidRPr="00000000">
        <w:rPr>
          <w:rFonts w:ascii="Arial" w:cs="Arial" w:eastAsia="Arial" w:hAnsi="Arial"/>
          <w:color w:val="ff0000"/>
          <w:sz w:val="24"/>
          <w:szCs w:val="24"/>
          <w:rtl w:val="0"/>
        </w:rPr>
        <w:t xml:space="preserve"> [sprint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D">
      <w:pPr>
        <w:pStyle w:val="Heading1"/>
        <w:jc w:val="center"/>
        <w:rPr>
          <w:rFonts w:ascii="Arial" w:cs="Arial" w:eastAsia="Arial" w:hAnsi="Arial"/>
          <w:b w:val="1"/>
          <w:color w:val="161d36"/>
          <w:sz w:val="72"/>
          <w:szCs w:val="72"/>
        </w:rPr>
      </w:pPr>
      <w:bookmarkStart w:colFirst="0" w:colLast="0" w:name="_z8n3ggiyj8fz"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161d36"/>
          <w:sz w:val="72"/>
          <w:szCs w:val="72"/>
        </w:rPr>
      </w:pPr>
      <w:bookmarkStart w:colFirst="0" w:colLast="0" w:name="_wfqxc4t26ah7" w:id="5"/>
      <w:bookmarkEnd w:id="5"/>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challenges</w:t>
            </w:r>
          </w:p>
          <w:p w:rsidR="00000000" w:rsidDel="00000000" w:rsidP="00000000" w:rsidRDefault="00000000" w:rsidRPr="00000000" w14:paraId="00000014">
            <w:pPr>
              <w:widowControl w:val="0"/>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6">
            <w:pPr>
              <w:widowControl w:val="0"/>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E">
            <w:pPr>
              <w:widowControl w:val="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0">
            <w:pPr>
              <w:widowControl w:val="0"/>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8">
            <w:pPr>
              <w:widowControl w:val="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A">
      <w:pPr>
        <w:pStyle w:val="Heading2"/>
        <w:jc w:val="center"/>
        <w:rPr>
          <w:rFonts w:ascii="Arial" w:cs="Arial" w:eastAsia="Arial" w:hAnsi="Arial"/>
          <w:b w:val="1"/>
          <w:color w:val="161d36"/>
          <w:sz w:val="72"/>
          <w:szCs w:val="72"/>
        </w:rPr>
      </w:pPr>
      <w:bookmarkStart w:colFirst="0" w:colLast="0" w:name="_1pmmuesdmxoq" w:id="7"/>
      <w:bookmarkEnd w:id="7"/>
      <w:r w:rsidDel="00000000" w:rsidR="00000000" w:rsidRPr="00000000">
        <w:rPr>
          <w:rFonts w:ascii="Arial" w:cs="Arial" w:eastAsia="Arial" w:hAnsi="Arial"/>
          <w:b w:val="1"/>
          <w:color w:val="161d36"/>
          <w:sz w:val="72"/>
          <w:szCs w:val="72"/>
          <w:rtl w:val="0"/>
        </w:rPr>
        <w:t xml:space="preserve">TOPx Roles</w:t>
      </w:r>
    </w:p>
    <w:p w:rsidR="00000000" w:rsidDel="00000000" w:rsidP="00000000" w:rsidRDefault="00000000" w:rsidRPr="00000000" w14:paraId="0000002B">
      <w:pPr>
        <w:widowControl w:val="0"/>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Government: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color w:val="ff0000"/>
          <w:sz w:val="20"/>
          <w:szCs w:val="20"/>
          <w:rtl w:val="0"/>
        </w:rPr>
        <w:t xml:space="preserve">[Insert agency name] </w:t>
      </w:r>
      <w:r w:rsidDel="00000000" w:rsidR="00000000" w:rsidRPr="00000000">
        <w:rPr>
          <w:rFonts w:ascii="Arial" w:cs="Arial" w:eastAsia="Arial" w:hAnsi="Arial"/>
          <w:color w:val="434343"/>
          <w:sz w:val="20"/>
          <w:szCs w:val="20"/>
          <w:rtl w:val="0"/>
        </w:rPr>
        <w:t xml:space="preserve">facilitates a technology development sprint that addresses specific challenges at the heart of its missions. While the TOPx project team within each agency facilitates the 12-week sprint, policy experts and data stewards from the agency provide feedback to the participating teams and assistance working with federal open data. Government agencies:</w:t>
      </w:r>
    </w:p>
    <w:p w:rsidR="00000000" w:rsidDel="00000000" w:rsidP="00000000" w:rsidRDefault="00000000" w:rsidRPr="00000000" w14:paraId="0000002C">
      <w:pPr>
        <w:widowControl w:val="0"/>
        <w:numPr>
          <w:ilvl w:val="0"/>
          <w:numId w:val="2"/>
        </w:numPr>
        <w:spacing w:after="200" w:before="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Develop problem statement(s) and identify relevant open datasets</w:t>
      </w:r>
    </w:p>
    <w:p w:rsidR="00000000" w:rsidDel="00000000" w:rsidP="00000000" w:rsidRDefault="00000000" w:rsidRPr="00000000" w14:paraId="0000002D">
      <w:pPr>
        <w:widowControl w:val="0"/>
        <w:numPr>
          <w:ilvl w:val="0"/>
          <w:numId w:val="2"/>
        </w:numPr>
        <w:spacing w:after="200" w:before="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Recruit sprint participants </w:t>
      </w:r>
    </w:p>
    <w:p w:rsidR="00000000" w:rsidDel="00000000" w:rsidP="00000000" w:rsidRDefault="00000000" w:rsidRPr="00000000" w14:paraId="0000002E">
      <w:pPr>
        <w:widowControl w:val="0"/>
        <w:numPr>
          <w:ilvl w:val="0"/>
          <w:numId w:val="2"/>
        </w:numPr>
        <w:spacing w:after="200" w:before="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Facilitate a 12 week technology development sprint </w:t>
      </w:r>
    </w:p>
    <w:p w:rsidR="00000000" w:rsidDel="00000000" w:rsidP="00000000" w:rsidRDefault="00000000" w:rsidRPr="00000000" w14:paraId="0000002F">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Organize and facilitate milestone calls (User Research, Data Discovery, Alpha Demo, Final Demo)</w:t>
      </w:r>
    </w:p>
    <w:p w:rsidR="00000000" w:rsidDel="00000000" w:rsidP="00000000" w:rsidRDefault="00000000" w:rsidRPr="00000000" w14:paraId="00000030">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insight related to the agency’s policy and operational areas</w:t>
      </w:r>
    </w:p>
    <w:p w:rsidR="00000000" w:rsidDel="00000000" w:rsidP="00000000" w:rsidRDefault="00000000" w:rsidRPr="00000000" w14:paraId="00000031">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Answer questions about finding and using the agency’s public data</w:t>
      </w:r>
    </w:p>
    <w:p w:rsidR="00000000" w:rsidDel="00000000" w:rsidP="00000000" w:rsidRDefault="00000000" w:rsidRPr="00000000" w14:paraId="00000032">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feedback on the products being developed</w:t>
      </w:r>
    </w:p>
    <w:p w:rsidR="00000000" w:rsidDel="00000000" w:rsidP="00000000" w:rsidRDefault="00000000" w:rsidRPr="00000000" w14:paraId="00000033">
      <w:pPr>
        <w:widowControl w:val="0"/>
        <w:numPr>
          <w:ilvl w:val="0"/>
          <w:numId w:val="2"/>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Host an (optional) in-person event during which products are launched and showcased</w:t>
      </w:r>
      <w:r w:rsidDel="00000000" w:rsidR="00000000" w:rsidRPr="00000000">
        <w:rPr>
          <w:rtl w:val="0"/>
        </w:rPr>
      </w:r>
    </w:p>
    <w:p w:rsidR="00000000" w:rsidDel="00000000" w:rsidP="00000000" w:rsidRDefault="00000000" w:rsidRPr="00000000" w14:paraId="00000034">
      <w:pPr>
        <w:pStyle w:val="Heading2"/>
        <w:rPr>
          <w:rFonts w:ascii="Arial" w:cs="Arial" w:eastAsia="Arial" w:hAnsi="Arial"/>
          <w:color w:val="434343"/>
          <w:sz w:val="20"/>
          <w:szCs w:val="20"/>
        </w:rPr>
      </w:pPr>
      <w:bookmarkStart w:colFirst="0" w:colLast="0" w:name="_j78swqpkvy8z" w:id="8"/>
      <w:bookmarkEnd w:id="8"/>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b w:val="1"/>
          <w:color w:val="014280"/>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w:t>
      </w:r>
    </w:p>
    <w:p w:rsidR="00000000" w:rsidDel="00000000" w:rsidP="00000000" w:rsidRDefault="00000000" w:rsidRPr="00000000" w14:paraId="00000035">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6">
      <w:pPr>
        <w:widowControl w:val="0"/>
        <w:spacing w:after="200" w:lineRule="auto"/>
        <w:rPr>
          <w:rFonts w:ascii="Arial" w:cs="Arial" w:eastAsia="Arial" w:hAnsi="Arial"/>
          <w:color w:val="434343"/>
          <w:sz w:val="32"/>
          <w:szCs w:val="32"/>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Community leaders, advocates, and people with direct lived experience in the target challenges (e.g. state and local government, non-profits, service providers, or individual experts). Their role is to guide tech teams in designing solutions that are realistic and useful for the target end users. </w:t>
      </w:r>
      <w:r w:rsidDel="00000000" w:rsidR="00000000" w:rsidRPr="00000000">
        <w:rPr>
          <w:rtl w:val="0"/>
        </w:rPr>
      </w:r>
    </w:p>
    <w:p w:rsidR="00000000" w:rsidDel="00000000" w:rsidP="00000000" w:rsidRDefault="00000000" w:rsidRPr="00000000" w14:paraId="00000037">
      <w:pPr>
        <w:widowControl w:val="0"/>
        <w:rPr>
          <w:rFonts w:ascii="Arial" w:cs="Arial" w:eastAsia="Arial" w:hAnsi="Arial"/>
          <w:color w:val="434343"/>
          <w:sz w:val="32"/>
          <w:szCs w:val="32"/>
        </w:rPr>
      </w:pPr>
      <w:r w:rsidDel="00000000" w:rsidR="00000000" w:rsidRPr="00000000">
        <w:rPr>
          <w:rtl w:val="0"/>
        </w:rPr>
      </w:r>
    </w:p>
    <w:p w:rsidR="00000000" w:rsidDel="00000000" w:rsidP="00000000" w:rsidRDefault="00000000" w:rsidRPr="00000000" w14:paraId="00000038">
      <w:pPr>
        <w:pStyle w:val="Heading2"/>
        <w:spacing w:after="200" w:before="0" w:line="240" w:lineRule="auto"/>
        <w:jc w:val="center"/>
        <w:rPr>
          <w:rFonts w:ascii="Arial" w:cs="Arial" w:eastAsia="Arial" w:hAnsi="Arial"/>
          <w:b w:val="1"/>
          <w:color w:val="161d36"/>
          <w:sz w:val="72"/>
          <w:szCs w:val="72"/>
        </w:rPr>
      </w:pPr>
      <w:bookmarkStart w:colFirst="0" w:colLast="0" w:name="_amuqrifsz1sg" w:id="9"/>
      <w:bookmarkEnd w:id="9"/>
      <w:r w:rsidDel="00000000" w:rsidR="00000000" w:rsidRPr="00000000">
        <w:rPr>
          <w:rFonts w:ascii="Arial" w:cs="Arial" w:eastAsia="Arial" w:hAnsi="Arial"/>
          <w:b w:val="1"/>
          <w:color w:val="161d36"/>
          <w:sz w:val="72"/>
          <w:szCs w:val="72"/>
          <w:rtl w:val="0"/>
        </w:rPr>
        <w:t xml:space="preserve">Benefits for Agencies </w:t>
      </w:r>
    </w:p>
    <w:p w:rsidR="00000000" w:rsidDel="00000000" w:rsidP="00000000" w:rsidRDefault="00000000" w:rsidRPr="00000000" w14:paraId="00000039">
      <w:pPr>
        <w:pStyle w:val="Heading2"/>
        <w:spacing w:after="200" w:before="0" w:line="240" w:lineRule="auto"/>
        <w:jc w:val="center"/>
        <w:rPr>
          <w:rFonts w:ascii="Arial" w:cs="Arial" w:eastAsia="Arial" w:hAnsi="Arial"/>
          <w:color w:val="434343"/>
        </w:rPr>
      </w:pPr>
      <w:bookmarkStart w:colFirst="0" w:colLast="0" w:name="_eyxgzb4nx458" w:id="10"/>
      <w:bookmarkEnd w:id="10"/>
      <w:r w:rsidDel="00000000" w:rsidR="00000000" w:rsidRPr="00000000">
        <w:rPr>
          <w:rFonts w:ascii="Arial" w:cs="Arial" w:eastAsia="Arial" w:hAnsi="Arial"/>
          <w:i w:val="1"/>
          <w:color w:val="434343"/>
          <w:rtl w:val="0"/>
        </w:rPr>
        <w:t xml:space="preserve">Leverage TOPx to advance your mission and activate your data.</w:t>
      </w:r>
      <w:r w:rsidDel="00000000" w:rsidR="00000000" w:rsidRPr="00000000">
        <w:rPr>
          <w:rFonts w:ascii="Arial" w:cs="Arial" w:eastAsia="Arial" w:hAnsi="Arial"/>
          <w:color w:val="434343"/>
          <w:rtl w:val="0"/>
        </w:rPr>
        <w:t xml:space="preserve"> </w:t>
        <w:br w:type="textWrapping"/>
      </w:r>
    </w:p>
    <w:p w:rsidR="00000000" w:rsidDel="00000000" w:rsidP="00000000" w:rsidRDefault="00000000" w:rsidRPr="00000000" w14:paraId="0000003A">
      <w:pPr>
        <w:widowControl w:val="0"/>
        <w:numPr>
          <w:ilvl w:val="0"/>
          <w:numId w:val="1"/>
        </w:numPr>
        <w:spacing w:after="0" w:afterAutospacing="0" w:before="200" w:lineRule="auto"/>
        <w:ind w:left="720" w:hanging="360"/>
        <w:rPr>
          <w:color w:val="434343"/>
        </w:rPr>
      </w:pPr>
      <w:r w:rsidDel="00000000" w:rsidR="00000000" w:rsidRPr="00000000">
        <w:rPr>
          <w:rFonts w:ascii="Arial" w:cs="Arial" w:eastAsia="Arial" w:hAnsi="Arial"/>
          <w:b w:val="1"/>
          <w:color w:val="014280"/>
          <w:sz w:val="26"/>
          <w:szCs w:val="26"/>
          <w:rtl w:val="0"/>
        </w:rPr>
        <w:t xml:space="preserve">Meet federal requirements to increase reuse of your data</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TOPx enables agencies to meet requirements from the Federal Data Strategy, President’s Management Agency, and Evidence Act to collaborate with industry to increase the reuse and dissemination of federal open data.  TOPx engages industry to create products that use open data to provide value to Americans and the economy. </w:t>
        <w:br w:type="textWrapping"/>
      </w:r>
    </w:p>
    <w:p w:rsidR="00000000" w:rsidDel="00000000" w:rsidP="00000000" w:rsidRDefault="00000000" w:rsidRPr="00000000" w14:paraId="0000003B">
      <w:pPr>
        <w:widowControl w:val="0"/>
        <w:numPr>
          <w:ilvl w:val="0"/>
          <w:numId w:val="1"/>
        </w:numPr>
        <w:spacing w:after="0" w:afterAutospacing="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Develop lightweight and cost-effective solutions</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TOPx is designed to make cross-sector collaboration easy and cost-effective.  Through rapid sprints, agencies can catalyze a greater volume, diversity, and quality of products than they could on their own or through traditional mechanisms.  </w:t>
        <w:br w:type="textWrapping"/>
      </w:r>
    </w:p>
    <w:p w:rsidR="00000000" w:rsidDel="00000000" w:rsidP="00000000" w:rsidRDefault="00000000" w:rsidRPr="00000000" w14:paraId="0000003C">
      <w:pPr>
        <w:widowControl w:val="0"/>
        <w:numPr>
          <w:ilvl w:val="0"/>
          <w:numId w:val="1"/>
        </w:numPr>
        <w:spacing w:after="0" w:afterAutospacing="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Catalyze innovation within your agency</w:t>
      </w:r>
      <w:r w:rsidDel="00000000" w:rsidR="00000000" w:rsidRPr="00000000">
        <w:rPr>
          <w:rFonts w:ascii="Arial" w:cs="Arial" w:eastAsia="Arial" w:hAnsi="Arial"/>
          <w:color w:val="434343"/>
          <w:sz w:val="20"/>
          <w:szCs w:val="20"/>
          <w:rtl w:val="0"/>
        </w:rPr>
        <w:br w:type="textWrapping"/>
        <w:t xml:space="preserve">Through TOPx, agency staff learn new strategies for lightweight collaboration with external stakeholders, human-centered design and agile methodology - which can also advance goals like IT modernization and improved customer experience. </w:t>
        <w:br w:type="textWrapping"/>
      </w:r>
    </w:p>
    <w:p w:rsidR="00000000" w:rsidDel="00000000" w:rsidP="00000000" w:rsidRDefault="00000000" w:rsidRPr="00000000" w14:paraId="0000003D">
      <w:pPr>
        <w:widowControl w:val="0"/>
        <w:numPr>
          <w:ilvl w:val="0"/>
          <w:numId w:val="1"/>
        </w:numPr>
        <w:spacing w:after="6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Engage with data consumers and improve data quality</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Improve data quality by engaging directly with data consumers as they work with federal data.  By participating in a sprint, agencies develop or deepen relationships with key industry stakeholders and data users, helping to better understand their target audiences and collect real time feedback on data access and quality.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rxs1eeigiud4" w:id="11"/>
      <w:bookmarkEnd w:id="11"/>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9T12:08:0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Fonts w:ascii="Poppins" w:cs="Poppins" w:eastAsia="Poppins" w:hAnsi="Poppins"/>
        <w:color w:val="545e6a"/>
        <w:sz w:val="21"/>
        <w:szCs w:val="21"/>
        <w:highlight w:val="white"/>
      </w:rPr>
      <w:drawing>
        <wp:inline distB="114300" distT="114300" distL="114300" distR="114300">
          <wp:extent cx="1201561" cy="623888"/>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01561" cy="623888"/>
                  </a:xfrm>
                  <a:prstGeom prst="rect"/>
                  <a:ln/>
                </pic:spPr>
              </pic:pic>
            </a:graphicData>
          </a:graphic>
        </wp:inline>
      </w:drawing>
    </w:r>
    <w:r w:rsidDel="00000000" w:rsidR="00000000" w:rsidRPr="00000000">
      <w:rPr>
        <w:rFonts w:ascii="Poppins" w:cs="Poppins" w:eastAsia="Poppins" w:hAnsi="Poppins"/>
        <w:color w:val="545e6a"/>
        <w:sz w:val="21"/>
        <w:szCs w:val="21"/>
        <w:highlight w:val="white"/>
        <w:rtl w:val="0"/>
      </w:rPr>
      <w:tab/>
      <w:tab/>
      <w:tab/>
      <w:tab/>
      <w:tab/>
      <w:tab/>
      <w:tab/>
      <w:tab/>
      <w:tab/>
    </w:r>
    <w:r w:rsidDel="00000000" w:rsidR="00000000" w:rsidRPr="00000000">
      <w:rPr>
        <w:rFonts w:ascii="Arial" w:cs="Arial" w:eastAsia="Arial" w:hAnsi="Arial"/>
        <w:color w:val="ff0000"/>
        <w:rtl w:val="0"/>
      </w:rPr>
      <w:t xml:space="preserve">[Agency 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