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Homepage, four tiles: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High-Performance Computing: Computer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Solutions: Graph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Customized Research Partnerships: Handshake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Education and Outread: Book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Support page, gray tiles: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 Guides: Checklist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Discourse Knowledgebase/User Forum: Comment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Frequently Asked Questions: Question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Research Computing User Portal: Door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 Services Help: Headset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Ticket Submission: Envelope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Guides page, gray tiles: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Getting Started: Flag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High-Performance Computing: Computer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Management: Graph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Software and Programming: CommandLine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Secure Computing: Lock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Condo Cluster Program: Group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