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D1F" w:rsidRPr="002D1D1F" w:rsidRDefault="002D1D1F" w:rsidP="001938F0">
      <w:pPr>
        <w:rPr>
          <w:rFonts w:eastAsia="Times New Roman" w:cs="Times New Roman"/>
          <w:lang w:eastAsia="en-GB"/>
        </w:rPr>
      </w:pPr>
      <w:r w:rsidRPr="001938F0">
        <w:rPr>
          <w:rFonts w:eastAsia="Times New Roman" w:cs="Times New Roman"/>
          <w:b/>
          <w:lang w:eastAsia="en-GB"/>
        </w:rPr>
        <w:t>Proposal Title</w:t>
      </w:r>
      <w:r w:rsidR="001938F0" w:rsidRPr="001938F0">
        <w:rPr>
          <w:rFonts w:eastAsia="Times New Roman" w:cs="Times New Roman"/>
          <w:b/>
          <w:lang w:eastAsia="en-GB"/>
        </w:rPr>
        <w:t>:</w:t>
      </w:r>
      <w:r w:rsidR="001938F0">
        <w:rPr>
          <w:rFonts w:eastAsia="Times New Roman" w:cs="Times New Roman"/>
          <w:lang w:eastAsia="en-GB"/>
        </w:rPr>
        <w:t xml:space="preserve"> </w:t>
      </w:r>
      <w:r w:rsidR="007E0E90">
        <w:rPr>
          <w:rFonts w:eastAsia="Times New Roman" w:cs="Times New Roman"/>
          <w:lang w:eastAsia="en-GB"/>
        </w:rPr>
        <w:t>C</w:t>
      </w:r>
      <w:r w:rsidR="001938F0" w:rsidRPr="001938F0">
        <w:rPr>
          <w:rFonts w:eastAsia="Times New Roman" w:cs="Times New Roman"/>
          <w:lang w:eastAsia="en-GB"/>
        </w:rPr>
        <w:t>ity</w:t>
      </w:r>
      <w:r w:rsidR="00B924C0">
        <w:rPr>
          <w:rFonts w:eastAsia="Times New Roman" w:cs="Times New Roman"/>
          <w:lang w:eastAsia="en-GB"/>
        </w:rPr>
        <w:t>-To-City Peer Review Processes f</w:t>
      </w:r>
      <w:r w:rsidR="00ED13C8" w:rsidRPr="001938F0">
        <w:rPr>
          <w:rFonts w:eastAsia="Times New Roman" w:cs="Times New Roman"/>
          <w:lang w:eastAsia="en-GB"/>
        </w:rPr>
        <w:t>or Disaster Risk Reduction</w:t>
      </w:r>
      <w:r w:rsidR="00B924C0">
        <w:rPr>
          <w:rFonts w:eastAsia="Times New Roman" w:cs="Times New Roman"/>
          <w:lang w:eastAsia="en-GB"/>
        </w:rPr>
        <w:t xml:space="preserve"> a</w:t>
      </w:r>
      <w:r w:rsidR="00ED13C8">
        <w:rPr>
          <w:rFonts w:eastAsia="Times New Roman" w:cs="Times New Roman"/>
          <w:lang w:eastAsia="en-GB"/>
        </w:rPr>
        <w:t>nd Resilience Building</w:t>
      </w:r>
      <w:r w:rsidR="00ED13C8" w:rsidRPr="001938F0">
        <w:rPr>
          <w:rFonts w:eastAsia="Times New Roman" w:cs="Times New Roman"/>
          <w:lang w:eastAsia="en-GB"/>
        </w:rPr>
        <w:t xml:space="preserve">: </w:t>
      </w:r>
      <w:r w:rsidR="001938F0" w:rsidRPr="001938F0">
        <w:rPr>
          <w:rFonts w:eastAsia="Times New Roman" w:cs="Times New Roman"/>
          <w:lang w:eastAsia="en-GB"/>
        </w:rPr>
        <w:t xml:space="preserve">A </w:t>
      </w:r>
      <w:r w:rsidR="00ED13C8" w:rsidRPr="001938F0">
        <w:rPr>
          <w:rFonts w:eastAsia="Times New Roman" w:cs="Times New Roman"/>
          <w:lang w:eastAsia="en-GB"/>
        </w:rPr>
        <w:t>Literature Review</w:t>
      </w:r>
    </w:p>
    <w:p w:rsidR="00420810" w:rsidRPr="00B924C0" w:rsidRDefault="00420810" w:rsidP="00420810">
      <w:pPr>
        <w:spacing w:after="0" w:line="240" w:lineRule="auto"/>
        <w:rPr>
          <w:rFonts w:eastAsia="Times New Roman" w:cs="Times New Roman"/>
          <w:b/>
          <w:lang w:eastAsia="en-GB"/>
        </w:rPr>
      </w:pPr>
      <w:bookmarkStart w:id="0" w:name="_GoBack"/>
      <w:bookmarkEnd w:id="0"/>
    </w:p>
    <w:p w:rsidR="00A422D1" w:rsidRPr="00A422D1" w:rsidRDefault="00A422D1" w:rsidP="000F246D">
      <w:pPr>
        <w:rPr>
          <w:b/>
        </w:rPr>
      </w:pPr>
      <w:r>
        <w:rPr>
          <w:b/>
        </w:rPr>
        <w:t>Research Proposal</w:t>
      </w:r>
    </w:p>
    <w:p w:rsidR="00F17963" w:rsidRDefault="007E36B6" w:rsidP="000F246D">
      <w:r>
        <w:t xml:space="preserve">We propose to present the findings of a systematic literature review </w:t>
      </w:r>
      <w:r w:rsidR="004B3802">
        <w:t xml:space="preserve">(SLR) </w:t>
      </w:r>
      <w:r w:rsidRPr="007E36B6">
        <w:t xml:space="preserve">addressing </w:t>
      </w:r>
      <w:r>
        <w:t xml:space="preserve">city-city </w:t>
      </w:r>
      <w:r w:rsidRPr="007E36B6">
        <w:t>peer review and resilience building</w:t>
      </w:r>
      <w:r>
        <w:t xml:space="preserve">. </w:t>
      </w:r>
      <w:r w:rsidR="00F17963">
        <w:t>Resilience building through peer review focuses on the ways in which systems and societies can resist, absorb, and recover from disasters</w:t>
      </w:r>
      <w:r w:rsidR="00C03C43">
        <w:t xml:space="preserve"> utiliz</w:t>
      </w:r>
      <w:r w:rsidR="00F17963">
        <w:t xml:space="preserve">ing </w:t>
      </w:r>
      <w:r w:rsidR="00F17963" w:rsidRPr="00F17963">
        <w:t xml:space="preserve">a systematic </w:t>
      </w:r>
      <w:r w:rsidR="00554771">
        <w:t xml:space="preserve">peer review </w:t>
      </w:r>
      <w:r w:rsidR="00F17963" w:rsidRPr="00F17963">
        <w:t>process</w:t>
      </w:r>
      <w:r w:rsidR="00F17963">
        <w:t xml:space="preserve">. Peer reviews encourage cities </w:t>
      </w:r>
      <w:r w:rsidR="00F17963" w:rsidRPr="00F17963">
        <w:t xml:space="preserve">to invite others to </w:t>
      </w:r>
      <w:r w:rsidR="00554771">
        <w:t>assess</w:t>
      </w:r>
      <w:r w:rsidR="00F17963" w:rsidRPr="00F17963">
        <w:t xml:space="preserve"> policy and practice, identify best practice, and highlight areas for development (Casey and Gold, 2005; </w:t>
      </w:r>
      <w:proofErr w:type="spellStart"/>
      <w:r w:rsidR="00F17963" w:rsidRPr="00F17963">
        <w:t>Pagani</w:t>
      </w:r>
      <w:proofErr w:type="spellEnd"/>
      <w:r w:rsidR="00F17963" w:rsidRPr="00F17963">
        <w:t xml:space="preserve">, 2002). </w:t>
      </w:r>
    </w:p>
    <w:p w:rsidR="00D358B9" w:rsidRDefault="00F17963" w:rsidP="00D358B9">
      <w:r>
        <w:t xml:space="preserve">These processes facilitate </w:t>
      </w:r>
      <w:r w:rsidRPr="00F17963">
        <w:t>mutual learning and knowledge exchange</w:t>
      </w:r>
      <w:r w:rsidR="00D358B9">
        <w:t xml:space="preserve"> and provide local governments with access to independent expert critiques of their disaster risk reduction (DRR) and resilience strategies</w:t>
      </w:r>
      <w:r w:rsidRPr="00F17963">
        <w:t>.</w:t>
      </w:r>
      <w:r w:rsidR="00D358B9">
        <w:t xml:space="preserve"> We use the UN “Making Cities Resilient Campaign” (MCR) as an organi</w:t>
      </w:r>
      <w:r w:rsidR="00C03C43">
        <w:t>z</w:t>
      </w:r>
      <w:r w:rsidR="00D358B9">
        <w:t>ing framework to understand the literature on city peer review processes</w:t>
      </w:r>
      <w:r w:rsidR="00554771">
        <w:t xml:space="preserve"> due to its </w:t>
      </w:r>
      <w:r w:rsidR="00554771" w:rsidRPr="00554771">
        <w:t>widespread membership and more inc</w:t>
      </w:r>
      <w:r w:rsidR="00C03C43">
        <w:t>lusive campaign to strengthen</w:t>
      </w:r>
      <w:r w:rsidR="00554771" w:rsidRPr="00554771">
        <w:t xml:space="preserve"> urban resilience globally</w:t>
      </w:r>
      <w:r w:rsidR="00554771">
        <w:t>; 3560 city a</w:t>
      </w:r>
      <w:r w:rsidR="00554771" w:rsidRPr="00D358B9">
        <w:t>dministrators</w:t>
      </w:r>
      <w:r w:rsidR="00D358B9" w:rsidRPr="00D358B9">
        <w:t xml:space="preserve"> </w:t>
      </w:r>
      <w:r w:rsidR="00D358B9">
        <w:t>have pledged</w:t>
      </w:r>
      <w:r w:rsidR="00D358B9" w:rsidRPr="00D358B9">
        <w:t xml:space="preserve"> to work through its frameworks since its launch in 2010 (UNISDR, </w:t>
      </w:r>
      <w:proofErr w:type="spellStart"/>
      <w:r w:rsidR="00D358B9" w:rsidRPr="00D358B9">
        <w:t>n.d</w:t>
      </w:r>
      <w:proofErr w:type="spellEnd"/>
      <w:r w:rsidR="00D358B9" w:rsidRPr="00D358B9">
        <w:t xml:space="preserve">, a). </w:t>
      </w:r>
    </w:p>
    <w:p w:rsidR="00554771" w:rsidRDefault="00D358B9" w:rsidP="00D358B9">
      <w:r w:rsidRPr="00D358B9">
        <w:t>Given the momentum be</w:t>
      </w:r>
      <w:r w:rsidR="00554771">
        <w:t xml:space="preserve">hind the MCR campaign, and </w:t>
      </w:r>
      <w:r w:rsidRPr="00D358B9">
        <w:t>the increasing focus of public administration in emergency management (</w:t>
      </w:r>
      <w:proofErr w:type="spellStart"/>
      <w:r w:rsidRPr="00D358B9">
        <w:t>Henstra</w:t>
      </w:r>
      <w:proofErr w:type="spellEnd"/>
      <w:r w:rsidRPr="00D358B9">
        <w:t xml:space="preserve">, 2010; Waugh and </w:t>
      </w:r>
      <w:proofErr w:type="spellStart"/>
      <w:r w:rsidRPr="00D358B9">
        <w:t>Streib</w:t>
      </w:r>
      <w:proofErr w:type="spellEnd"/>
      <w:r w:rsidRPr="00D358B9">
        <w:t>, 2006)</w:t>
      </w:r>
      <w:r w:rsidR="00554771">
        <w:t xml:space="preserve">, and </w:t>
      </w:r>
      <w:r w:rsidRPr="00D358B9">
        <w:t xml:space="preserve">peer reviews (Mitchell et al., 2015), it is </w:t>
      </w:r>
      <w:r w:rsidR="00440200">
        <w:t>apt</w:t>
      </w:r>
      <w:r w:rsidRPr="00D358B9">
        <w:t xml:space="preserve"> to consider city peer reviews </w:t>
      </w:r>
      <w:r w:rsidR="00554771">
        <w:t xml:space="preserve">within the DRR domain. </w:t>
      </w:r>
      <w:r w:rsidR="004B3802">
        <w:t xml:space="preserve">A SLR </w:t>
      </w:r>
      <w:r w:rsidR="00554771" w:rsidRPr="00554771">
        <w:t>in this field presents a unique opportunity to examine this nascent field. We are not aware of any such review which addresses this important topic and unifies the disparate literatures associated with it.</w:t>
      </w:r>
    </w:p>
    <w:p w:rsidR="00554771" w:rsidRDefault="00554771" w:rsidP="00D358B9">
      <w:r>
        <w:t>The aim of this research is to</w:t>
      </w:r>
      <w:r w:rsidRPr="00554771">
        <w:t xml:space="preserve"> synthesise current debates concerning city peer reviews – helping to advance research, practice</w:t>
      </w:r>
      <w:r>
        <w:t>,</w:t>
      </w:r>
      <w:r w:rsidRPr="00554771">
        <w:t xml:space="preserve"> development of MCR</w:t>
      </w:r>
      <w:r>
        <w:t>, and wider resilience building</w:t>
      </w:r>
      <w:r w:rsidRPr="00554771">
        <w:t xml:space="preserve"> concepts.</w:t>
      </w:r>
      <w:r>
        <w:t xml:space="preserve"> We aim to</w:t>
      </w:r>
      <w:r w:rsidRPr="00554771">
        <w:t xml:space="preserve"> id</w:t>
      </w:r>
      <w:r>
        <w:t>entify</w:t>
      </w:r>
      <w:r w:rsidRPr="00554771">
        <w:t xml:space="preserve"> </w:t>
      </w:r>
      <w:r w:rsidR="00440200">
        <w:t>the ways in which</w:t>
      </w:r>
      <w:r w:rsidRPr="00554771">
        <w:t xml:space="preserve"> peer reviews</w:t>
      </w:r>
      <w:r w:rsidR="00440200">
        <w:t xml:space="preserve"> have been addressed in research</w:t>
      </w:r>
      <w:r w:rsidRPr="00554771">
        <w:t>, what gaps for research remain</w:t>
      </w:r>
      <w:r w:rsidR="00C03C43">
        <w:t>,</w:t>
      </w:r>
      <w:r w:rsidRPr="00554771">
        <w:t xml:space="preserve"> and what new opportunities exist for MCR. </w:t>
      </w:r>
      <w:r>
        <w:t xml:space="preserve">We </w:t>
      </w:r>
      <w:r w:rsidR="00A422D1">
        <w:t xml:space="preserve">will </w:t>
      </w:r>
      <w:r>
        <w:t>achieve th</w:t>
      </w:r>
      <w:r w:rsidR="00C03C43">
        <w:t xml:space="preserve">is through </w:t>
      </w:r>
      <w:r w:rsidR="00C03C43" w:rsidRPr="00C03C43">
        <w:rPr>
          <w:lang w:val="en-US"/>
        </w:rPr>
        <w:t>analyz</w:t>
      </w:r>
      <w:r w:rsidRPr="00C03C43">
        <w:rPr>
          <w:lang w:val="en-US"/>
        </w:rPr>
        <w:t>ing</w:t>
      </w:r>
      <w:r>
        <w:t xml:space="preserve"> </w:t>
      </w:r>
      <w:r w:rsidR="00D358B9" w:rsidRPr="00D358B9">
        <w:t>differences in</w:t>
      </w:r>
      <w:r w:rsidRPr="00554771">
        <w:t xml:space="preserve"> </w:t>
      </w:r>
      <w:r w:rsidRPr="00D358B9">
        <w:t>academic and non-academic literature</w:t>
      </w:r>
      <w:r>
        <w:t xml:space="preserve"> in relation to:</w:t>
      </w:r>
    </w:p>
    <w:p w:rsidR="00554771" w:rsidRDefault="00554771" w:rsidP="00554771">
      <w:pPr>
        <w:pStyle w:val="ListParagraph"/>
        <w:numPr>
          <w:ilvl w:val="0"/>
          <w:numId w:val="2"/>
        </w:numPr>
      </w:pPr>
      <w:r w:rsidRPr="00D358B9">
        <w:t>use of terminology</w:t>
      </w:r>
      <w:r>
        <w:t>;</w:t>
      </w:r>
      <w:r w:rsidR="00D358B9" w:rsidRPr="00D358B9">
        <w:t xml:space="preserve"> </w:t>
      </w:r>
    </w:p>
    <w:p w:rsidR="00554771" w:rsidRDefault="00D358B9" w:rsidP="00554771">
      <w:pPr>
        <w:pStyle w:val="ListParagraph"/>
        <w:numPr>
          <w:ilvl w:val="0"/>
          <w:numId w:val="2"/>
        </w:numPr>
      </w:pPr>
      <w:r w:rsidRPr="00D358B9">
        <w:t>c</w:t>
      </w:r>
      <w:r w:rsidR="00C03C43">
        <w:t>onceptualiz</w:t>
      </w:r>
      <w:r w:rsidRPr="00D358B9">
        <w:t>ation</w:t>
      </w:r>
      <w:r w:rsidR="00554771">
        <w:t>s of</w:t>
      </w:r>
      <w:r w:rsidRPr="00D358B9">
        <w:t xml:space="preserve"> disaster resilience</w:t>
      </w:r>
      <w:r w:rsidR="00554771">
        <w:t>;</w:t>
      </w:r>
    </w:p>
    <w:p w:rsidR="00554771" w:rsidRDefault="00554771" w:rsidP="00554771">
      <w:pPr>
        <w:pStyle w:val="ListParagraph"/>
        <w:numPr>
          <w:ilvl w:val="0"/>
          <w:numId w:val="2"/>
        </w:numPr>
      </w:pPr>
      <w:r>
        <w:t>measures of resilience;</w:t>
      </w:r>
      <w:r w:rsidR="00D358B9" w:rsidRPr="00D358B9">
        <w:t xml:space="preserve"> </w:t>
      </w:r>
    </w:p>
    <w:p w:rsidR="00554771" w:rsidRDefault="00D358B9" w:rsidP="00554771">
      <w:pPr>
        <w:pStyle w:val="ListParagraph"/>
        <w:numPr>
          <w:ilvl w:val="0"/>
          <w:numId w:val="2"/>
        </w:numPr>
      </w:pPr>
      <w:r w:rsidRPr="00D358B9">
        <w:t>a</w:t>
      </w:r>
      <w:r w:rsidR="00440200">
        <w:t>pplication of the 10 essentials in the peer review literature;</w:t>
      </w:r>
    </w:p>
    <w:p w:rsidR="00440200" w:rsidRDefault="00440200" w:rsidP="00554771">
      <w:pPr>
        <w:pStyle w:val="ListParagraph"/>
        <w:numPr>
          <w:ilvl w:val="0"/>
          <w:numId w:val="2"/>
        </w:numPr>
      </w:pPr>
      <w:proofErr w:type="gramStart"/>
      <w:r>
        <w:t>implications</w:t>
      </w:r>
      <w:proofErr w:type="gramEnd"/>
      <w:r>
        <w:t xml:space="preserve"> for theory and practice in DRR and resilience</w:t>
      </w:r>
      <w:r w:rsidR="00C03C43">
        <w:t xml:space="preserve"> building</w:t>
      </w:r>
      <w:r>
        <w:t xml:space="preserve">. </w:t>
      </w:r>
    </w:p>
    <w:p w:rsidR="00440200" w:rsidRDefault="007E36B6" w:rsidP="000F246D">
      <w:r>
        <w:t xml:space="preserve">We </w:t>
      </w:r>
      <w:r w:rsidR="00440200">
        <w:t xml:space="preserve">expect to submit a full paper for review to ASPA, with the aim of receiving invaluable feedback to support publication in </w:t>
      </w:r>
      <w:r>
        <w:t>Public Administration Review</w:t>
      </w:r>
      <w:r w:rsidR="00440200">
        <w:t xml:space="preserve">. </w:t>
      </w:r>
    </w:p>
    <w:p w:rsidR="00AE7BFB" w:rsidRDefault="00440200" w:rsidP="000F246D">
      <w:r>
        <w:t xml:space="preserve">The rest of this </w:t>
      </w:r>
      <w:r w:rsidR="00B924C0">
        <w:t>paper</w:t>
      </w:r>
      <w:r>
        <w:t xml:space="preserve"> presents an introduction </w:t>
      </w:r>
      <w:r w:rsidR="00B924C0">
        <w:t xml:space="preserve">to the </w:t>
      </w:r>
      <w:r w:rsidR="004B3802">
        <w:t>SLR</w:t>
      </w:r>
      <w:r>
        <w:t>, the methodology,</w:t>
      </w:r>
      <w:r w:rsidR="00A422D1">
        <w:t xml:space="preserve"> and </w:t>
      </w:r>
      <w:r w:rsidR="00B924C0">
        <w:t xml:space="preserve">due to space restrictions </w:t>
      </w:r>
      <w:r w:rsidR="00A422D1">
        <w:t>some examples of our findings</w:t>
      </w:r>
      <w:r>
        <w:t xml:space="preserve">. </w:t>
      </w:r>
    </w:p>
    <w:p w:rsidR="00A422D1" w:rsidRPr="00A422D1" w:rsidRDefault="00A422D1" w:rsidP="000F246D">
      <w:pPr>
        <w:rPr>
          <w:b/>
        </w:rPr>
      </w:pPr>
      <w:r w:rsidRPr="00A422D1">
        <w:rPr>
          <w:b/>
        </w:rPr>
        <w:lastRenderedPageBreak/>
        <w:t>Introduction</w:t>
      </w:r>
    </w:p>
    <w:p w:rsidR="000F246D" w:rsidRPr="000F246D" w:rsidRDefault="000F246D" w:rsidP="000F246D">
      <w:r w:rsidRPr="000F246D">
        <w:t>The expansion of urban environments increases the challenges for city administrators who protect residents and governance systems against risks (Christensen et al., 2016). The increased frequency, severity and size of disasters puts particular strains on public bodies (Comfort et al., 2012) to ass</w:t>
      </w:r>
      <w:r>
        <w:t xml:space="preserve">ess risks, vulnerabilities, </w:t>
      </w:r>
      <w:r w:rsidRPr="000F246D">
        <w:t>resource availability (</w:t>
      </w:r>
      <w:proofErr w:type="spellStart"/>
      <w:r w:rsidRPr="000F246D">
        <w:t>Henstra</w:t>
      </w:r>
      <w:proofErr w:type="spellEnd"/>
      <w:r w:rsidRPr="000F246D">
        <w:t>, 2010)</w:t>
      </w:r>
      <w:r>
        <w:t>,</w:t>
      </w:r>
      <w:r w:rsidRPr="000F246D">
        <w:t xml:space="preserve"> and prepare adequate disaster response</w:t>
      </w:r>
      <w:r>
        <w:t>s</w:t>
      </w:r>
      <w:r w:rsidRPr="000F246D">
        <w:t xml:space="preserve"> (Christensen et al., 2016). </w:t>
      </w:r>
    </w:p>
    <w:p w:rsidR="00CE68DE" w:rsidRDefault="000F246D" w:rsidP="00CE68DE">
      <w:r w:rsidRPr="000F246D">
        <w:t>DRR and resilience campaigns such as 100 Resilient Cities (100RC) (</w:t>
      </w:r>
      <w:proofErr w:type="spellStart"/>
      <w:r w:rsidRPr="000F246D">
        <w:t>Rockerfeller</w:t>
      </w:r>
      <w:proofErr w:type="spellEnd"/>
      <w:r w:rsidRPr="000F246D">
        <w:t xml:space="preserve"> and AECOM) and Making Cities Resilient (MCR) (United Nations Office for Disaster Risk Reduction</w:t>
      </w:r>
      <w:r w:rsidR="00C03C43">
        <w:t>)</w:t>
      </w:r>
      <w:r w:rsidRPr="000F246D">
        <w:t xml:space="preserve"> (UNISDR) have been developed to work with cities and citizens to build resilience into city systems. The aim is to achieve </w:t>
      </w:r>
      <w:r>
        <w:t>resilience</w:t>
      </w:r>
      <w:r w:rsidRPr="000F246D">
        <w:t xml:space="preserve"> by increasing capabilities, sharing best practices, providing management tools, measuring resilience and setting targets, </w:t>
      </w:r>
      <w:r w:rsidR="00C03C43">
        <w:t xml:space="preserve">and </w:t>
      </w:r>
      <w:r w:rsidRPr="000F246D">
        <w:t xml:space="preserve">facilitating peer reviews (100RC, </w:t>
      </w:r>
      <w:proofErr w:type="spellStart"/>
      <w:r w:rsidRPr="000F246D">
        <w:t>n.d</w:t>
      </w:r>
      <w:proofErr w:type="spellEnd"/>
      <w:r w:rsidRPr="000F246D">
        <w:t xml:space="preserve">; UNISDR, </w:t>
      </w:r>
      <w:proofErr w:type="spellStart"/>
      <w:r w:rsidRPr="000F246D">
        <w:t>n.d</w:t>
      </w:r>
      <w:proofErr w:type="spellEnd"/>
      <w:r w:rsidRPr="000F246D">
        <w:t xml:space="preserve">, a). </w:t>
      </w:r>
    </w:p>
    <w:p w:rsidR="00CE68DE" w:rsidRPr="000F246D" w:rsidRDefault="00CE68DE" w:rsidP="00CE68DE">
      <w:pPr>
        <w:rPr>
          <w:szCs w:val="22"/>
        </w:rPr>
      </w:pPr>
      <w:r w:rsidRPr="000F246D">
        <w:t xml:space="preserve">MCR details ten </w:t>
      </w:r>
      <w:r w:rsidRPr="000F246D">
        <w:rPr>
          <w:szCs w:val="22"/>
        </w:rPr>
        <w:t xml:space="preserve">“critical and independent steps” (called the ‘10 </w:t>
      </w:r>
      <w:r w:rsidRPr="000F246D">
        <w:t xml:space="preserve">essentials’) for building </w:t>
      </w:r>
      <w:r w:rsidRPr="000F246D">
        <w:rPr>
          <w:szCs w:val="22"/>
        </w:rPr>
        <w:t xml:space="preserve">and maintaining city </w:t>
      </w:r>
      <w:r w:rsidRPr="000F246D">
        <w:t xml:space="preserve">resilience (UNISDR, </w:t>
      </w:r>
      <w:proofErr w:type="spellStart"/>
      <w:r w:rsidRPr="000F246D">
        <w:t>n.d</w:t>
      </w:r>
      <w:proofErr w:type="spellEnd"/>
      <w:r w:rsidRPr="000F246D">
        <w:t xml:space="preserve">, a; </w:t>
      </w:r>
      <w:r w:rsidR="00AE7BFB">
        <w:rPr>
          <w:szCs w:val="22"/>
        </w:rPr>
        <w:t xml:space="preserve">UNISDR, </w:t>
      </w:r>
      <w:proofErr w:type="spellStart"/>
      <w:r w:rsidR="00AE7BFB">
        <w:rPr>
          <w:szCs w:val="22"/>
        </w:rPr>
        <w:t>n.d</w:t>
      </w:r>
      <w:proofErr w:type="spellEnd"/>
      <w:r w:rsidR="00AE7BFB">
        <w:rPr>
          <w:szCs w:val="22"/>
        </w:rPr>
        <w:t>, b), they ar</w:t>
      </w:r>
      <w:r w:rsidR="0050300A">
        <w:rPr>
          <w:szCs w:val="22"/>
        </w:rPr>
        <w:t>e:</w:t>
      </w:r>
    </w:p>
    <w:p w:rsidR="00CE68DE" w:rsidRPr="000F246D" w:rsidRDefault="00FA0BE9" w:rsidP="00CE68DE">
      <w:pPr>
        <w:spacing w:after="0"/>
        <w:ind w:left="720"/>
        <w:rPr>
          <w:szCs w:val="22"/>
        </w:rPr>
      </w:pPr>
      <w:r>
        <w:rPr>
          <w:szCs w:val="22"/>
        </w:rPr>
        <w:t>1.</w:t>
      </w:r>
      <w:r>
        <w:rPr>
          <w:szCs w:val="22"/>
        </w:rPr>
        <w:tab/>
        <w:t>Organiz</w:t>
      </w:r>
      <w:r w:rsidR="00CE68DE" w:rsidRPr="000F246D">
        <w:rPr>
          <w:szCs w:val="22"/>
        </w:rPr>
        <w:t xml:space="preserve">e for disaster resilience; </w:t>
      </w:r>
    </w:p>
    <w:p w:rsidR="00CE68DE" w:rsidRPr="000F246D" w:rsidRDefault="00CE68DE" w:rsidP="00CE68DE">
      <w:pPr>
        <w:spacing w:after="0"/>
        <w:ind w:left="720"/>
        <w:rPr>
          <w:szCs w:val="22"/>
        </w:rPr>
      </w:pPr>
      <w:r w:rsidRPr="000F246D">
        <w:rPr>
          <w:szCs w:val="22"/>
        </w:rPr>
        <w:t>2.</w:t>
      </w:r>
      <w:r w:rsidRPr="000F246D">
        <w:rPr>
          <w:szCs w:val="22"/>
        </w:rPr>
        <w:tab/>
        <w:t xml:space="preserve">Identify, understand and use current and future risk scenarios; </w:t>
      </w:r>
    </w:p>
    <w:p w:rsidR="00CE68DE" w:rsidRPr="000F246D" w:rsidRDefault="00CE68DE" w:rsidP="00CE68DE">
      <w:pPr>
        <w:spacing w:after="0"/>
        <w:ind w:left="720"/>
        <w:rPr>
          <w:szCs w:val="22"/>
        </w:rPr>
      </w:pPr>
      <w:r w:rsidRPr="000F246D">
        <w:rPr>
          <w:szCs w:val="22"/>
        </w:rPr>
        <w:t>3.</w:t>
      </w:r>
      <w:r w:rsidRPr="000F246D">
        <w:rPr>
          <w:szCs w:val="22"/>
        </w:rPr>
        <w:tab/>
        <w:t xml:space="preserve">Strengthen financial capacity for resilience; </w:t>
      </w:r>
    </w:p>
    <w:p w:rsidR="00CE68DE" w:rsidRPr="000F246D" w:rsidRDefault="00CE68DE" w:rsidP="00CE68DE">
      <w:pPr>
        <w:spacing w:after="0"/>
        <w:ind w:left="720"/>
        <w:rPr>
          <w:szCs w:val="22"/>
        </w:rPr>
      </w:pPr>
      <w:r w:rsidRPr="000F246D">
        <w:rPr>
          <w:szCs w:val="22"/>
        </w:rPr>
        <w:t>4.</w:t>
      </w:r>
      <w:r w:rsidRPr="000F246D">
        <w:rPr>
          <w:szCs w:val="22"/>
        </w:rPr>
        <w:tab/>
        <w:t xml:space="preserve">Pursue resilient urban development and design; </w:t>
      </w:r>
    </w:p>
    <w:p w:rsidR="00CE68DE" w:rsidRPr="000F246D" w:rsidRDefault="00CE68DE" w:rsidP="00CE68DE">
      <w:pPr>
        <w:spacing w:after="0"/>
        <w:ind w:left="720"/>
        <w:rPr>
          <w:szCs w:val="22"/>
        </w:rPr>
      </w:pPr>
      <w:r w:rsidRPr="000F246D">
        <w:rPr>
          <w:szCs w:val="22"/>
        </w:rPr>
        <w:t>5.</w:t>
      </w:r>
      <w:r w:rsidRPr="000F246D">
        <w:rPr>
          <w:szCs w:val="22"/>
        </w:rPr>
        <w:tab/>
        <w:t xml:space="preserve">Safeguard natural buffers to enhance ecosystems’ protective functions; </w:t>
      </w:r>
    </w:p>
    <w:p w:rsidR="00CE68DE" w:rsidRPr="000F246D" w:rsidRDefault="00CE68DE" w:rsidP="00CE68DE">
      <w:pPr>
        <w:spacing w:after="0"/>
        <w:ind w:left="720"/>
        <w:rPr>
          <w:szCs w:val="22"/>
        </w:rPr>
      </w:pPr>
      <w:r w:rsidRPr="000F246D">
        <w:rPr>
          <w:szCs w:val="22"/>
        </w:rPr>
        <w:t>6.</w:t>
      </w:r>
      <w:r w:rsidRPr="000F246D">
        <w:rPr>
          <w:szCs w:val="22"/>
        </w:rPr>
        <w:tab/>
        <w:t xml:space="preserve">Strengthen institutional capacity for resilience; </w:t>
      </w:r>
    </w:p>
    <w:p w:rsidR="00CE68DE" w:rsidRPr="000F246D" w:rsidRDefault="00CE68DE" w:rsidP="00CE68DE">
      <w:pPr>
        <w:spacing w:after="0"/>
        <w:ind w:left="720"/>
        <w:rPr>
          <w:szCs w:val="22"/>
        </w:rPr>
      </w:pPr>
      <w:r w:rsidRPr="000F246D">
        <w:rPr>
          <w:szCs w:val="22"/>
        </w:rPr>
        <w:t>7.</w:t>
      </w:r>
      <w:r w:rsidRPr="000F246D">
        <w:rPr>
          <w:szCs w:val="22"/>
        </w:rPr>
        <w:tab/>
        <w:t xml:space="preserve">Understand and strengthen societal capacity for resilience; </w:t>
      </w:r>
    </w:p>
    <w:p w:rsidR="00CE68DE" w:rsidRPr="000F246D" w:rsidRDefault="00CE68DE" w:rsidP="00CE68DE">
      <w:pPr>
        <w:spacing w:after="0"/>
        <w:ind w:left="720"/>
        <w:rPr>
          <w:szCs w:val="22"/>
        </w:rPr>
      </w:pPr>
      <w:r w:rsidRPr="000F246D">
        <w:rPr>
          <w:szCs w:val="22"/>
        </w:rPr>
        <w:t>8.</w:t>
      </w:r>
      <w:r w:rsidRPr="000F246D">
        <w:rPr>
          <w:szCs w:val="22"/>
        </w:rPr>
        <w:tab/>
        <w:t xml:space="preserve">Increase infrastructure resilience; </w:t>
      </w:r>
    </w:p>
    <w:p w:rsidR="00CE68DE" w:rsidRPr="000F246D" w:rsidRDefault="00CE68DE" w:rsidP="00CE68DE">
      <w:pPr>
        <w:spacing w:after="0"/>
        <w:ind w:left="720"/>
        <w:rPr>
          <w:szCs w:val="22"/>
        </w:rPr>
      </w:pPr>
      <w:r w:rsidRPr="000F246D">
        <w:rPr>
          <w:szCs w:val="22"/>
        </w:rPr>
        <w:t>9.</w:t>
      </w:r>
      <w:r w:rsidRPr="000F246D">
        <w:rPr>
          <w:szCs w:val="22"/>
        </w:rPr>
        <w:tab/>
        <w:t xml:space="preserve">Ensure effective disaster response; </w:t>
      </w:r>
    </w:p>
    <w:p w:rsidR="00CE68DE" w:rsidRPr="000F246D" w:rsidRDefault="00CE68DE" w:rsidP="00CE68DE">
      <w:pPr>
        <w:spacing w:after="0"/>
        <w:ind w:left="720"/>
        <w:rPr>
          <w:szCs w:val="22"/>
        </w:rPr>
      </w:pPr>
      <w:r w:rsidRPr="000F246D">
        <w:rPr>
          <w:szCs w:val="22"/>
        </w:rPr>
        <w:t>10.</w:t>
      </w:r>
      <w:r w:rsidRPr="000F246D">
        <w:rPr>
          <w:szCs w:val="22"/>
        </w:rPr>
        <w:tab/>
        <w:t>Expedite recovery and build back better.</w:t>
      </w:r>
    </w:p>
    <w:p w:rsidR="00CE68DE" w:rsidRPr="000F246D" w:rsidRDefault="00CE68DE" w:rsidP="00CE68DE">
      <w:pPr>
        <w:spacing w:after="0"/>
        <w:rPr>
          <w:rFonts w:cs="Times New Roman"/>
        </w:rPr>
      </w:pPr>
    </w:p>
    <w:p w:rsidR="00A422D1" w:rsidRDefault="00A422D1" w:rsidP="000F246D">
      <w:pPr>
        <w:rPr>
          <w:b/>
          <w:u w:val="single"/>
        </w:rPr>
      </w:pPr>
      <w:r w:rsidRPr="00A422D1">
        <w:rPr>
          <w:b/>
        </w:rPr>
        <w:t>Methodology</w:t>
      </w:r>
    </w:p>
    <w:p w:rsidR="000F246D" w:rsidRPr="000F246D" w:rsidRDefault="000F246D" w:rsidP="000F246D">
      <w:pPr>
        <w:rPr>
          <w:b/>
          <w:i/>
        </w:rPr>
      </w:pPr>
      <w:r w:rsidRPr="004B3802">
        <w:t>We</w:t>
      </w:r>
      <w:r w:rsidRPr="000F246D">
        <w:t xml:space="preserve"> use a </w:t>
      </w:r>
      <w:r w:rsidR="004B3802">
        <w:t>SLR</w:t>
      </w:r>
      <w:r w:rsidRPr="000F246D">
        <w:t xml:space="preserve"> to structure </w:t>
      </w:r>
      <w:r w:rsidRPr="000F246D">
        <w:rPr>
          <w:rFonts w:cs="Times New Roman"/>
        </w:rPr>
        <w:t xml:space="preserve">searching and sorting of the </w:t>
      </w:r>
      <w:r w:rsidRPr="000F246D">
        <w:t xml:space="preserve">literature on peer review processes to support city resilience. </w:t>
      </w:r>
      <w:r w:rsidRPr="000F246D">
        <w:rPr>
          <w:rFonts w:eastAsia="Times New Roman" w:cs="Times New Roman"/>
        </w:rPr>
        <w:t>SLRs are particularly useful for developing new knowledge applicable to policy and practice (</w:t>
      </w:r>
      <w:proofErr w:type="spellStart"/>
      <w:r w:rsidRPr="000F246D">
        <w:rPr>
          <w:rFonts w:eastAsia="Times New Roman" w:cs="Times New Roman"/>
        </w:rPr>
        <w:t>Tranfield</w:t>
      </w:r>
      <w:proofErr w:type="spellEnd"/>
      <w:r w:rsidRPr="000F246D">
        <w:rPr>
          <w:rFonts w:eastAsia="Times New Roman" w:cs="Times New Roman"/>
        </w:rPr>
        <w:t>, 2003) and, w</w:t>
      </w:r>
      <w:r w:rsidRPr="000F246D">
        <w:rPr>
          <w:rFonts w:cs="Times New Roman"/>
        </w:rPr>
        <w:t xml:space="preserve">ith </w:t>
      </w:r>
      <w:r w:rsidRPr="000F246D">
        <w:rPr>
          <w:rFonts w:eastAsia="Times New Roman" w:cs="Times New Roman"/>
        </w:rPr>
        <w:t xml:space="preserve">the body of humanitarian literature steadily growing, the SLR approach allows the most relevant documents to be located in a rigorous and </w:t>
      </w:r>
      <w:r w:rsidRPr="000F246D">
        <w:rPr>
          <w:rFonts w:cs="Times New Roman"/>
        </w:rPr>
        <w:t xml:space="preserve">transparent way </w:t>
      </w:r>
      <w:r w:rsidRPr="000F246D">
        <w:rPr>
          <w:rFonts w:eastAsia="Times New Roman" w:cs="Times New Roman"/>
        </w:rPr>
        <w:t>(</w:t>
      </w:r>
      <w:proofErr w:type="spellStart"/>
      <w:r w:rsidRPr="000F246D">
        <w:rPr>
          <w:rFonts w:eastAsia="Times New Roman" w:cs="Times New Roman"/>
        </w:rPr>
        <w:t>Denyer</w:t>
      </w:r>
      <w:proofErr w:type="spellEnd"/>
      <w:r w:rsidRPr="000F246D">
        <w:rPr>
          <w:rFonts w:eastAsia="Times New Roman" w:cs="Times New Roman"/>
        </w:rPr>
        <w:t xml:space="preserve"> and </w:t>
      </w:r>
      <w:proofErr w:type="spellStart"/>
      <w:r w:rsidRPr="000F246D">
        <w:rPr>
          <w:rFonts w:eastAsia="Times New Roman" w:cs="Times New Roman"/>
        </w:rPr>
        <w:t>Tranfield</w:t>
      </w:r>
      <w:proofErr w:type="spellEnd"/>
      <w:r w:rsidRPr="000F246D">
        <w:rPr>
          <w:rFonts w:eastAsia="Times New Roman" w:cs="Times New Roman"/>
        </w:rPr>
        <w:t xml:space="preserve">, 2009; </w:t>
      </w:r>
      <w:proofErr w:type="spellStart"/>
      <w:r w:rsidRPr="000F246D">
        <w:rPr>
          <w:rFonts w:eastAsia="Times New Roman" w:cs="Times New Roman"/>
        </w:rPr>
        <w:t>Leseure</w:t>
      </w:r>
      <w:proofErr w:type="spellEnd"/>
      <w:r w:rsidRPr="000F246D">
        <w:rPr>
          <w:rFonts w:eastAsia="Times New Roman" w:cs="Times New Roman"/>
        </w:rPr>
        <w:t xml:space="preserve"> et al., 2004).</w:t>
      </w:r>
    </w:p>
    <w:p w:rsidR="000E7EC5" w:rsidRDefault="000F246D" w:rsidP="000F246D">
      <w:pPr>
        <w:rPr>
          <w:szCs w:val="22"/>
        </w:rPr>
      </w:pPr>
      <w:r w:rsidRPr="000F246D">
        <w:rPr>
          <w:szCs w:val="22"/>
        </w:rPr>
        <w:t xml:space="preserve">We established an international advisory board (IAB) of 13 highly experienced emergency management practitioners representing </w:t>
      </w:r>
      <w:r w:rsidR="00B924C0">
        <w:rPr>
          <w:szCs w:val="22"/>
        </w:rPr>
        <w:t xml:space="preserve">UNISDR and </w:t>
      </w:r>
      <w:r w:rsidRPr="000F246D">
        <w:rPr>
          <w:szCs w:val="22"/>
        </w:rPr>
        <w:t>national [</w:t>
      </w:r>
      <w:r w:rsidRPr="000F246D">
        <w:rPr>
          <w:sz w:val="18"/>
          <w:szCs w:val="22"/>
        </w:rPr>
        <w:sym w:font="Wingdings" w:char="F05E"/>
      </w:r>
      <w:r w:rsidRPr="000F246D">
        <w:rPr>
          <w:szCs w:val="22"/>
        </w:rPr>
        <w:t>] and local [</w:t>
      </w:r>
      <w:r w:rsidRPr="000F246D">
        <w:rPr>
          <w:sz w:val="18"/>
          <w:szCs w:val="22"/>
        </w:rPr>
        <w:sym w:font="Wingdings" w:char="F05F"/>
      </w:r>
      <w:r w:rsidRPr="000F246D">
        <w:rPr>
          <w:szCs w:val="22"/>
        </w:rPr>
        <w:t>] government from Belgium</w:t>
      </w:r>
      <w:r w:rsidRPr="000F246D">
        <w:rPr>
          <w:szCs w:val="22"/>
          <w:vertAlign w:val="superscript"/>
        </w:rPr>
        <w:sym w:font="Wingdings" w:char="F05F"/>
      </w:r>
      <w:r w:rsidRPr="000F246D">
        <w:rPr>
          <w:szCs w:val="22"/>
        </w:rPr>
        <w:t>, Finland</w:t>
      </w:r>
      <w:r w:rsidRPr="000F246D">
        <w:rPr>
          <w:szCs w:val="22"/>
          <w:vertAlign w:val="superscript"/>
        </w:rPr>
        <w:sym w:font="Wingdings" w:char="F05E"/>
      </w:r>
      <w:r w:rsidRPr="000F246D">
        <w:rPr>
          <w:szCs w:val="22"/>
        </w:rPr>
        <w:t>, France</w:t>
      </w:r>
      <w:r w:rsidRPr="000F246D">
        <w:rPr>
          <w:szCs w:val="22"/>
          <w:vertAlign w:val="superscript"/>
        </w:rPr>
        <w:sym w:font="Wingdings" w:char="F05F"/>
      </w:r>
      <w:r w:rsidRPr="000F246D">
        <w:rPr>
          <w:szCs w:val="22"/>
        </w:rPr>
        <w:t>, Iceland</w:t>
      </w:r>
      <w:r w:rsidRPr="000F246D">
        <w:rPr>
          <w:szCs w:val="22"/>
          <w:vertAlign w:val="superscript"/>
        </w:rPr>
        <w:sym w:font="Wingdings" w:char="F05E"/>
      </w:r>
      <w:r w:rsidRPr="000F246D">
        <w:rPr>
          <w:szCs w:val="22"/>
        </w:rPr>
        <w:t>, Italy</w:t>
      </w:r>
      <w:r w:rsidRPr="000F246D">
        <w:rPr>
          <w:szCs w:val="22"/>
          <w:vertAlign w:val="superscript"/>
        </w:rPr>
        <w:sym w:font="Wingdings" w:char="F05E"/>
      </w:r>
      <w:r w:rsidRPr="000F246D">
        <w:rPr>
          <w:szCs w:val="22"/>
          <w:vertAlign w:val="superscript"/>
        </w:rPr>
        <w:sym w:font="Wingdings" w:char="F05F"/>
      </w:r>
      <w:r w:rsidRPr="000F246D">
        <w:rPr>
          <w:szCs w:val="22"/>
        </w:rPr>
        <w:t>, Portugal</w:t>
      </w:r>
      <w:r w:rsidRPr="000F246D">
        <w:rPr>
          <w:szCs w:val="22"/>
          <w:vertAlign w:val="superscript"/>
        </w:rPr>
        <w:sym w:font="Wingdings" w:char="F05E"/>
      </w:r>
      <w:r w:rsidRPr="000F246D">
        <w:rPr>
          <w:szCs w:val="22"/>
          <w:vertAlign w:val="superscript"/>
        </w:rPr>
        <w:sym w:font="Wingdings" w:char="F05F"/>
      </w:r>
      <w:r w:rsidRPr="000F246D">
        <w:rPr>
          <w:szCs w:val="22"/>
        </w:rPr>
        <w:t>, South Africa</w:t>
      </w:r>
      <w:r w:rsidRPr="000F246D">
        <w:rPr>
          <w:szCs w:val="22"/>
          <w:vertAlign w:val="superscript"/>
        </w:rPr>
        <w:sym w:font="Wingdings" w:char="F05E"/>
      </w:r>
      <w:r w:rsidRPr="000F246D">
        <w:rPr>
          <w:szCs w:val="22"/>
        </w:rPr>
        <w:t>, Sweden</w:t>
      </w:r>
      <w:r w:rsidRPr="000F246D">
        <w:rPr>
          <w:szCs w:val="22"/>
          <w:vertAlign w:val="superscript"/>
        </w:rPr>
        <w:sym w:font="Wingdings" w:char="F05E"/>
      </w:r>
      <w:r w:rsidRPr="000F246D">
        <w:rPr>
          <w:szCs w:val="22"/>
        </w:rPr>
        <w:t>,</w:t>
      </w:r>
      <w:r w:rsidR="00B924C0">
        <w:rPr>
          <w:szCs w:val="22"/>
        </w:rPr>
        <w:t xml:space="preserve"> and</w:t>
      </w:r>
      <w:r w:rsidRPr="000F246D">
        <w:rPr>
          <w:szCs w:val="22"/>
        </w:rPr>
        <w:t xml:space="preserve"> UK</w:t>
      </w:r>
      <w:r w:rsidRPr="000F246D">
        <w:rPr>
          <w:szCs w:val="22"/>
          <w:vertAlign w:val="superscript"/>
        </w:rPr>
        <w:sym w:font="Wingdings" w:char="F05E"/>
      </w:r>
      <w:r w:rsidRPr="000F246D">
        <w:rPr>
          <w:szCs w:val="22"/>
          <w:vertAlign w:val="superscript"/>
        </w:rPr>
        <w:sym w:font="Wingdings" w:char="F05F"/>
      </w:r>
      <w:r w:rsidR="00B924C0">
        <w:rPr>
          <w:szCs w:val="22"/>
        </w:rPr>
        <w:t xml:space="preserve">. </w:t>
      </w:r>
      <w:r w:rsidRPr="000F246D">
        <w:rPr>
          <w:szCs w:val="22"/>
        </w:rPr>
        <w:t>Each member was highly knowledgeable about peer reviews for DRR; including as reviewers for other cities in their country or abroad. We involved the IAB in email and teleconference exchanges to iden</w:t>
      </w:r>
      <w:r w:rsidR="000E7EC5">
        <w:rPr>
          <w:szCs w:val="22"/>
        </w:rPr>
        <w:t>tify keywords for this research.</w:t>
      </w:r>
    </w:p>
    <w:p w:rsidR="004B3802" w:rsidRDefault="000F246D" w:rsidP="000F246D">
      <w:pPr>
        <w:rPr>
          <w:szCs w:val="22"/>
        </w:rPr>
      </w:pPr>
      <w:r w:rsidRPr="000F246D">
        <w:rPr>
          <w:szCs w:val="22"/>
        </w:rPr>
        <w:t xml:space="preserve">These search strings were used in the ‘Publish or </w:t>
      </w:r>
      <w:proofErr w:type="gramStart"/>
      <w:r w:rsidRPr="000F246D">
        <w:rPr>
          <w:szCs w:val="22"/>
        </w:rPr>
        <w:t>Perish</w:t>
      </w:r>
      <w:proofErr w:type="gramEnd"/>
      <w:r w:rsidRPr="000F246D">
        <w:rPr>
          <w:szCs w:val="22"/>
        </w:rPr>
        <w:t>’ software which retrieves academic and non-academic literature using Google Scholar (</w:t>
      </w:r>
      <w:proofErr w:type="spellStart"/>
      <w:r w:rsidRPr="000F246D">
        <w:rPr>
          <w:szCs w:val="22"/>
        </w:rPr>
        <w:t>Harzing</w:t>
      </w:r>
      <w:proofErr w:type="spellEnd"/>
      <w:r w:rsidRPr="000F246D">
        <w:rPr>
          <w:szCs w:val="22"/>
        </w:rPr>
        <w:t xml:space="preserve">, 2007). </w:t>
      </w:r>
      <w:r w:rsidRPr="000F246D">
        <w:rPr>
          <w:rFonts w:eastAsia="Arial" w:cs="Times New Roman"/>
          <w:lang w:eastAsia="en-GB"/>
        </w:rPr>
        <w:t xml:space="preserve">A total of 1,658 were </w:t>
      </w:r>
      <w:r w:rsidRPr="000F246D">
        <w:rPr>
          <w:rFonts w:eastAsia="Arial" w:cs="Times New Roman"/>
          <w:lang w:eastAsia="en-GB"/>
        </w:rPr>
        <w:lastRenderedPageBreak/>
        <w:t xml:space="preserve">retrieved and, after duplicates had been removed, </w:t>
      </w:r>
      <w:r w:rsidRPr="000F246D">
        <w:rPr>
          <w:rFonts w:cs="Times New Roman"/>
        </w:rPr>
        <w:t>1,286</w:t>
      </w:r>
      <w:r w:rsidRPr="000F246D">
        <w:rPr>
          <w:rFonts w:cs="Times New Roman"/>
          <w:b/>
        </w:rPr>
        <w:t xml:space="preserve"> </w:t>
      </w:r>
      <w:r w:rsidRPr="000F246D">
        <w:rPr>
          <w:rFonts w:cs="Times New Roman"/>
        </w:rPr>
        <w:t>eligible</w:t>
      </w:r>
      <w:r w:rsidRPr="000F246D">
        <w:rPr>
          <w:rFonts w:cs="Times New Roman"/>
          <w:b/>
        </w:rPr>
        <w:t xml:space="preserve"> </w:t>
      </w:r>
      <w:r w:rsidRPr="000F246D">
        <w:rPr>
          <w:rFonts w:eastAsia="Arial" w:cs="Times New Roman"/>
          <w:lang w:eastAsia="en-GB"/>
        </w:rPr>
        <w:t xml:space="preserve">papers were considered for analysis. </w:t>
      </w:r>
      <w:r w:rsidRPr="000F246D">
        <w:rPr>
          <w:rFonts w:cs="Times New Roman"/>
        </w:rPr>
        <w:t>The IAB supported the identification of inclusion and exclusion criteria</w:t>
      </w:r>
      <w:r w:rsidR="00CE68DE">
        <w:rPr>
          <w:rFonts w:cs="Times New Roman"/>
        </w:rPr>
        <w:t xml:space="preserve">. </w:t>
      </w:r>
      <w:r w:rsidRPr="000F246D">
        <w:rPr>
          <w:rFonts w:cs="Times New Roman"/>
        </w:rPr>
        <w:t>Applying these criteria to the eligible papers resulted in 196 papers being further considered. We checked that each paper that met the criteria was relevant to the res</w:t>
      </w:r>
      <w:r w:rsidR="00FA0BE9">
        <w:rPr>
          <w:rFonts w:cs="Times New Roman"/>
        </w:rPr>
        <w:t xml:space="preserve">earch; </w:t>
      </w:r>
      <w:r w:rsidRPr="000F246D">
        <w:rPr>
          <w:rFonts w:cs="Times New Roman"/>
        </w:rPr>
        <w:t>either rejecting it based on the abstract (44 rejects) or after reading the full paper (109 rejects), which resulted in 43 papers on DRR peer reviews being taken forward for full analysis. The IAB offered three addi</w:t>
      </w:r>
      <w:r w:rsidR="00FA0BE9">
        <w:rPr>
          <w:rFonts w:cs="Times New Roman"/>
        </w:rPr>
        <w:t xml:space="preserve">tional papers, meaning we </w:t>
      </w:r>
      <w:r w:rsidR="00FA0BE9" w:rsidRPr="00FA0BE9">
        <w:rPr>
          <w:rFonts w:cs="Times New Roman"/>
          <w:lang w:val="en-US"/>
        </w:rPr>
        <w:t>analyz</w:t>
      </w:r>
      <w:r w:rsidRPr="00FA0BE9">
        <w:rPr>
          <w:rFonts w:cs="Times New Roman"/>
          <w:lang w:val="en-US"/>
        </w:rPr>
        <w:t>ed</w:t>
      </w:r>
      <w:r w:rsidRPr="000F246D">
        <w:rPr>
          <w:rFonts w:cs="Times New Roman"/>
        </w:rPr>
        <w:t xml:space="preserve"> 46 papers in all. </w:t>
      </w:r>
      <w:r w:rsidRPr="000F246D">
        <w:rPr>
          <w:szCs w:val="22"/>
        </w:rPr>
        <w:t xml:space="preserve">Reliability of the process was enhanced with regular meetings of the research team (Ritz et al., 2016) and input from the IAB. </w:t>
      </w:r>
    </w:p>
    <w:p w:rsidR="000F246D" w:rsidRDefault="004B3802" w:rsidP="000F246D">
      <w:pPr>
        <w:rPr>
          <w:rFonts w:cs="Times New Roman"/>
          <w:i/>
        </w:rPr>
      </w:pPr>
      <w:r w:rsidRPr="004B3802">
        <w:rPr>
          <w:szCs w:val="22"/>
        </w:rPr>
        <w:t>That only 46 papers are available for review indicates a dearth of research on peer reviews for DRR for city government</w:t>
      </w:r>
      <w:r w:rsidR="00FA0BE9">
        <w:rPr>
          <w:szCs w:val="22"/>
        </w:rPr>
        <w:t>s. This is</w:t>
      </w:r>
      <w:r w:rsidRPr="004B3802">
        <w:rPr>
          <w:szCs w:val="22"/>
        </w:rPr>
        <w:t xml:space="preserve"> despite th</w:t>
      </w:r>
      <w:r w:rsidR="00FA0BE9">
        <w:rPr>
          <w:szCs w:val="22"/>
        </w:rPr>
        <w:t xml:space="preserve">e strong practitioner interest which </w:t>
      </w:r>
      <w:r w:rsidRPr="004B3802">
        <w:rPr>
          <w:szCs w:val="22"/>
        </w:rPr>
        <w:t xml:space="preserve">suggests </w:t>
      </w:r>
      <w:r w:rsidR="00FA0BE9">
        <w:rPr>
          <w:szCs w:val="22"/>
        </w:rPr>
        <w:t xml:space="preserve">that </w:t>
      </w:r>
      <w:r w:rsidRPr="004B3802">
        <w:rPr>
          <w:szCs w:val="22"/>
        </w:rPr>
        <w:t xml:space="preserve">research </w:t>
      </w:r>
      <w:r w:rsidR="00FA0BE9">
        <w:rPr>
          <w:szCs w:val="22"/>
        </w:rPr>
        <w:t xml:space="preserve">is </w:t>
      </w:r>
      <w:r w:rsidRPr="004B3802">
        <w:rPr>
          <w:szCs w:val="22"/>
        </w:rPr>
        <w:t>lagging behind practice</w:t>
      </w:r>
      <w:r w:rsidR="00FA0BE9">
        <w:rPr>
          <w:szCs w:val="22"/>
        </w:rPr>
        <w:t xml:space="preserve"> in this field</w:t>
      </w:r>
      <w:r w:rsidRPr="004B3802">
        <w:rPr>
          <w:szCs w:val="22"/>
        </w:rPr>
        <w:t>. Furthermore, the broad nature of the literature suggests limited theoretical consolidation of this topic. Through increased understanding across practitioner and academia, best practice can be shared, common ground created, and bridges can be formed between theory and evidence-based research; encouraging consistency within the disaster management domain.</w:t>
      </w:r>
    </w:p>
    <w:p w:rsidR="00A422D1" w:rsidRDefault="000F246D" w:rsidP="000F246D">
      <w:pPr>
        <w:rPr>
          <w:rFonts w:cs="Times New Roman"/>
        </w:rPr>
      </w:pPr>
      <w:r w:rsidRPr="00A422D1">
        <w:rPr>
          <w:rFonts w:cs="Times New Roman"/>
          <w:b/>
        </w:rPr>
        <w:t>Findings from the SLR and the 10 Essentials</w:t>
      </w:r>
      <w:r w:rsidRPr="00A422D1">
        <w:rPr>
          <w:rFonts w:cs="Times New Roman"/>
        </w:rPr>
        <w:t xml:space="preserve"> </w:t>
      </w:r>
    </w:p>
    <w:p w:rsidR="00A422D1" w:rsidRDefault="004B3802" w:rsidP="00A422D1">
      <w:pPr>
        <w:rPr>
          <w:rFonts w:eastAsia="Times New Roman"/>
          <w:szCs w:val="22"/>
          <w:lang w:eastAsia="en-GB"/>
        </w:rPr>
      </w:pPr>
      <w:r w:rsidRPr="00A422D1">
        <w:t>W</w:t>
      </w:r>
      <w:r w:rsidR="00294E1B" w:rsidRPr="00A422D1">
        <w:t xml:space="preserve">e </w:t>
      </w:r>
      <w:r w:rsidR="00FA0BE9" w:rsidRPr="00FA0BE9">
        <w:rPr>
          <w:lang w:val="en-US"/>
        </w:rPr>
        <w:t>analyz</w:t>
      </w:r>
      <w:r w:rsidR="000F246D" w:rsidRPr="00FA0BE9">
        <w:rPr>
          <w:lang w:val="en-US"/>
        </w:rPr>
        <w:t>e</w:t>
      </w:r>
      <w:r w:rsidR="000F246D" w:rsidRPr="00A422D1">
        <w:t xml:space="preserve"> each of the 10 essentials using the literature captured by the SLR</w:t>
      </w:r>
      <w:r w:rsidR="00A422D1" w:rsidRPr="00A422D1">
        <w:t xml:space="preserve">, examining the ways in which </w:t>
      </w:r>
      <w:r w:rsidR="000F246D" w:rsidRPr="00A422D1">
        <w:t>the essential has been defined, conceptualised and measured</w:t>
      </w:r>
      <w:r w:rsidR="00A422D1" w:rsidRPr="00A422D1">
        <w:t>.</w:t>
      </w:r>
      <w:r w:rsidR="000F246D" w:rsidRPr="00A422D1">
        <w:t xml:space="preserve"> </w:t>
      </w:r>
      <w:r w:rsidR="004C2198" w:rsidRPr="004C2198">
        <w:rPr>
          <w:rFonts w:eastAsia="Times New Roman"/>
          <w:szCs w:val="22"/>
          <w:lang w:eastAsia="en-GB"/>
        </w:rPr>
        <w:t>The selected literature on peer reviews for city DRR most frequently focused on issues pertaining to ess</w:t>
      </w:r>
      <w:r w:rsidR="00FA0BE9">
        <w:rPr>
          <w:rFonts w:eastAsia="Times New Roman"/>
          <w:szCs w:val="22"/>
          <w:lang w:eastAsia="en-GB"/>
        </w:rPr>
        <w:t>ential 1, governance and organiz</w:t>
      </w:r>
      <w:r w:rsidR="004C2198" w:rsidRPr="004C2198">
        <w:rPr>
          <w:rFonts w:eastAsia="Times New Roman"/>
          <w:szCs w:val="22"/>
          <w:lang w:eastAsia="en-GB"/>
        </w:rPr>
        <w:t>ational structures; essential 2, identifying and understanding risk; and essential 7, strengthening societal capacity for resilience. Less covered were: essential 3,</w:t>
      </w:r>
      <w:r w:rsidR="004C2198" w:rsidRPr="004C2198">
        <w:rPr>
          <w:szCs w:val="22"/>
        </w:rPr>
        <w:t xml:space="preserve"> </w:t>
      </w:r>
      <w:r w:rsidR="004C2198" w:rsidRPr="004C2198">
        <w:rPr>
          <w:rFonts w:eastAsia="Times New Roman"/>
          <w:szCs w:val="22"/>
          <w:lang w:eastAsia="en-GB"/>
        </w:rPr>
        <w:t>strengthening financial capacity and essential 10, placing those affected at the centre of recovery with a view to building back better. We identified that ~20% of papers did not cont</w:t>
      </w:r>
      <w:r w:rsidR="003570C4">
        <w:rPr>
          <w:rFonts w:eastAsia="Times New Roman"/>
          <w:szCs w:val="22"/>
          <w:lang w:eastAsia="en-GB"/>
        </w:rPr>
        <w:t xml:space="preserve">ain measurements or indicators, and </w:t>
      </w:r>
      <w:r w:rsidR="00A422D1">
        <w:rPr>
          <w:rFonts w:eastAsia="Times New Roman"/>
          <w:szCs w:val="22"/>
          <w:lang w:eastAsia="en-GB"/>
        </w:rPr>
        <w:t xml:space="preserve">that </w:t>
      </w:r>
      <w:r w:rsidR="00A422D1" w:rsidRPr="00A422D1">
        <w:rPr>
          <w:rFonts w:eastAsia="Times New Roman"/>
          <w:szCs w:val="22"/>
          <w:lang w:eastAsia="en-GB"/>
        </w:rPr>
        <w:t>MCR adopted a top-down approach, overlooking many of the societal attributes associated with resilience building within cities.</w:t>
      </w:r>
    </w:p>
    <w:p w:rsidR="003570C4" w:rsidRDefault="003570C4" w:rsidP="00A422D1">
      <w:pPr>
        <w:rPr>
          <w:rFonts w:eastAsia="Times New Roman"/>
          <w:szCs w:val="22"/>
          <w:lang w:eastAsia="en-GB"/>
        </w:rPr>
      </w:pPr>
      <w:r w:rsidRPr="003570C4">
        <w:rPr>
          <w:rFonts w:eastAsia="Times New Roman"/>
          <w:szCs w:val="22"/>
          <w:lang w:eastAsia="en-GB"/>
        </w:rPr>
        <w:t xml:space="preserve">We expect to find a number of characteristics considered by the peer review literature which have been overlooked by the MCR framework. To demonstrate this, we present a snapshot of our initial findings from essentials </w:t>
      </w:r>
      <w:r>
        <w:rPr>
          <w:rFonts w:eastAsia="Times New Roman"/>
          <w:szCs w:val="22"/>
          <w:lang w:eastAsia="en-GB"/>
        </w:rPr>
        <w:t xml:space="preserve">2- </w:t>
      </w:r>
      <w:r w:rsidRPr="003570C4">
        <w:rPr>
          <w:rFonts w:eastAsia="Times New Roman"/>
          <w:szCs w:val="22"/>
          <w:lang w:eastAsia="en-GB"/>
        </w:rPr>
        <w:t>identify, understand and use current and future risk scenarios</w:t>
      </w:r>
      <w:r>
        <w:rPr>
          <w:rFonts w:eastAsia="Times New Roman"/>
          <w:szCs w:val="22"/>
          <w:lang w:eastAsia="en-GB"/>
        </w:rPr>
        <w:t xml:space="preserve">, and 9- </w:t>
      </w:r>
      <w:r w:rsidRPr="003570C4">
        <w:rPr>
          <w:rFonts w:eastAsia="Times New Roman"/>
          <w:szCs w:val="22"/>
          <w:lang w:eastAsia="en-GB"/>
        </w:rPr>
        <w:t>ensure effective disaster response</w:t>
      </w:r>
      <w:r>
        <w:rPr>
          <w:rFonts w:eastAsia="Times New Roman"/>
          <w:szCs w:val="22"/>
          <w:lang w:eastAsia="en-GB"/>
        </w:rPr>
        <w:t xml:space="preserve">, as they provide insights from differing ends of the disaster management cycle. </w:t>
      </w:r>
      <w:r w:rsidR="006E7B89">
        <w:rPr>
          <w:rFonts w:eastAsia="Times New Roman"/>
          <w:szCs w:val="22"/>
          <w:lang w:eastAsia="en-GB"/>
        </w:rPr>
        <w:t>We present the definition adopted by MCR, the constructs and characteristics as identified in the peer review literature, and identify gaps between the literature and the MCR framework. We also present some initial observations in relation to measures of resilience within the literature</w:t>
      </w:r>
      <w:r w:rsidR="00FA0BE9">
        <w:rPr>
          <w:rFonts w:eastAsia="Times New Roman"/>
          <w:szCs w:val="22"/>
          <w:lang w:eastAsia="en-GB"/>
        </w:rPr>
        <w:t>.</w:t>
      </w:r>
    </w:p>
    <w:p w:rsidR="004C2198" w:rsidRPr="004C2198" w:rsidRDefault="004C2198" w:rsidP="004C2198">
      <w:pPr>
        <w:rPr>
          <w:rFonts w:eastAsia="Times New Roman"/>
          <w:szCs w:val="22"/>
          <w:lang w:eastAsia="en-GB"/>
        </w:rPr>
      </w:pPr>
      <w:r w:rsidRPr="004C2198">
        <w:rPr>
          <w:rFonts w:eastAsiaTheme="majorEastAsia" w:cstheme="majorBidi"/>
          <w:b/>
          <w:bCs/>
          <w:i/>
          <w:szCs w:val="26"/>
        </w:rPr>
        <w:t>Essential 2</w:t>
      </w:r>
      <w:bookmarkStart w:id="1" w:name="_Toc487019168"/>
      <w:r w:rsidRPr="004C2198">
        <w:rPr>
          <w:rFonts w:eastAsiaTheme="majorEastAsia" w:cstheme="majorBidi"/>
          <w:b/>
          <w:bCs/>
          <w:i/>
          <w:szCs w:val="26"/>
        </w:rPr>
        <w:t xml:space="preserve">: </w:t>
      </w:r>
      <w:r w:rsidRPr="004C2198">
        <w:rPr>
          <w:b/>
          <w:i/>
          <w:szCs w:val="22"/>
        </w:rPr>
        <w:t>Identify, Understand and Use Current and Future Risk Scenarios</w:t>
      </w:r>
      <w:bookmarkEnd w:id="1"/>
    </w:p>
    <w:p w:rsidR="004C2198" w:rsidRPr="004C2198" w:rsidRDefault="004C2198" w:rsidP="004C2198">
      <w:pPr>
        <w:rPr>
          <w:rFonts w:cs="Times New Roman"/>
        </w:rPr>
      </w:pPr>
      <w:r w:rsidRPr="004C2198">
        <w:rPr>
          <w:rFonts w:cs="Times New Roman"/>
          <w:i/>
        </w:rPr>
        <w:t>MCR definition:</w:t>
      </w:r>
      <w:r w:rsidRPr="004C2198">
        <w:rPr>
          <w:rFonts w:cs="Times New Roman"/>
        </w:rPr>
        <w:t xml:space="preserve"> The second essential provides fundamental information for city peer reviewers regarding risks, so that knowledge can be used to inform decision making (UNISDR, </w:t>
      </w:r>
      <w:proofErr w:type="spellStart"/>
      <w:r w:rsidRPr="004C2198">
        <w:rPr>
          <w:rFonts w:cs="Times New Roman"/>
        </w:rPr>
        <w:t>n.d</w:t>
      </w:r>
      <w:proofErr w:type="spellEnd"/>
      <w:r w:rsidRPr="004C2198">
        <w:rPr>
          <w:rFonts w:cs="Times New Roman"/>
        </w:rPr>
        <w:t xml:space="preserve">, c) concerning improving resilience. This essential promotes peer review </w:t>
      </w:r>
      <w:r w:rsidRPr="004C2198">
        <w:rPr>
          <w:rFonts w:cs="Times New Roman"/>
        </w:rPr>
        <w:lastRenderedPageBreak/>
        <w:t>practices through advocating learning from cities which have similar risk profiles with a view to increasing city resilience (UNISDR, 2017a).</w:t>
      </w:r>
    </w:p>
    <w:p w:rsidR="004C2198" w:rsidRPr="004C2198" w:rsidRDefault="004C2198" w:rsidP="004C2198">
      <w:pPr>
        <w:rPr>
          <w:rFonts w:cs="Times New Roman"/>
        </w:rPr>
      </w:pPr>
      <w:r w:rsidRPr="004C2198">
        <w:rPr>
          <w:rFonts w:eastAsia="Times New Roman"/>
          <w:i/>
          <w:szCs w:val="22"/>
          <w:lang w:eastAsia="en-GB"/>
        </w:rPr>
        <w:t>SLR concepts:</w:t>
      </w:r>
      <w:r w:rsidRPr="004C2198">
        <w:rPr>
          <w:rFonts w:eastAsia="Times New Roman"/>
          <w:szCs w:val="22"/>
          <w:lang w:eastAsia="en-GB"/>
        </w:rPr>
        <w:t xml:space="preserve"> The peer review literature established social and structural dimensions of understanding risk. Social characteristics included </w:t>
      </w:r>
      <w:r w:rsidRPr="004C2198">
        <w:rPr>
          <w:rFonts w:cs="Times New Roman"/>
        </w:rPr>
        <w:t>exposure, vulnerability, susceptibility, and adaptive capacity (</w:t>
      </w:r>
      <w:proofErr w:type="spellStart"/>
      <w:r w:rsidRPr="004C2198">
        <w:rPr>
          <w:rFonts w:cs="Times New Roman"/>
        </w:rPr>
        <w:t>Birkman</w:t>
      </w:r>
      <w:proofErr w:type="spellEnd"/>
      <w:r w:rsidRPr="004C2198">
        <w:rPr>
          <w:rFonts w:cs="Times New Roman"/>
        </w:rPr>
        <w:t xml:space="preserve"> et al., 2013). Through identifying these traits, better coverage and inclusion of vulnerable populations in knowledge sharing and decision making processes can be achieved (Cardona and </w:t>
      </w:r>
      <w:proofErr w:type="spellStart"/>
      <w:r w:rsidRPr="004C2198">
        <w:rPr>
          <w:rFonts w:cs="Times New Roman"/>
        </w:rPr>
        <w:t>Carreño</w:t>
      </w:r>
      <w:proofErr w:type="spellEnd"/>
      <w:r w:rsidRPr="004C2198">
        <w:rPr>
          <w:rFonts w:cs="Times New Roman"/>
        </w:rPr>
        <w:t>, 2011). This facilitates long-term approaches to resilience, as those most likely to be effected can start to build resources; beginning with understanding their exposure to risks. Structural dimensions of risk were commonly framed as physical structures, the environment and institutional characteristics (Fox- Lent et al., 2015). Key components of DRR rely on the ability of societies to manage natural resources, climate change, and matters such as land use (</w:t>
      </w:r>
      <w:proofErr w:type="spellStart"/>
      <w:r w:rsidRPr="004C2198">
        <w:rPr>
          <w:rFonts w:cs="Times New Roman"/>
        </w:rPr>
        <w:t>Basu</w:t>
      </w:r>
      <w:proofErr w:type="spellEnd"/>
      <w:r w:rsidRPr="004C2198">
        <w:rPr>
          <w:rFonts w:cs="Times New Roman"/>
        </w:rPr>
        <w:t xml:space="preserve"> et al., 2013). Whilst protecting buildings from damage or collapse is vital, whether or not t</w:t>
      </w:r>
      <w:r w:rsidR="00FA0BE9">
        <w:rPr>
          <w:rFonts w:cs="Times New Roman"/>
        </w:rPr>
        <w:t xml:space="preserve">his leads to changes in </w:t>
      </w:r>
      <w:r w:rsidR="00FA0BE9" w:rsidRPr="00FA0BE9">
        <w:rPr>
          <w:rFonts w:cs="Times New Roman"/>
          <w:lang w:val="en-US"/>
        </w:rPr>
        <w:t>behavio</w:t>
      </w:r>
      <w:r w:rsidRPr="00FA0BE9">
        <w:rPr>
          <w:rFonts w:cs="Times New Roman"/>
          <w:lang w:val="en-US"/>
        </w:rPr>
        <w:t>r</w:t>
      </w:r>
      <w:r w:rsidRPr="004C2198">
        <w:rPr>
          <w:rFonts w:cs="Times New Roman"/>
        </w:rPr>
        <w:t xml:space="preserve"> or preparation activities remains a difficult facet to assess. Peer review literature is able to take attitudinal dimensions into account so meaningful changes in government, community and businesses can be reflected on.</w:t>
      </w:r>
      <w:r w:rsidRPr="004C2198">
        <w:rPr>
          <w:szCs w:val="22"/>
        </w:rPr>
        <w:t xml:space="preserve"> </w:t>
      </w:r>
    </w:p>
    <w:p w:rsidR="004C2198" w:rsidRPr="004C2198" w:rsidRDefault="004C2198" w:rsidP="004C2198">
      <w:pPr>
        <w:rPr>
          <w:rFonts w:cs="Times New Roman"/>
        </w:rPr>
      </w:pPr>
      <w:r w:rsidRPr="004C2198">
        <w:rPr>
          <w:rFonts w:cs="Times New Roman"/>
          <w:i/>
        </w:rPr>
        <w:t>Measures:</w:t>
      </w:r>
      <w:r w:rsidRPr="004C2198">
        <w:rPr>
          <w:rFonts w:cs="Times New Roman"/>
        </w:rPr>
        <w:t xml:space="preserve"> Measures for understanding risk were based on mortality rates (Mitchell et al., 2015) and impacts to infrastructure and environment (Keating et al., 2016). Providing differing metrics for community and government level were proposed as a means of tailoring decision making (</w:t>
      </w:r>
      <w:proofErr w:type="spellStart"/>
      <w:r w:rsidRPr="004C2198">
        <w:rPr>
          <w:rFonts w:cs="Times New Roman"/>
        </w:rPr>
        <w:t>Mcallister</w:t>
      </w:r>
      <w:proofErr w:type="spellEnd"/>
      <w:r w:rsidRPr="004C2198">
        <w:rPr>
          <w:rFonts w:cs="Times New Roman"/>
        </w:rPr>
        <w:t xml:space="preserve">, 2013). </w:t>
      </w:r>
    </w:p>
    <w:p w:rsidR="006E7B89" w:rsidRDefault="004C2198" w:rsidP="006E7B89">
      <w:pPr>
        <w:rPr>
          <w:rFonts w:eastAsia="Times New Roman"/>
          <w:szCs w:val="22"/>
          <w:lang w:eastAsia="en-GB"/>
        </w:rPr>
      </w:pPr>
      <w:r w:rsidRPr="004C2198">
        <w:rPr>
          <w:rFonts w:eastAsia="Times New Roman"/>
          <w:i/>
          <w:szCs w:val="22"/>
          <w:lang w:eastAsia="en-GB"/>
        </w:rPr>
        <w:t>MCR gaps:</w:t>
      </w:r>
      <w:r w:rsidRPr="004C2198">
        <w:rPr>
          <w:szCs w:val="22"/>
        </w:rPr>
        <w:t xml:space="preserve"> </w:t>
      </w:r>
      <w:r w:rsidR="006E7B89" w:rsidRPr="006E7B89">
        <w:rPr>
          <w:rFonts w:eastAsia="Times New Roman"/>
          <w:szCs w:val="22"/>
          <w:lang w:eastAsia="en-GB"/>
        </w:rPr>
        <w:t xml:space="preserve">The SLR acknowledged the role of coordination and division of responsibility in reference to public private partnerships, as a means of supporting economic strategy and financial capabilities. Interestingly, there is still a discrepancy between the literature and the MCR Campaign and the Disaster Resilience Scorecard for Cities when addressing incorporating the private sector. </w:t>
      </w:r>
    </w:p>
    <w:p w:rsidR="006E7B89" w:rsidRPr="006E7B89" w:rsidRDefault="006E7B89" w:rsidP="006E7B89">
      <w:pPr>
        <w:rPr>
          <w:rFonts w:eastAsia="Times New Roman"/>
          <w:szCs w:val="22"/>
          <w:lang w:eastAsia="en-GB"/>
        </w:rPr>
      </w:pPr>
      <w:r>
        <w:rPr>
          <w:rFonts w:eastAsia="Times New Roman"/>
          <w:szCs w:val="22"/>
          <w:lang w:eastAsia="en-GB"/>
        </w:rPr>
        <w:t>B</w:t>
      </w:r>
      <w:r w:rsidRPr="006E7B89">
        <w:rPr>
          <w:rFonts w:eastAsia="Times New Roman"/>
          <w:szCs w:val="22"/>
          <w:lang w:eastAsia="en-GB"/>
        </w:rPr>
        <w:t>uilding partnerships with the private sector in order to utilise their expertise and resources within cities was notably</w:t>
      </w:r>
      <w:r>
        <w:rPr>
          <w:rFonts w:eastAsia="Times New Roman"/>
          <w:szCs w:val="22"/>
          <w:lang w:eastAsia="en-GB"/>
        </w:rPr>
        <w:t xml:space="preserve"> lacking in the MCR framework. </w:t>
      </w:r>
      <w:r w:rsidRPr="006E7B89">
        <w:rPr>
          <w:rFonts w:eastAsia="Times New Roman"/>
          <w:szCs w:val="22"/>
          <w:lang w:eastAsia="en-GB"/>
        </w:rPr>
        <w:t xml:space="preserve">This included establishing alliances with environmental services as a means of supporting resilience and infrastructure protection. The peer review literature is suggestive of utilising public-private partnerships </w:t>
      </w:r>
      <w:r w:rsidR="00FA0BE9">
        <w:rPr>
          <w:rFonts w:eastAsia="Times New Roman"/>
          <w:szCs w:val="22"/>
          <w:lang w:eastAsia="en-GB"/>
        </w:rPr>
        <w:t>as a means of supporting organiz</w:t>
      </w:r>
      <w:r w:rsidRPr="006E7B89">
        <w:rPr>
          <w:rFonts w:eastAsia="Times New Roman"/>
          <w:szCs w:val="22"/>
          <w:lang w:eastAsia="en-GB"/>
        </w:rPr>
        <w:t>ing for resilience, financial capacity, societal capacity, and response.</w:t>
      </w:r>
    </w:p>
    <w:p w:rsidR="004C2198" w:rsidRDefault="006E7B89" w:rsidP="006E7B89">
      <w:pPr>
        <w:rPr>
          <w:rFonts w:eastAsia="Times New Roman"/>
          <w:szCs w:val="22"/>
          <w:lang w:eastAsia="en-GB"/>
        </w:rPr>
      </w:pPr>
      <w:r>
        <w:rPr>
          <w:rFonts w:eastAsia="Times New Roman"/>
          <w:szCs w:val="22"/>
          <w:lang w:eastAsia="en-GB"/>
        </w:rPr>
        <w:t>We</w:t>
      </w:r>
      <w:r w:rsidRPr="006E7B89">
        <w:rPr>
          <w:rFonts w:eastAsia="Times New Roman"/>
          <w:szCs w:val="22"/>
          <w:lang w:eastAsia="en-GB"/>
        </w:rPr>
        <w:t xml:space="preserve"> identified minimal reference to the importance of attitudes to the environment and disasters in improving resilience. The SLR suggests that increased focus on attitudes towards types of risks and mitigating them could support adaptive change and a reduction in vulnerability.</w:t>
      </w:r>
    </w:p>
    <w:p w:rsidR="004C2198" w:rsidRPr="004C2198" w:rsidRDefault="004C2198" w:rsidP="004C2198">
      <w:pPr>
        <w:rPr>
          <w:rFonts w:eastAsia="Times New Roman"/>
          <w:szCs w:val="22"/>
        </w:rPr>
      </w:pPr>
      <w:bookmarkStart w:id="2" w:name="_Toc487019196"/>
      <w:r w:rsidRPr="004C2198">
        <w:rPr>
          <w:rFonts w:eastAsia="Times New Roman" w:cstheme="majorBidi"/>
          <w:b/>
          <w:bCs/>
          <w:i/>
          <w:szCs w:val="26"/>
        </w:rPr>
        <w:t>Essential 9: Ensure Effective Disaster Response</w:t>
      </w:r>
      <w:bookmarkEnd w:id="2"/>
      <w:r w:rsidRPr="004C2198">
        <w:rPr>
          <w:rFonts w:eastAsia="Times New Roman"/>
          <w:b/>
          <w:szCs w:val="22"/>
        </w:rPr>
        <w:t xml:space="preserve">                                                                   </w:t>
      </w:r>
      <w:r w:rsidRPr="004C2198">
        <w:rPr>
          <w:rFonts w:eastAsia="Times New Roman"/>
          <w:i/>
          <w:szCs w:val="22"/>
        </w:rPr>
        <w:t xml:space="preserve">MCR definition: </w:t>
      </w:r>
      <w:r w:rsidRPr="004C2198">
        <w:rPr>
          <w:szCs w:val="22"/>
        </w:rPr>
        <w:t xml:space="preserve">Ensuring effective disaster response relies on </w:t>
      </w:r>
      <w:r w:rsidRPr="004C2198">
        <w:rPr>
          <w:szCs w:val="22"/>
          <w:shd w:val="clear" w:color="auto" w:fill="FFFFFF"/>
        </w:rPr>
        <w:t xml:space="preserve">disaster response planning informed by risks identified in essential 2 being effectively communicated to all stakeholders through use of organizational structures identified in essential 1 </w:t>
      </w:r>
      <w:r w:rsidRPr="004C2198">
        <w:rPr>
          <w:rFonts w:eastAsia="Times New Roman"/>
          <w:szCs w:val="22"/>
        </w:rPr>
        <w:t xml:space="preserve">(UNISDR, </w:t>
      </w:r>
      <w:proofErr w:type="spellStart"/>
      <w:r w:rsidRPr="004C2198">
        <w:rPr>
          <w:rFonts w:eastAsia="Times New Roman"/>
          <w:szCs w:val="22"/>
        </w:rPr>
        <w:t>n.d</w:t>
      </w:r>
      <w:proofErr w:type="spellEnd"/>
      <w:r w:rsidRPr="004C2198">
        <w:rPr>
          <w:rFonts w:eastAsia="Times New Roman"/>
          <w:szCs w:val="22"/>
        </w:rPr>
        <w:t xml:space="preserve">, k). </w:t>
      </w:r>
    </w:p>
    <w:p w:rsidR="004C2198" w:rsidRPr="004C2198" w:rsidRDefault="004C2198" w:rsidP="004C2198">
      <w:pPr>
        <w:rPr>
          <w:rFonts w:eastAsia="Times New Roman"/>
          <w:szCs w:val="22"/>
        </w:rPr>
      </w:pPr>
      <w:r w:rsidRPr="004C2198">
        <w:rPr>
          <w:rFonts w:eastAsia="Times New Roman"/>
          <w:i/>
          <w:szCs w:val="22"/>
        </w:rPr>
        <w:lastRenderedPageBreak/>
        <w:t xml:space="preserve">SLR concepts: </w:t>
      </w:r>
      <w:r w:rsidRPr="004C2198">
        <w:rPr>
          <w:rFonts w:eastAsia="Times New Roman"/>
          <w:szCs w:val="22"/>
        </w:rPr>
        <w:t>The notion of engaging and communicating plans with all stakeholders was commonly addressed by the city peer review literature; drawing on the idea that if citizens do not have access to preparedness or response activates their levels of resilience will be adversely affected (</w:t>
      </w:r>
      <w:proofErr w:type="spellStart"/>
      <w:r w:rsidRPr="004C2198">
        <w:rPr>
          <w:rFonts w:eastAsia="Times New Roman"/>
          <w:szCs w:val="22"/>
        </w:rPr>
        <w:t>Ostadtaghizadeh</w:t>
      </w:r>
      <w:proofErr w:type="spellEnd"/>
      <w:r w:rsidRPr="004C2198">
        <w:rPr>
          <w:rFonts w:eastAsia="Times New Roman"/>
          <w:szCs w:val="22"/>
        </w:rPr>
        <w:t>, et al., 2015). This was closely related to the need for cities to have access to, and knowledge of, vulnerable populations through clear identification of resilience and exposure levels within communities (</w:t>
      </w:r>
      <w:proofErr w:type="spellStart"/>
      <w:r w:rsidRPr="004C2198">
        <w:rPr>
          <w:szCs w:val="22"/>
        </w:rPr>
        <w:t>Basu</w:t>
      </w:r>
      <w:proofErr w:type="spellEnd"/>
      <w:r w:rsidRPr="004C2198">
        <w:rPr>
          <w:szCs w:val="22"/>
        </w:rPr>
        <w:t xml:space="preserve"> et al., 2013</w:t>
      </w:r>
      <w:r w:rsidRPr="004C2198">
        <w:rPr>
          <w:szCs w:val="22"/>
          <w:lang w:eastAsia="en-GB"/>
        </w:rPr>
        <w:t>)</w:t>
      </w:r>
      <w:r w:rsidRPr="004C2198">
        <w:rPr>
          <w:rFonts w:eastAsia="Times New Roman"/>
          <w:szCs w:val="22"/>
        </w:rPr>
        <w:t xml:space="preserve">.  </w:t>
      </w:r>
    </w:p>
    <w:p w:rsidR="004C2198" w:rsidRPr="004C2198" w:rsidRDefault="004C2198" w:rsidP="004C2198">
      <w:pPr>
        <w:rPr>
          <w:szCs w:val="22"/>
        </w:rPr>
      </w:pPr>
      <w:r w:rsidRPr="004C2198">
        <w:rPr>
          <w:i/>
          <w:szCs w:val="22"/>
        </w:rPr>
        <w:t xml:space="preserve">Measures: </w:t>
      </w:r>
      <w:r w:rsidRPr="004C2198">
        <w:rPr>
          <w:szCs w:val="22"/>
        </w:rPr>
        <w:t>The measures within the literature drew on preparedness levels of cities, taking into account early warning systems, preparation activities, and the impacts on cities post disaster. Indicators covered effectiveness of early warning systems, levels of risk analysis, number of people affected by disasters and numbers of deaths (Keating et al., 2016</w:t>
      </w:r>
      <w:r w:rsidRPr="004C2198">
        <w:rPr>
          <w:szCs w:val="22"/>
          <w:lang w:eastAsia="en-GB"/>
        </w:rPr>
        <w:t>)</w:t>
      </w:r>
      <w:r w:rsidRPr="004C2198">
        <w:rPr>
          <w:szCs w:val="22"/>
        </w:rPr>
        <w:t xml:space="preserve">. </w:t>
      </w:r>
      <w:bookmarkStart w:id="3" w:name="_Toc487019200"/>
    </w:p>
    <w:p w:rsidR="004C2198" w:rsidRPr="004C2198" w:rsidRDefault="004C2198" w:rsidP="004C2198">
      <w:pPr>
        <w:rPr>
          <w:szCs w:val="22"/>
        </w:rPr>
      </w:pPr>
      <w:r w:rsidRPr="004C2198">
        <w:rPr>
          <w:i/>
          <w:szCs w:val="22"/>
        </w:rPr>
        <w:t xml:space="preserve">MCR gaps: </w:t>
      </w:r>
      <w:r w:rsidRPr="004C2198">
        <w:rPr>
          <w:rFonts w:eastAsia="Times New Roman"/>
          <w:szCs w:val="22"/>
        </w:rPr>
        <w:t xml:space="preserve"> </w:t>
      </w:r>
      <w:r w:rsidRPr="004C2198">
        <w:rPr>
          <w:rFonts w:eastAsia="Times New Roman" w:cs="Arial"/>
          <w:szCs w:val="22"/>
        </w:rPr>
        <w:t>Financial assets as a means to tackle vulnerability through earmarked funds for response were not explicitly addressed by MCR.</w:t>
      </w:r>
      <w:bookmarkEnd w:id="3"/>
      <w:r w:rsidR="006E7B89">
        <w:rPr>
          <w:szCs w:val="22"/>
        </w:rPr>
        <w:t xml:space="preserve"> </w:t>
      </w:r>
      <w:r w:rsidR="00EC1180">
        <w:rPr>
          <w:szCs w:val="22"/>
        </w:rPr>
        <w:t>F</w:t>
      </w:r>
      <w:r w:rsidRPr="004C2198">
        <w:rPr>
          <w:szCs w:val="22"/>
        </w:rPr>
        <w:t>iscal issues as a central facet of r</w:t>
      </w:r>
      <w:r w:rsidR="006E7B89">
        <w:rPr>
          <w:szCs w:val="22"/>
        </w:rPr>
        <w:t xml:space="preserve">esponse planning also </w:t>
      </w:r>
      <w:r w:rsidRPr="004C2198">
        <w:rPr>
          <w:szCs w:val="22"/>
        </w:rPr>
        <w:t>overlooked links with budgets or support from public-private partnerships to ensure effective response.  This identifies possible gaps in the ways in which strengthening institutional capacity is addressed in academia</w:t>
      </w:r>
      <w:r w:rsidR="002E7026">
        <w:rPr>
          <w:szCs w:val="22"/>
        </w:rPr>
        <w:t>,</w:t>
      </w:r>
      <w:r w:rsidRPr="004C2198">
        <w:rPr>
          <w:szCs w:val="22"/>
        </w:rPr>
        <w:t xml:space="preserve"> and </w:t>
      </w:r>
      <w:r w:rsidR="002E7026">
        <w:rPr>
          <w:szCs w:val="22"/>
        </w:rPr>
        <w:t>how it</w:t>
      </w:r>
      <w:r w:rsidRPr="004C2198">
        <w:rPr>
          <w:szCs w:val="22"/>
        </w:rPr>
        <w:t xml:space="preserve"> translate</w:t>
      </w:r>
      <w:r w:rsidR="002E7026">
        <w:rPr>
          <w:szCs w:val="22"/>
        </w:rPr>
        <w:t>s</w:t>
      </w:r>
      <w:r w:rsidRPr="004C2198">
        <w:rPr>
          <w:szCs w:val="22"/>
        </w:rPr>
        <w:t xml:space="preserve"> to practice, as the links between vulnerability mappi</w:t>
      </w:r>
      <w:r w:rsidR="002E7026">
        <w:rPr>
          <w:szCs w:val="22"/>
        </w:rPr>
        <w:t xml:space="preserve">ng, building local capacity, </w:t>
      </w:r>
      <w:r w:rsidRPr="004C2198">
        <w:rPr>
          <w:szCs w:val="22"/>
        </w:rPr>
        <w:t>data consistency</w:t>
      </w:r>
      <w:r w:rsidR="002E7026">
        <w:rPr>
          <w:szCs w:val="22"/>
        </w:rPr>
        <w:t>,</w:t>
      </w:r>
      <w:r w:rsidRPr="004C2198">
        <w:rPr>
          <w:szCs w:val="22"/>
        </w:rPr>
        <w:t xml:space="preserve"> and the private sector may not be readily apparent.</w:t>
      </w:r>
    </w:p>
    <w:p w:rsidR="004C2198" w:rsidRPr="004C2198" w:rsidRDefault="004C2198" w:rsidP="004C2198">
      <w:pPr>
        <w:rPr>
          <w:szCs w:val="22"/>
        </w:rPr>
      </w:pPr>
      <w:r w:rsidRPr="004C2198">
        <w:rPr>
          <w:szCs w:val="22"/>
        </w:rPr>
        <w:t xml:space="preserve">Though the Scorecard and MCR Campaign make reference to liaising with voluntary </w:t>
      </w:r>
      <w:r w:rsidR="002E7026">
        <w:rPr>
          <w:szCs w:val="22"/>
        </w:rPr>
        <w:t>organiz</w:t>
      </w:r>
      <w:r w:rsidR="00D52DC6">
        <w:rPr>
          <w:szCs w:val="22"/>
        </w:rPr>
        <w:t xml:space="preserve">ations and networks, </w:t>
      </w:r>
      <w:r w:rsidRPr="004C2198">
        <w:rPr>
          <w:szCs w:val="22"/>
        </w:rPr>
        <w:t xml:space="preserve">no considerations have been made in relation to managing spontaneous volunteers or unsolicited items. </w:t>
      </w:r>
      <w:r w:rsidR="00BC7E62">
        <w:rPr>
          <w:szCs w:val="22"/>
        </w:rPr>
        <w:t>S</w:t>
      </w:r>
      <w:r w:rsidRPr="004C2198">
        <w:rPr>
          <w:szCs w:val="22"/>
        </w:rPr>
        <w:t>uch influxes c</w:t>
      </w:r>
      <w:r w:rsidR="00BC7E62">
        <w:rPr>
          <w:szCs w:val="22"/>
        </w:rPr>
        <w:t xml:space="preserve">an complicate supply chains, pose logistical challenges, </w:t>
      </w:r>
      <w:r w:rsidRPr="004C2198">
        <w:rPr>
          <w:szCs w:val="22"/>
        </w:rPr>
        <w:t xml:space="preserve">security risks, and strain critical services and infrastructure. Part of managing these challenges is interlinked with effective communication during this phase so that additional help complements, not strains, the response system. </w:t>
      </w:r>
    </w:p>
    <w:p w:rsidR="004C2198" w:rsidRPr="006E7B89" w:rsidRDefault="004C2198" w:rsidP="004C2198">
      <w:pPr>
        <w:rPr>
          <w:rFonts w:eastAsia="Times New Roman"/>
          <w:b/>
          <w:i/>
          <w:szCs w:val="22"/>
          <w:lang w:eastAsia="en-GB"/>
        </w:rPr>
      </w:pPr>
      <w:r w:rsidRPr="006E7B89">
        <w:rPr>
          <w:rFonts w:eastAsia="Times New Roman"/>
          <w:b/>
          <w:i/>
          <w:szCs w:val="22"/>
          <w:lang w:eastAsia="en-GB"/>
        </w:rPr>
        <w:t xml:space="preserve">Resilience Measures </w:t>
      </w:r>
    </w:p>
    <w:p w:rsidR="004C2198" w:rsidRPr="004C2198" w:rsidRDefault="004C2198" w:rsidP="004C2198">
      <w:pPr>
        <w:rPr>
          <w:rFonts w:eastAsia="Times New Roman" w:cs="Times New Roman"/>
          <w:lang w:eastAsia="en-GB"/>
        </w:rPr>
      </w:pPr>
      <w:r w:rsidRPr="004C2198">
        <w:rPr>
          <w:rFonts w:eastAsia="Times New Roman" w:cs="Times New Roman"/>
          <w:lang w:eastAsia="en-GB"/>
        </w:rPr>
        <w:t xml:space="preserve">There were notable discrepancies across the literature bases in measuring resilience. Whilst some provided clear numerical indicators for establishing city resilience such as mortality rates, others looked to societal indicators, such as deprivation levels, as markers of vulnerability. These differing approaches can be separated into reactive and predictive measures of city resilience. Whilst reactive measures inform administrators of the impacts of disasters, they may not be useful in supporting cities that are yet to experience such an event, but may be preparing for one. The advantage of the peer review process is that it provides opportunities for statistical and qualitative data to be collated. This allows cities to evaluate their resilience in a more meaningful way and to use measures appropriate to their context. </w:t>
      </w:r>
    </w:p>
    <w:p w:rsidR="00AF4D34" w:rsidRPr="00AF4D34" w:rsidRDefault="00BC7E62" w:rsidP="004C2198">
      <w:pPr>
        <w:rPr>
          <w:rFonts w:eastAsia="Times New Roman" w:cs="Times New Roman"/>
          <w:lang w:eastAsia="en-GB"/>
        </w:rPr>
      </w:pPr>
      <w:r>
        <w:rPr>
          <w:rFonts w:eastAsia="Times New Roman" w:cs="Times New Roman"/>
          <w:lang w:eastAsia="en-GB"/>
        </w:rPr>
        <w:t>B</w:t>
      </w:r>
      <w:r w:rsidR="004C2198" w:rsidRPr="004C2198">
        <w:rPr>
          <w:rFonts w:eastAsia="Times New Roman" w:cs="Times New Roman"/>
          <w:lang w:eastAsia="en-GB"/>
        </w:rPr>
        <w:t xml:space="preserve">oth the framework and the indicators lean towards inputs and outputs, rather than results and impacts which help to measure change at beneficiary level in social, as well as economic, terms (European Commission, 2014). This is important as a multi-stakeholder approach to resilience building is imperative. This suggests that addressing topics such as land-use from both a regulatory perspective and a community perspective may provide more holistic and sustainable solutions. Establishing metrics which acknowledge the interconnectedness of government and society, and the differing challenges they face in improving resilience, could </w:t>
      </w:r>
      <w:r w:rsidR="004C2198" w:rsidRPr="004C2198">
        <w:rPr>
          <w:rFonts w:eastAsia="Times New Roman" w:cs="Times New Roman"/>
          <w:lang w:eastAsia="en-GB"/>
        </w:rPr>
        <w:lastRenderedPageBreak/>
        <w:t xml:space="preserve">lead to more informed measures of resilience and support decision making in relation to policy and practice. </w:t>
      </w:r>
    </w:p>
    <w:p w:rsidR="004C2198" w:rsidRPr="004C2198" w:rsidRDefault="004C2198" w:rsidP="004C2198">
      <w:pPr>
        <w:keepNext/>
        <w:keepLines/>
        <w:spacing w:before="480" w:after="0"/>
        <w:outlineLvl w:val="0"/>
        <w:rPr>
          <w:rFonts w:eastAsia="Times New Roman" w:cstheme="majorBidi"/>
          <w:b/>
          <w:bCs/>
          <w:szCs w:val="28"/>
          <w:u w:val="single"/>
        </w:rPr>
      </w:pPr>
      <w:bookmarkStart w:id="4" w:name="_Toc487019204"/>
      <w:r w:rsidRPr="004C2198">
        <w:rPr>
          <w:rFonts w:eastAsiaTheme="majorEastAsia" w:cstheme="majorBidi"/>
          <w:b/>
          <w:bCs/>
          <w:szCs w:val="28"/>
          <w:u w:val="single"/>
        </w:rPr>
        <w:t>Conclusion</w:t>
      </w:r>
      <w:bookmarkEnd w:id="4"/>
    </w:p>
    <w:p w:rsidR="004C2198" w:rsidRPr="004C2198" w:rsidRDefault="008D7F0F" w:rsidP="004C2198">
      <w:pPr>
        <w:rPr>
          <w:szCs w:val="22"/>
        </w:rPr>
      </w:pPr>
      <w:r>
        <w:rPr>
          <w:rFonts w:cs="Times New Roman"/>
        </w:rPr>
        <w:t>This proposal highlights the need for continued evaluation of resilience building frameworks, especially in relation to peer review process</w:t>
      </w:r>
      <w:r w:rsidR="002E7026">
        <w:rPr>
          <w:rFonts w:cs="Times New Roman"/>
        </w:rPr>
        <w:t>es</w:t>
      </w:r>
      <w:r>
        <w:rPr>
          <w:rFonts w:cs="Times New Roman"/>
        </w:rPr>
        <w:t xml:space="preserve"> which are currently overlooked. We establish that g</w:t>
      </w:r>
      <w:r w:rsidR="004C2198" w:rsidRPr="004C2198">
        <w:rPr>
          <w:rFonts w:cs="Times New Roman"/>
        </w:rPr>
        <w:t>lobal commitment to the MCR campaign, and increased interest in peer review as a method of effectively evaluating DRR and resilience strategies, supports the need for an evaluation of the ways in which MCR is understood, conceptualised and utilised across a broad literature base. Addressing these topics from a public administration perspective coherently draws the issues of disaster management, governance, policy, city management, and peer review together.</w:t>
      </w:r>
    </w:p>
    <w:p w:rsidR="004C2198" w:rsidRDefault="004C2198" w:rsidP="004C2198">
      <w:pPr>
        <w:rPr>
          <w:rFonts w:cs="Times New Roman"/>
        </w:rPr>
      </w:pPr>
      <w:r w:rsidRPr="004C2198">
        <w:rPr>
          <w:rFonts w:cs="Times New Roman"/>
        </w:rPr>
        <w:t xml:space="preserve">This review is timely and critical as it integrates disparate literatures in order to assess what has become an industry standard in DRR and resilience building in urban environments. Whilst MCR provides a useful framework for public administrators, it is important to review its relationship with other bodies of literature also addressing these topics. </w:t>
      </w:r>
      <w:r w:rsidR="002E7026">
        <w:rPr>
          <w:rFonts w:cs="Times New Roman"/>
        </w:rPr>
        <w:t>T</w:t>
      </w:r>
      <w:r w:rsidRPr="004C2198">
        <w:rPr>
          <w:rFonts w:cs="Times New Roman"/>
        </w:rPr>
        <w:t>his paper addresses peer review processes through the lens of the 10 essentials; highlighting the strengths and weaknesses of the MCR campaign as a means of reviewing city resilience. Th</w:t>
      </w:r>
      <w:r w:rsidR="008D7F0F">
        <w:rPr>
          <w:rFonts w:cs="Times New Roman"/>
        </w:rPr>
        <w:t xml:space="preserve">e core objective of this paper is </w:t>
      </w:r>
      <w:r w:rsidRPr="004C2198">
        <w:rPr>
          <w:rFonts w:cs="Times New Roman"/>
        </w:rPr>
        <w:t xml:space="preserve">to foster critical discussions concerning the ways in which accepted tools and standards are realised, to facilitate beneficial and usable analysis of current practice, and to further research in the field of public administration.     </w:t>
      </w:r>
    </w:p>
    <w:p w:rsidR="002E7026" w:rsidRPr="002E7026" w:rsidRDefault="002E7026" w:rsidP="004C2198">
      <w:pPr>
        <w:rPr>
          <w:rFonts w:cs="Times New Roman"/>
          <w:b/>
        </w:rPr>
      </w:pPr>
      <w:r w:rsidRPr="002E7026">
        <w:rPr>
          <w:rFonts w:cs="Times New Roman"/>
          <w:b/>
        </w:rPr>
        <w:t xml:space="preserve">References </w:t>
      </w:r>
    </w:p>
    <w:p w:rsidR="0022744B" w:rsidRDefault="002E7026" w:rsidP="00913CDC">
      <w:pPr>
        <w:pStyle w:val="NoSpacing"/>
        <w:ind w:left="567" w:hanging="567"/>
      </w:pPr>
      <w:proofErr w:type="gramStart"/>
      <w:r w:rsidRPr="00B10661">
        <w:t>100 Resilient Cities.</w:t>
      </w:r>
      <w:proofErr w:type="gramEnd"/>
      <w:r w:rsidRPr="00B10661">
        <w:t xml:space="preserve"> (</w:t>
      </w:r>
      <w:proofErr w:type="spellStart"/>
      <w:r w:rsidRPr="00B10661">
        <w:t>n.d</w:t>
      </w:r>
      <w:proofErr w:type="spellEnd"/>
      <w:r w:rsidRPr="00B10661">
        <w:t xml:space="preserve">). About </w:t>
      </w:r>
      <w:proofErr w:type="gramStart"/>
      <w:r w:rsidRPr="00B10661">
        <w:t>Us</w:t>
      </w:r>
      <w:proofErr w:type="gramEnd"/>
      <w:r w:rsidRPr="00B10661">
        <w:t xml:space="preserve">, available from: </w:t>
      </w:r>
      <w:hyperlink r:id="rId7" w:anchor="/-_/" w:history="1">
        <w:r w:rsidRPr="00B10661">
          <w:t>http://www.100resilientcities.org/about us#/-_/</w:t>
        </w:r>
      </w:hyperlink>
      <w:r w:rsidRPr="00B10661">
        <w:t xml:space="preserve">, (accessed: 6/07/2017). </w:t>
      </w:r>
    </w:p>
    <w:p w:rsidR="0022744B" w:rsidRDefault="0022744B" w:rsidP="00913CDC">
      <w:pPr>
        <w:pStyle w:val="NoSpacing"/>
        <w:ind w:left="567" w:hanging="567"/>
      </w:pPr>
      <w:proofErr w:type="spellStart"/>
      <w:proofErr w:type="gramStart"/>
      <w:r w:rsidRPr="00B10661">
        <w:rPr>
          <w:rFonts w:cs="Times New Roman"/>
        </w:rPr>
        <w:t>Basu</w:t>
      </w:r>
      <w:proofErr w:type="spellEnd"/>
      <w:r w:rsidRPr="00B10661">
        <w:rPr>
          <w:rFonts w:cs="Times New Roman"/>
        </w:rPr>
        <w:t xml:space="preserve">, M., </w:t>
      </w:r>
      <w:proofErr w:type="spellStart"/>
      <w:r w:rsidRPr="00B10661">
        <w:rPr>
          <w:rFonts w:cs="Times New Roman"/>
        </w:rPr>
        <w:t>Srivastava</w:t>
      </w:r>
      <w:proofErr w:type="spellEnd"/>
      <w:r w:rsidRPr="00B10661">
        <w:rPr>
          <w:rFonts w:cs="Times New Roman"/>
        </w:rPr>
        <w:t xml:space="preserve">, N., </w:t>
      </w:r>
      <w:proofErr w:type="spellStart"/>
      <w:r w:rsidRPr="00B10661">
        <w:rPr>
          <w:rFonts w:cs="Times New Roman"/>
        </w:rPr>
        <w:t>Mulyasari</w:t>
      </w:r>
      <w:proofErr w:type="spellEnd"/>
      <w:r w:rsidRPr="00B10661">
        <w:rPr>
          <w:rFonts w:cs="Times New Roman"/>
        </w:rPr>
        <w:t>, F., &amp; Shaw, R. (2013).</w:t>
      </w:r>
      <w:proofErr w:type="gramEnd"/>
      <w:r w:rsidRPr="00B10661">
        <w:rPr>
          <w:rFonts w:cs="Times New Roman"/>
        </w:rPr>
        <w:t xml:space="preserve"> Making Cities and Local Governments Ready for Disasters: A Critical Overview of a Recent Approaches</w:t>
      </w:r>
      <w:r w:rsidRPr="00B10661">
        <w:rPr>
          <w:rFonts w:cs="Times New Roman"/>
          <w:i/>
        </w:rPr>
        <w:t xml:space="preserve"> </w:t>
      </w:r>
      <w:r w:rsidRPr="00B10661">
        <w:rPr>
          <w:rFonts w:cs="Times New Roman"/>
        </w:rPr>
        <w:t>Risk, Hazards &amp; Crisis in Public Policy 4(4): 250–273.</w:t>
      </w:r>
    </w:p>
    <w:p w:rsidR="0022744B" w:rsidRPr="00B10661" w:rsidRDefault="0022744B" w:rsidP="00913CDC">
      <w:pPr>
        <w:pStyle w:val="NoSpacing"/>
        <w:ind w:left="567" w:hanging="567"/>
      </w:pPr>
      <w:proofErr w:type="spellStart"/>
      <w:r w:rsidRPr="00B10661">
        <w:rPr>
          <w:rFonts w:cs="Times New Roman"/>
        </w:rPr>
        <w:t>Birkmann</w:t>
      </w:r>
      <w:proofErr w:type="spellEnd"/>
      <w:r w:rsidRPr="00B10661">
        <w:rPr>
          <w:rFonts w:cs="Times New Roman"/>
        </w:rPr>
        <w:t xml:space="preserve">, J., Buckle, P., Jaeger, J., </w:t>
      </w:r>
      <w:proofErr w:type="spellStart"/>
      <w:r w:rsidRPr="00B10661">
        <w:rPr>
          <w:rFonts w:cs="Times New Roman"/>
        </w:rPr>
        <w:t>Pelling</w:t>
      </w:r>
      <w:proofErr w:type="spellEnd"/>
      <w:r w:rsidRPr="00B10661">
        <w:rPr>
          <w:rFonts w:cs="Times New Roman"/>
        </w:rPr>
        <w:t xml:space="preserve">, M., </w:t>
      </w:r>
      <w:proofErr w:type="spellStart"/>
      <w:r w:rsidRPr="00B10661">
        <w:rPr>
          <w:rFonts w:cs="Times New Roman"/>
        </w:rPr>
        <w:t>Setiadi</w:t>
      </w:r>
      <w:proofErr w:type="spellEnd"/>
      <w:r w:rsidRPr="00B10661">
        <w:rPr>
          <w:rFonts w:cs="Times New Roman"/>
        </w:rPr>
        <w:t xml:space="preserve">, N., </w:t>
      </w:r>
      <w:proofErr w:type="spellStart"/>
      <w:r w:rsidRPr="00B10661">
        <w:rPr>
          <w:rFonts w:cs="Times New Roman"/>
        </w:rPr>
        <w:t>Garschagen</w:t>
      </w:r>
      <w:proofErr w:type="spellEnd"/>
      <w:r w:rsidRPr="00B10661">
        <w:rPr>
          <w:rFonts w:cs="Times New Roman"/>
        </w:rPr>
        <w:t xml:space="preserve">, M., Fernando, N., </w:t>
      </w:r>
      <w:proofErr w:type="spellStart"/>
      <w:proofErr w:type="gramStart"/>
      <w:r w:rsidRPr="00B10661">
        <w:rPr>
          <w:rFonts w:cs="Times New Roman"/>
        </w:rPr>
        <w:t>Kropp</w:t>
      </w:r>
      <w:proofErr w:type="spellEnd"/>
      <w:r w:rsidRPr="00B10661">
        <w:rPr>
          <w:rFonts w:cs="Times New Roman"/>
        </w:rPr>
        <w:t>.,</w:t>
      </w:r>
      <w:proofErr w:type="gramEnd"/>
      <w:r w:rsidRPr="00B10661">
        <w:rPr>
          <w:rFonts w:cs="Times New Roman"/>
        </w:rPr>
        <w:t xml:space="preserve"> J., (2013). </w:t>
      </w:r>
      <w:proofErr w:type="gramStart"/>
      <w:r w:rsidRPr="00B10661">
        <w:rPr>
          <w:rFonts w:cs="Times New Roman"/>
        </w:rPr>
        <w:t>Framing vulnerability, risk and societal responses: The MOVE framework.</w:t>
      </w:r>
      <w:proofErr w:type="gramEnd"/>
      <w:r w:rsidRPr="00B10661">
        <w:rPr>
          <w:rFonts w:cs="Times New Roman"/>
        </w:rPr>
        <w:t xml:space="preserve"> </w:t>
      </w:r>
      <w:r w:rsidRPr="00B10661">
        <w:rPr>
          <w:rFonts w:cs="Times New Roman"/>
          <w:i/>
        </w:rPr>
        <w:t>Natural Hazards</w:t>
      </w:r>
      <w:r w:rsidRPr="00B10661">
        <w:rPr>
          <w:rFonts w:cs="Times New Roman"/>
        </w:rPr>
        <w:t xml:space="preserve">, 67(2), pp. 193–211. </w:t>
      </w:r>
    </w:p>
    <w:p w:rsidR="0022744B" w:rsidRDefault="0022744B" w:rsidP="00913CDC">
      <w:pPr>
        <w:pStyle w:val="NoSpacing"/>
        <w:ind w:left="567" w:hanging="567"/>
      </w:pPr>
      <w:proofErr w:type="gramStart"/>
      <w:r w:rsidRPr="00B10661">
        <w:rPr>
          <w:rFonts w:cs="Times New Roman"/>
        </w:rPr>
        <w:t xml:space="preserve">Cardona, O. D., &amp; </w:t>
      </w:r>
      <w:proofErr w:type="spellStart"/>
      <w:r w:rsidRPr="00B10661">
        <w:rPr>
          <w:rFonts w:cs="Times New Roman"/>
        </w:rPr>
        <w:t>Carreño</w:t>
      </w:r>
      <w:proofErr w:type="spellEnd"/>
      <w:r w:rsidRPr="00B10661">
        <w:rPr>
          <w:rFonts w:cs="Times New Roman"/>
        </w:rPr>
        <w:t>, M. L. (2011).</w:t>
      </w:r>
      <w:proofErr w:type="gramEnd"/>
      <w:r w:rsidRPr="00B10661">
        <w:rPr>
          <w:rFonts w:cs="Times New Roman"/>
        </w:rPr>
        <w:t xml:space="preserve"> </w:t>
      </w:r>
      <w:proofErr w:type="gramStart"/>
      <w:r w:rsidRPr="00B10661">
        <w:rPr>
          <w:rFonts w:cs="Times New Roman"/>
        </w:rPr>
        <w:t>Updating the Indicators of Disaster Risk and Risk Management for the Americas.</w:t>
      </w:r>
      <w:proofErr w:type="gramEnd"/>
      <w:r w:rsidRPr="00B10661">
        <w:rPr>
          <w:rFonts w:cs="Times New Roman"/>
        </w:rPr>
        <w:t xml:space="preserve"> </w:t>
      </w:r>
      <w:r w:rsidRPr="00B10661">
        <w:rPr>
          <w:rFonts w:cs="Times New Roman"/>
          <w:i/>
        </w:rPr>
        <w:t>Journal of Integrated Disaster Risk Management</w:t>
      </w:r>
      <w:r w:rsidRPr="00B10661">
        <w:rPr>
          <w:rFonts w:cs="Times New Roman"/>
        </w:rPr>
        <w:t>, 1(1), pp. 27–47.</w:t>
      </w:r>
    </w:p>
    <w:p w:rsidR="002E7026" w:rsidRDefault="002E7026" w:rsidP="00913CDC">
      <w:pPr>
        <w:pStyle w:val="NoSpacing"/>
        <w:ind w:left="567" w:hanging="567"/>
      </w:pPr>
      <w:proofErr w:type="gramStart"/>
      <w:r w:rsidRPr="00B10661">
        <w:t>Casey, B.H. and Gold, M. (2005).</w:t>
      </w:r>
      <w:proofErr w:type="gramEnd"/>
      <w:r w:rsidRPr="00B10661">
        <w:t xml:space="preserve"> Peer review of </w:t>
      </w:r>
      <w:proofErr w:type="spellStart"/>
      <w:r w:rsidRPr="00B10661">
        <w:t>labor</w:t>
      </w:r>
      <w:proofErr w:type="spellEnd"/>
      <w:r w:rsidRPr="00B10661">
        <w:t xml:space="preserve"> market programmes in the European Union: What can countries really learn from one another? Journal of European Public Policy 12: 23–43.</w:t>
      </w:r>
    </w:p>
    <w:p w:rsidR="002E7026" w:rsidRPr="00B10661" w:rsidRDefault="002E7026" w:rsidP="00913CDC">
      <w:pPr>
        <w:pStyle w:val="NoSpacing"/>
        <w:ind w:left="567" w:hanging="567"/>
      </w:pPr>
      <w:proofErr w:type="gramStart"/>
      <w:r w:rsidRPr="00B10661">
        <w:t xml:space="preserve">Christensen, T., </w:t>
      </w:r>
      <w:proofErr w:type="spellStart"/>
      <w:r w:rsidRPr="00B10661">
        <w:t>Lægreid</w:t>
      </w:r>
      <w:proofErr w:type="spellEnd"/>
      <w:r w:rsidRPr="00B10661">
        <w:t xml:space="preserve">, P. and </w:t>
      </w:r>
      <w:proofErr w:type="spellStart"/>
      <w:r w:rsidRPr="00B10661">
        <w:t>Rykkja</w:t>
      </w:r>
      <w:proofErr w:type="spellEnd"/>
      <w:r w:rsidRPr="00B10661">
        <w:t>, L. H. (2016).</w:t>
      </w:r>
      <w:proofErr w:type="gramEnd"/>
      <w:r w:rsidRPr="00B10661">
        <w:t xml:space="preserve"> </w:t>
      </w:r>
      <w:proofErr w:type="gramStart"/>
      <w:r w:rsidRPr="00B10661">
        <w:t>Organizing for Crisis Management: Building Governance Capacity and Legitimacy.</w:t>
      </w:r>
      <w:proofErr w:type="gramEnd"/>
      <w:r w:rsidRPr="00B10661">
        <w:t xml:space="preserve"> Public Administration Review 76: 887–897. </w:t>
      </w:r>
    </w:p>
    <w:p w:rsidR="002E7026" w:rsidRPr="00B10661" w:rsidRDefault="002E7026" w:rsidP="00913CDC">
      <w:pPr>
        <w:pStyle w:val="NoSpacing"/>
        <w:ind w:left="567" w:hanging="567"/>
      </w:pPr>
      <w:proofErr w:type="gramStart"/>
      <w:r w:rsidRPr="00B10661">
        <w:t xml:space="preserve">Comfort, L.K., Waugh, W.L., and </w:t>
      </w:r>
      <w:proofErr w:type="spellStart"/>
      <w:r w:rsidRPr="00B10661">
        <w:t>Cigler</w:t>
      </w:r>
      <w:proofErr w:type="spellEnd"/>
      <w:r w:rsidRPr="00B10661">
        <w:t>, B.A. (2012).</w:t>
      </w:r>
      <w:proofErr w:type="gramEnd"/>
      <w:r w:rsidRPr="00B10661">
        <w:t xml:space="preserve"> Emergency Management Research and Practice in Public Administration: Emergence, Evolution, Expansion, and Future Directions, Public Administration Review 72(4): 539–548.</w:t>
      </w:r>
    </w:p>
    <w:p w:rsidR="0022744B" w:rsidRDefault="0022744B" w:rsidP="00913CDC">
      <w:pPr>
        <w:pStyle w:val="NoSpacing"/>
        <w:ind w:left="567" w:hanging="567"/>
      </w:pPr>
      <w:proofErr w:type="spellStart"/>
      <w:proofErr w:type="gramStart"/>
      <w:r w:rsidRPr="0022744B">
        <w:lastRenderedPageBreak/>
        <w:t>Denyer</w:t>
      </w:r>
      <w:proofErr w:type="spellEnd"/>
      <w:r w:rsidRPr="0022744B">
        <w:t xml:space="preserve">, D. &amp; </w:t>
      </w:r>
      <w:proofErr w:type="spellStart"/>
      <w:r w:rsidRPr="0022744B">
        <w:t>Tranfield</w:t>
      </w:r>
      <w:proofErr w:type="spellEnd"/>
      <w:r w:rsidRPr="0022744B">
        <w:t>, D. (2009).</w:t>
      </w:r>
      <w:proofErr w:type="gramEnd"/>
      <w:r w:rsidRPr="0022744B">
        <w:t xml:space="preserve"> “Producing A Systematic Review”, in Buchanan, D. and </w:t>
      </w:r>
      <w:proofErr w:type="spellStart"/>
      <w:r w:rsidRPr="0022744B">
        <w:t>Bryman</w:t>
      </w:r>
      <w:proofErr w:type="spellEnd"/>
      <w:r w:rsidRPr="0022744B">
        <w:t>, A. (</w:t>
      </w:r>
      <w:proofErr w:type="spellStart"/>
      <w:r w:rsidRPr="0022744B">
        <w:t>Eds</w:t>
      </w:r>
      <w:proofErr w:type="spellEnd"/>
      <w:r w:rsidRPr="0022744B">
        <w:t>), The Sage Handbook of Organisational Research Methods, Sage Publications Ltd, London, pp. 671-689.</w:t>
      </w:r>
    </w:p>
    <w:p w:rsidR="0022744B" w:rsidRDefault="0022744B" w:rsidP="00913CDC">
      <w:pPr>
        <w:pStyle w:val="NoSpacing"/>
        <w:ind w:left="567" w:hanging="567"/>
        <w:rPr>
          <w:rFonts w:cs="Times New Roman"/>
        </w:rPr>
      </w:pPr>
      <w:proofErr w:type="gramStart"/>
      <w:r w:rsidRPr="00B10661">
        <w:rPr>
          <w:rFonts w:cs="Times New Roman"/>
        </w:rPr>
        <w:t>European Commission, (2014).</w:t>
      </w:r>
      <w:proofErr w:type="gramEnd"/>
      <w:r w:rsidRPr="00B10661">
        <w:rPr>
          <w:rFonts w:cs="Times New Roman"/>
        </w:rPr>
        <w:t xml:space="preserve"> 1st Lessons Learnt Meeting on Peer Reviews,</w:t>
      </w:r>
      <w:r w:rsidRPr="00B10661">
        <w:t xml:space="preserve"> </w:t>
      </w:r>
      <w:r w:rsidRPr="00B10661">
        <w:rPr>
          <w:rFonts w:cs="Times New Roman"/>
        </w:rPr>
        <w:t xml:space="preserve">Summary Report, European Commission, DG ECHO, </w:t>
      </w:r>
      <w:proofErr w:type="gramStart"/>
      <w:r w:rsidRPr="00B10661">
        <w:rPr>
          <w:rFonts w:cs="Times New Roman"/>
        </w:rPr>
        <w:t>12</w:t>
      </w:r>
      <w:proofErr w:type="gramEnd"/>
      <w:r w:rsidRPr="00B10661">
        <w:rPr>
          <w:rFonts w:cs="Times New Roman"/>
        </w:rPr>
        <w:t xml:space="preserve"> May 2014</w:t>
      </w:r>
      <w:r>
        <w:rPr>
          <w:rFonts w:cs="Times New Roman"/>
        </w:rPr>
        <w:t>.</w:t>
      </w:r>
    </w:p>
    <w:p w:rsidR="0022744B" w:rsidRPr="00B10661" w:rsidRDefault="0022744B" w:rsidP="00913CDC">
      <w:pPr>
        <w:pStyle w:val="NoSpacing"/>
        <w:ind w:left="567" w:hanging="567"/>
      </w:pPr>
      <w:proofErr w:type="gramStart"/>
      <w:r w:rsidRPr="00B10661">
        <w:rPr>
          <w:rFonts w:cs="Times New Roman"/>
        </w:rPr>
        <w:t xml:space="preserve">Fox-Lent, C., Bates, M. E., &amp; </w:t>
      </w:r>
      <w:proofErr w:type="spellStart"/>
      <w:r w:rsidRPr="00B10661">
        <w:rPr>
          <w:rFonts w:cs="Times New Roman"/>
        </w:rPr>
        <w:t>Linkov</w:t>
      </w:r>
      <w:proofErr w:type="spellEnd"/>
      <w:r w:rsidRPr="00B10661">
        <w:rPr>
          <w:rFonts w:cs="Times New Roman"/>
        </w:rPr>
        <w:t>, I. (2015).</w:t>
      </w:r>
      <w:proofErr w:type="gramEnd"/>
      <w:r w:rsidRPr="00B10661">
        <w:rPr>
          <w:rFonts w:cs="Times New Roman"/>
        </w:rPr>
        <w:t xml:space="preserve"> A matrix approach to community resilience assessment: an illustrative case at Rockaway Peninsula. </w:t>
      </w:r>
      <w:r w:rsidRPr="00B10661">
        <w:rPr>
          <w:rFonts w:cs="Times New Roman"/>
          <w:i/>
        </w:rPr>
        <w:t>Environment Systems and Decisions</w:t>
      </w:r>
      <w:r w:rsidRPr="00B10661">
        <w:rPr>
          <w:rFonts w:cs="Times New Roman"/>
        </w:rPr>
        <w:t xml:space="preserve">, 35(2), pp. 209–218. </w:t>
      </w:r>
    </w:p>
    <w:p w:rsidR="0022744B" w:rsidRPr="00B10661" w:rsidRDefault="0022744B" w:rsidP="00913CDC">
      <w:pPr>
        <w:pStyle w:val="NoSpacing"/>
        <w:ind w:left="567" w:hanging="567"/>
      </w:pPr>
      <w:proofErr w:type="spellStart"/>
      <w:r w:rsidRPr="00B10661">
        <w:rPr>
          <w:rFonts w:cs="Times New Roman"/>
        </w:rPr>
        <w:t>Harzing</w:t>
      </w:r>
      <w:proofErr w:type="spellEnd"/>
      <w:r w:rsidRPr="00B10661">
        <w:rPr>
          <w:rFonts w:cs="Times New Roman"/>
        </w:rPr>
        <w:t xml:space="preserve">, A.W. (2007). ‘Publish or Perish’, available from: </w:t>
      </w:r>
      <w:hyperlink r:id="rId8" w:history="1">
        <w:r w:rsidRPr="00B10661">
          <w:rPr>
            <w:rFonts w:cs="Times New Roman"/>
          </w:rPr>
          <w:t>http://www.harzing.com/pop.htm</w:t>
        </w:r>
      </w:hyperlink>
      <w:r w:rsidRPr="00B10661">
        <w:rPr>
          <w:rFonts w:cs="Times New Roman"/>
        </w:rPr>
        <w:t>, (accessed: 30/05/2017).</w:t>
      </w:r>
    </w:p>
    <w:p w:rsidR="002E7026" w:rsidRDefault="002E7026" w:rsidP="00913CDC">
      <w:pPr>
        <w:pStyle w:val="NoSpacing"/>
        <w:ind w:left="567" w:hanging="567"/>
      </w:pPr>
      <w:proofErr w:type="spellStart"/>
      <w:r w:rsidRPr="00B10661">
        <w:t>Henstra</w:t>
      </w:r>
      <w:proofErr w:type="spellEnd"/>
      <w:r w:rsidRPr="00B10661">
        <w:t>, D. (2010). Evaluating Local Government Emergency Management Programs: What Framework Should Public Managers Adopt? Public Administration Review 70(2): 236–246</w:t>
      </w:r>
      <w:r>
        <w:t>.</w:t>
      </w:r>
    </w:p>
    <w:p w:rsidR="0022744B" w:rsidRPr="00B10661" w:rsidRDefault="0022744B" w:rsidP="00913CDC">
      <w:pPr>
        <w:pStyle w:val="NoSpacing"/>
        <w:ind w:left="567" w:hanging="567"/>
      </w:pPr>
      <w:proofErr w:type="gramStart"/>
      <w:r w:rsidRPr="00B10661">
        <w:rPr>
          <w:rFonts w:cs="Times New Roman"/>
        </w:rPr>
        <w:t xml:space="preserve">Fox-Lent, C., Bates, M. E., &amp; </w:t>
      </w:r>
      <w:proofErr w:type="spellStart"/>
      <w:r w:rsidRPr="00B10661">
        <w:rPr>
          <w:rFonts w:cs="Times New Roman"/>
        </w:rPr>
        <w:t>Linkov</w:t>
      </w:r>
      <w:proofErr w:type="spellEnd"/>
      <w:r w:rsidRPr="00B10661">
        <w:rPr>
          <w:rFonts w:cs="Times New Roman"/>
        </w:rPr>
        <w:t>, I. (2015).</w:t>
      </w:r>
      <w:proofErr w:type="gramEnd"/>
      <w:r w:rsidRPr="00B10661">
        <w:rPr>
          <w:rFonts w:cs="Times New Roman"/>
        </w:rPr>
        <w:t xml:space="preserve"> A matrix approach to community resilience assessment: an illustrative case at Rockaway Peninsula. </w:t>
      </w:r>
      <w:r w:rsidRPr="00B10661">
        <w:rPr>
          <w:rFonts w:cs="Times New Roman"/>
          <w:i/>
        </w:rPr>
        <w:t>Environment Systems and Decisions</w:t>
      </w:r>
      <w:r w:rsidRPr="00B10661">
        <w:rPr>
          <w:rFonts w:cs="Times New Roman"/>
        </w:rPr>
        <w:t xml:space="preserve">, 35(2), pp. 209–218. </w:t>
      </w:r>
    </w:p>
    <w:p w:rsidR="0022744B" w:rsidRPr="00B10661" w:rsidRDefault="0022744B" w:rsidP="00913CDC">
      <w:pPr>
        <w:pStyle w:val="NoSpacing"/>
        <w:ind w:left="567" w:hanging="567"/>
      </w:pPr>
      <w:proofErr w:type="spellStart"/>
      <w:proofErr w:type="gramStart"/>
      <w:r w:rsidRPr="00B10661">
        <w:rPr>
          <w:rFonts w:cs="Times New Roman"/>
        </w:rPr>
        <w:t>Leseure</w:t>
      </w:r>
      <w:proofErr w:type="spellEnd"/>
      <w:r w:rsidRPr="00B10661">
        <w:rPr>
          <w:rFonts w:cs="Times New Roman"/>
        </w:rPr>
        <w:t xml:space="preserve">, M., </w:t>
      </w:r>
      <w:proofErr w:type="spellStart"/>
      <w:r w:rsidRPr="00B10661">
        <w:rPr>
          <w:rFonts w:cs="Times New Roman"/>
        </w:rPr>
        <w:t>Birdi</w:t>
      </w:r>
      <w:proofErr w:type="spellEnd"/>
      <w:r w:rsidRPr="00B10661">
        <w:rPr>
          <w:rFonts w:cs="Times New Roman"/>
        </w:rPr>
        <w:t xml:space="preserve">, K., Bauer, J., Neely, A. &amp; </w:t>
      </w:r>
      <w:proofErr w:type="spellStart"/>
      <w:r w:rsidRPr="00B10661">
        <w:rPr>
          <w:rFonts w:cs="Times New Roman"/>
        </w:rPr>
        <w:t>Denyer</w:t>
      </w:r>
      <w:proofErr w:type="spellEnd"/>
      <w:r w:rsidRPr="00B10661">
        <w:rPr>
          <w:rFonts w:cs="Times New Roman"/>
        </w:rPr>
        <w:t>, D. (2004).</w:t>
      </w:r>
      <w:proofErr w:type="gramEnd"/>
      <w:r w:rsidRPr="00B10661">
        <w:rPr>
          <w:rFonts w:cs="Times New Roman"/>
        </w:rPr>
        <w:t xml:space="preserve"> Adoption of Promising Practices: A Systematic Review of the Evidence, International Journal of Management Reviews 5/6(3/4):169-190.</w:t>
      </w:r>
    </w:p>
    <w:p w:rsidR="0022744B" w:rsidRPr="00B10661" w:rsidRDefault="0022744B" w:rsidP="00913CDC">
      <w:pPr>
        <w:pStyle w:val="NoSpacing"/>
        <w:ind w:left="567" w:hanging="567"/>
      </w:pPr>
      <w:proofErr w:type="spellStart"/>
      <w:proofErr w:type="gramStart"/>
      <w:r w:rsidRPr="0022744B">
        <w:t>Mcallister</w:t>
      </w:r>
      <w:proofErr w:type="spellEnd"/>
      <w:r w:rsidRPr="0022744B">
        <w:t>, T. (2013).</w:t>
      </w:r>
      <w:proofErr w:type="gramEnd"/>
      <w:r w:rsidRPr="0022744B">
        <w:t xml:space="preserve"> Developing Guidelines and Standards for Disaster Resilience of the Built Environment: A Research Needs Assessment, pp. 1–142.</w:t>
      </w:r>
    </w:p>
    <w:p w:rsidR="002E7026" w:rsidRDefault="002E7026" w:rsidP="00913CDC">
      <w:pPr>
        <w:pStyle w:val="NoSpacing"/>
        <w:ind w:left="567" w:hanging="567"/>
      </w:pPr>
      <w:proofErr w:type="gramStart"/>
      <w:r w:rsidRPr="002E7026">
        <w:t>Mitchell, T., Hall, J., &amp; Muir-wood, R. (2015).</w:t>
      </w:r>
      <w:proofErr w:type="gramEnd"/>
      <w:r w:rsidRPr="002E7026">
        <w:t xml:space="preserve"> </w:t>
      </w:r>
      <w:proofErr w:type="gramStart"/>
      <w:r w:rsidRPr="002E7026">
        <w:t>Setting ,</w:t>
      </w:r>
      <w:proofErr w:type="gramEnd"/>
      <w:r w:rsidRPr="002E7026">
        <w:t xml:space="preserve"> measuring and monitoring targets for reducing disaster risk international policy frameworks, 44(0), pp. 1–8.</w:t>
      </w:r>
    </w:p>
    <w:p w:rsidR="00913CDC" w:rsidRDefault="0022744B" w:rsidP="00913CDC">
      <w:pPr>
        <w:pStyle w:val="NoSpacing"/>
        <w:ind w:left="567" w:hanging="567"/>
      </w:pPr>
      <w:proofErr w:type="spellStart"/>
      <w:r w:rsidRPr="00B10661">
        <w:rPr>
          <w:rFonts w:cs="Times New Roman"/>
        </w:rPr>
        <w:t>Ostadtaghizadeh</w:t>
      </w:r>
      <w:proofErr w:type="spellEnd"/>
      <w:r w:rsidRPr="00B10661">
        <w:rPr>
          <w:rFonts w:cs="Times New Roman"/>
        </w:rPr>
        <w:t xml:space="preserve">, A., </w:t>
      </w:r>
      <w:proofErr w:type="spellStart"/>
      <w:r w:rsidRPr="00B10661">
        <w:rPr>
          <w:rFonts w:cs="Times New Roman"/>
        </w:rPr>
        <w:t>Ardalan</w:t>
      </w:r>
      <w:proofErr w:type="spellEnd"/>
      <w:r w:rsidRPr="00B10661">
        <w:rPr>
          <w:rFonts w:cs="Times New Roman"/>
        </w:rPr>
        <w:t xml:space="preserve">, A., Paton, D., </w:t>
      </w:r>
      <w:proofErr w:type="spellStart"/>
      <w:r w:rsidRPr="00B10661">
        <w:rPr>
          <w:rFonts w:cs="Times New Roman"/>
        </w:rPr>
        <w:t>Jabbari</w:t>
      </w:r>
      <w:proofErr w:type="spellEnd"/>
      <w:r w:rsidRPr="00B10661">
        <w:rPr>
          <w:rFonts w:cs="Times New Roman"/>
        </w:rPr>
        <w:t xml:space="preserve">, H., </w:t>
      </w:r>
      <w:proofErr w:type="spellStart"/>
      <w:r w:rsidRPr="00B10661">
        <w:rPr>
          <w:rFonts w:cs="Times New Roman"/>
        </w:rPr>
        <w:t>Khankeh</w:t>
      </w:r>
      <w:proofErr w:type="spellEnd"/>
      <w:r w:rsidRPr="00B10661">
        <w:rPr>
          <w:rFonts w:cs="Times New Roman"/>
        </w:rPr>
        <w:t xml:space="preserve">, H.R. (2015). Community Disaster Resilience: a Systematic Review on Assessment Models and Tools. PLOS Currents Disasters, available from: </w:t>
      </w:r>
      <w:hyperlink r:id="rId9" w:history="1">
        <w:r w:rsidRPr="00B10661">
          <w:rPr>
            <w:rFonts w:cs="Times New Roman"/>
          </w:rPr>
          <w:t>http://currents.plos.org/disasters/article/community-disaster-resilience-a-systematic-review-on-assessment-models-and-tools/</w:t>
        </w:r>
      </w:hyperlink>
      <w:r w:rsidRPr="00B10661">
        <w:rPr>
          <w:rFonts w:cs="Times New Roman"/>
        </w:rPr>
        <w:t xml:space="preserve">, (accessed: 12/06/2017). </w:t>
      </w:r>
    </w:p>
    <w:p w:rsidR="002E7026" w:rsidRDefault="002E7026" w:rsidP="00913CDC">
      <w:pPr>
        <w:pStyle w:val="NoSpacing"/>
        <w:ind w:left="567" w:hanging="567"/>
      </w:pPr>
      <w:proofErr w:type="spellStart"/>
      <w:proofErr w:type="gramStart"/>
      <w:r w:rsidRPr="00B10661">
        <w:t>Pagani</w:t>
      </w:r>
      <w:proofErr w:type="spellEnd"/>
      <w:r w:rsidRPr="00B10661">
        <w:t>, F. (2002).</w:t>
      </w:r>
      <w:proofErr w:type="gramEnd"/>
      <w:r w:rsidRPr="00B10661">
        <w:t xml:space="preserve"> Peer Review as a Tool for Co-Operation and Change, African Security Review 11(4): 15–24. </w:t>
      </w:r>
    </w:p>
    <w:p w:rsidR="0022744B" w:rsidRPr="00B10661" w:rsidRDefault="0022744B" w:rsidP="00913CDC">
      <w:pPr>
        <w:pStyle w:val="NoSpacing"/>
        <w:ind w:left="567" w:hanging="567"/>
      </w:pPr>
      <w:proofErr w:type="gramStart"/>
      <w:r w:rsidRPr="00B10661">
        <w:t>Ritz, A., Brewer, G., &amp; Neumann, O. (2016).</w:t>
      </w:r>
      <w:proofErr w:type="gramEnd"/>
      <w:r w:rsidRPr="00B10661">
        <w:t xml:space="preserve"> Public Service Motivation: A Systematic Literature Review and Outlook, Public Administration Review 76(3): 414–426.</w:t>
      </w:r>
    </w:p>
    <w:p w:rsidR="0022744B" w:rsidRDefault="0022744B" w:rsidP="00913CDC">
      <w:pPr>
        <w:pStyle w:val="NoSpacing"/>
        <w:ind w:left="567" w:hanging="567"/>
      </w:pPr>
      <w:proofErr w:type="spellStart"/>
      <w:proofErr w:type="gramStart"/>
      <w:r>
        <w:t>Tranfield</w:t>
      </w:r>
      <w:proofErr w:type="spellEnd"/>
      <w:r>
        <w:t xml:space="preserve">, D., </w:t>
      </w:r>
      <w:proofErr w:type="spellStart"/>
      <w:r>
        <w:t>Denyer</w:t>
      </w:r>
      <w:proofErr w:type="spellEnd"/>
      <w:r>
        <w:t>, D., &amp; Smart, P. (2003).</w:t>
      </w:r>
      <w:proofErr w:type="gramEnd"/>
      <w:r>
        <w:t xml:space="preserve"> Towards A Methodology for Developing Evidence-Informed Management Knowledge by Means of Systematic Review, British Journal of Management, 14, pp. 207-222.</w:t>
      </w:r>
    </w:p>
    <w:p w:rsidR="0022744B" w:rsidRDefault="0022744B" w:rsidP="00913CDC">
      <w:pPr>
        <w:pStyle w:val="NoSpacing"/>
        <w:ind w:left="567" w:hanging="567"/>
        <w:rPr>
          <w:rFonts w:cs="Times New Roman"/>
        </w:rPr>
      </w:pPr>
      <w:proofErr w:type="gramStart"/>
      <w:r w:rsidRPr="0022744B">
        <w:rPr>
          <w:rFonts w:cs="Times New Roman"/>
        </w:rPr>
        <w:t>UNISDR.</w:t>
      </w:r>
      <w:proofErr w:type="gramEnd"/>
      <w:r w:rsidRPr="0022744B">
        <w:rPr>
          <w:rFonts w:cs="Times New Roman"/>
        </w:rPr>
        <w:t xml:space="preserve"> (2017a), How to Make Cities More Resilient: A Handbook for Local Government Leaders, UNISDR, </w:t>
      </w:r>
      <w:proofErr w:type="gramStart"/>
      <w:r w:rsidRPr="0022744B">
        <w:rPr>
          <w:rFonts w:cs="Times New Roman"/>
        </w:rPr>
        <w:t>Geneva</w:t>
      </w:r>
      <w:proofErr w:type="gramEnd"/>
      <w:r w:rsidRPr="0022744B">
        <w:rPr>
          <w:rFonts w:cs="Times New Roman"/>
        </w:rPr>
        <w:t xml:space="preserve">, available from: </w:t>
      </w:r>
      <w:hyperlink r:id="rId10" w:history="1">
        <w:r w:rsidRPr="00913CDC">
          <w:rPr>
            <w:rStyle w:val="Hyperlink"/>
            <w:rFonts w:cs="Times New Roman"/>
            <w:color w:val="auto"/>
            <w:u w:val="none"/>
          </w:rPr>
          <w:t>http://www.unisdr.org/campaign/resilientcities/assets/documents/guidelines/Handbook%20For%20Local%20Government%20Leaders_WEB_May%202017.pdf</w:t>
        </w:r>
      </w:hyperlink>
    </w:p>
    <w:p w:rsidR="00913CDC" w:rsidRDefault="002E7026" w:rsidP="00913CDC">
      <w:pPr>
        <w:pStyle w:val="NoSpacing"/>
        <w:ind w:left="567" w:hanging="567"/>
      </w:pPr>
      <w:proofErr w:type="gramStart"/>
      <w:r w:rsidRPr="00B10661">
        <w:t>UNISDR (United Nations Office for Disaster Risk Reduction), (</w:t>
      </w:r>
      <w:proofErr w:type="spellStart"/>
      <w:r w:rsidRPr="00B10661">
        <w:t>n.d</w:t>
      </w:r>
      <w:proofErr w:type="spellEnd"/>
      <w:r w:rsidRPr="00B10661">
        <w:t>, a).</w:t>
      </w:r>
      <w:proofErr w:type="gramEnd"/>
      <w:r w:rsidRPr="00B10661">
        <w:t xml:space="preserve"> About the Campaign, available from: </w:t>
      </w:r>
      <w:hyperlink r:id="rId11" w:history="1">
        <w:r w:rsidRPr="00B10661">
          <w:t>http://www.unisdr.org/campaign/resilientcities/home/faq</w:t>
        </w:r>
      </w:hyperlink>
      <w:r w:rsidR="00913CDC">
        <w:t>, (accessed: 26/06/2017).</w:t>
      </w:r>
    </w:p>
    <w:p w:rsidR="0022744B" w:rsidRPr="00913CDC" w:rsidRDefault="0022744B" w:rsidP="00913CDC">
      <w:pPr>
        <w:pStyle w:val="NoSpacing"/>
        <w:ind w:left="567" w:hanging="567"/>
        <w:rPr>
          <w:rFonts w:cs="Times New Roman"/>
        </w:rPr>
      </w:pPr>
      <w:proofErr w:type="gramStart"/>
      <w:r w:rsidRPr="00B10661">
        <w:t>UNISDR (United Nations Office for Disaster Risk Reduction), (</w:t>
      </w:r>
      <w:proofErr w:type="spellStart"/>
      <w:r w:rsidRPr="00B10661">
        <w:t>n.d</w:t>
      </w:r>
      <w:proofErr w:type="spellEnd"/>
      <w:r w:rsidRPr="00B10661">
        <w:t>, b).</w:t>
      </w:r>
      <w:proofErr w:type="gramEnd"/>
      <w:r w:rsidRPr="00B10661">
        <w:t xml:space="preserve"> Guidance Documents, available from: </w:t>
      </w:r>
      <w:hyperlink r:id="rId12" w:history="1">
        <w:r w:rsidRPr="00B10661">
          <w:t>http://www.unisdr.org/campaign/resilientcities/home/toolkitblkitem/?id=1</w:t>
        </w:r>
      </w:hyperlink>
      <w:proofErr w:type="gramStart"/>
      <w:r w:rsidRPr="00B10661">
        <w:t>, ,</w:t>
      </w:r>
      <w:proofErr w:type="gramEnd"/>
      <w:r w:rsidRPr="00B10661">
        <w:t xml:space="preserve"> (accessed: 26/06/2017).</w:t>
      </w:r>
    </w:p>
    <w:p w:rsidR="0022744B" w:rsidRDefault="0022744B" w:rsidP="00913CDC">
      <w:pPr>
        <w:pStyle w:val="NoSpacing"/>
        <w:ind w:left="567" w:hanging="567"/>
        <w:rPr>
          <w:rFonts w:cs="Times New Roman"/>
        </w:rPr>
      </w:pPr>
      <w:proofErr w:type="gramStart"/>
      <w:r w:rsidRPr="00B10661">
        <w:rPr>
          <w:rFonts w:cs="Times New Roman"/>
        </w:rPr>
        <w:t>UNISDR.</w:t>
      </w:r>
      <w:proofErr w:type="gramEnd"/>
      <w:r w:rsidRPr="00B10661">
        <w:rPr>
          <w:rFonts w:cs="Times New Roman"/>
        </w:rPr>
        <w:t xml:space="preserve"> (</w:t>
      </w:r>
      <w:proofErr w:type="spellStart"/>
      <w:r w:rsidRPr="00B10661">
        <w:rPr>
          <w:rFonts w:cs="Times New Roman"/>
        </w:rPr>
        <w:t>n.d</w:t>
      </w:r>
      <w:proofErr w:type="spellEnd"/>
      <w:r w:rsidRPr="00B10661">
        <w:rPr>
          <w:rFonts w:cs="Times New Roman"/>
        </w:rPr>
        <w:t xml:space="preserve">, c), Essential Two: Identify, Understand and Use Current and Future Risk Scenarios, available from: </w:t>
      </w:r>
      <w:hyperlink r:id="rId13" w:history="1">
        <w:r w:rsidRPr="00B10661">
          <w:rPr>
            <w:rFonts w:cs="Times New Roman"/>
          </w:rPr>
          <w:t>http://www.unisdr.org/campaign/resilientcities/home/index/Essential%20Two:%20Iden</w:t>
        </w:r>
        <w:r w:rsidRPr="00B10661">
          <w:rPr>
            <w:rFonts w:cs="Times New Roman"/>
          </w:rPr>
          <w:lastRenderedPageBreak/>
          <w:t>tify%20Understand%20and%20Use%20Current%20and%20Future%20Risk%20Scenarios/?id=2</w:t>
        </w:r>
      </w:hyperlink>
    </w:p>
    <w:p w:rsidR="00913CDC" w:rsidRDefault="0022744B" w:rsidP="00913CDC">
      <w:pPr>
        <w:pStyle w:val="NoSpacing"/>
        <w:ind w:left="567" w:hanging="567"/>
      </w:pPr>
      <w:proofErr w:type="gramStart"/>
      <w:r w:rsidRPr="00B10661">
        <w:rPr>
          <w:rFonts w:cs="Times New Roman"/>
        </w:rPr>
        <w:t>UNISDR.</w:t>
      </w:r>
      <w:proofErr w:type="gramEnd"/>
      <w:r w:rsidRPr="00B10661">
        <w:rPr>
          <w:rFonts w:cs="Times New Roman"/>
        </w:rPr>
        <w:t xml:space="preserve"> (</w:t>
      </w:r>
      <w:proofErr w:type="spellStart"/>
      <w:r w:rsidRPr="00B10661">
        <w:rPr>
          <w:rFonts w:cs="Times New Roman"/>
        </w:rPr>
        <w:t>n.d</w:t>
      </w:r>
      <w:proofErr w:type="spellEnd"/>
      <w:r w:rsidRPr="00B10661">
        <w:rPr>
          <w:rFonts w:cs="Times New Roman"/>
        </w:rPr>
        <w:t>, k),</w:t>
      </w:r>
      <w:r w:rsidRPr="00B10661">
        <w:t xml:space="preserve"> </w:t>
      </w:r>
      <w:r w:rsidRPr="00B10661">
        <w:rPr>
          <w:rFonts w:cs="Times New Roman"/>
        </w:rPr>
        <w:t xml:space="preserve">Essential Nine: Ensure Effective Disaster Response, available from: </w:t>
      </w:r>
      <w:hyperlink r:id="rId14" w:history="1">
        <w:r w:rsidRPr="00913CDC">
          <w:rPr>
            <w:rStyle w:val="Hyperlink"/>
            <w:rFonts w:cs="Times New Roman"/>
            <w:color w:val="auto"/>
            <w:u w:val="none"/>
          </w:rPr>
          <w:t>http://www.unisdr.org/campaign/resilientcities/home/index/Essential%20Nine:%20Ensure%20Effective%20Disaster%20Response%C2%A0/?id=9</w:t>
        </w:r>
      </w:hyperlink>
    </w:p>
    <w:p w:rsidR="002E7026" w:rsidRPr="00B10661" w:rsidRDefault="002E7026" w:rsidP="00913CDC">
      <w:pPr>
        <w:pStyle w:val="NoSpacing"/>
        <w:ind w:left="567" w:hanging="567"/>
      </w:pPr>
      <w:proofErr w:type="gramStart"/>
      <w:r w:rsidRPr="00B10661">
        <w:rPr>
          <w:rFonts w:cs="Times New Roman"/>
        </w:rPr>
        <w:t xml:space="preserve">Waugh, W., &amp; </w:t>
      </w:r>
      <w:proofErr w:type="spellStart"/>
      <w:r w:rsidRPr="00B10661">
        <w:rPr>
          <w:rFonts w:cs="Times New Roman"/>
        </w:rPr>
        <w:t>Streib</w:t>
      </w:r>
      <w:proofErr w:type="spellEnd"/>
      <w:r w:rsidRPr="00B10661">
        <w:rPr>
          <w:rFonts w:cs="Times New Roman"/>
        </w:rPr>
        <w:t>, G. (2006).</w:t>
      </w:r>
      <w:proofErr w:type="gramEnd"/>
      <w:r w:rsidRPr="00B10661">
        <w:rPr>
          <w:rFonts w:cs="Times New Roman"/>
        </w:rPr>
        <w:t xml:space="preserve"> </w:t>
      </w:r>
      <w:proofErr w:type="gramStart"/>
      <w:r w:rsidRPr="00B10661">
        <w:rPr>
          <w:rFonts w:cs="Times New Roman"/>
        </w:rPr>
        <w:t>Collaboration and leadership for effective emergency management.</w:t>
      </w:r>
      <w:proofErr w:type="gramEnd"/>
      <w:r w:rsidRPr="00B10661">
        <w:rPr>
          <w:rFonts w:cs="Times New Roman"/>
        </w:rPr>
        <w:t xml:space="preserve"> Public Administration Review 66(1): 131-140.</w:t>
      </w:r>
    </w:p>
    <w:p w:rsidR="002E7026" w:rsidRPr="00B10661" w:rsidRDefault="002E7026" w:rsidP="002E7026">
      <w:pPr>
        <w:pStyle w:val="NoSpacing"/>
        <w:ind w:left="567" w:hanging="567"/>
      </w:pPr>
    </w:p>
    <w:p w:rsidR="002E7026" w:rsidRDefault="002E7026" w:rsidP="004C2198">
      <w:pPr>
        <w:rPr>
          <w:rFonts w:cs="Times New Roman"/>
        </w:rPr>
      </w:pPr>
    </w:p>
    <w:p w:rsidR="002E7026" w:rsidRPr="004C2198" w:rsidRDefault="002E7026" w:rsidP="004C2198">
      <w:pPr>
        <w:rPr>
          <w:rFonts w:cs="Times New Roman"/>
        </w:rPr>
      </w:pPr>
    </w:p>
    <w:p w:rsidR="002D1D1F" w:rsidRDefault="002D1D1F" w:rsidP="00D22203">
      <w:pPr>
        <w:spacing w:after="0" w:line="240" w:lineRule="auto"/>
        <w:rPr>
          <w:rFonts w:eastAsia="Times New Roman" w:cs="Times New Roman"/>
          <w:lang w:eastAsia="en-GB"/>
        </w:rPr>
      </w:pPr>
    </w:p>
    <w:p w:rsidR="00D22203" w:rsidRPr="00D22203" w:rsidRDefault="00D22203" w:rsidP="00D22203">
      <w:pPr>
        <w:spacing w:after="0" w:line="240" w:lineRule="auto"/>
        <w:rPr>
          <w:rFonts w:eastAsia="Times New Roman" w:cs="Times New Roman"/>
          <w:lang w:eastAsia="en-GB"/>
        </w:rPr>
      </w:pPr>
      <w:r w:rsidRPr="00D22203">
        <w:rPr>
          <w:rFonts w:eastAsia="Times New Roman" w:cs="Times New Roman"/>
          <w:lang w:eastAsia="en-GB"/>
        </w:rPr>
        <w:t>This project p</w:t>
      </w:r>
      <w:r>
        <w:rPr>
          <w:rFonts w:eastAsia="Times New Roman" w:cs="Times New Roman"/>
          <w:lang w:eastAsia="en-GB"/>
        </w:rPr>
        <w:t>roposal has 4 learning outcomes;</w:t>
      </w:r>
      <w:r w:rsidRPr="00D22203">
        <w:rPr>
          <w:rFonts w:eastAsia="Times New Roman" w:cs="Times New Roman"/>
          <w:lang w:eastAsia="en-GB"/>
        </w:rPr>
        <w:t xml:space="preserve"> they reach across theory and practice and are divided between the academic community and practitioners.</w:t>
      </w:r>
    </w:p>
    <w:p w:rsidR="00D22203" w:rsidRPr="00D22203" w:rsidRDefault="00D22203" w:rsidP="00D22203">
      <w:pPr>
        <w:spacing w:after="0" w:line="240" w:lineRule="auto"/>
        <w:rPr>
          <w:rFonts w:eastAsia="Times New Roman" w:cs="Times New Roman"/>
          <w:lang w:eastAsia="en-GB"/>
        </w:rPr>
      </w:pPr>
    </w:p>
    <w:p w:rsidR="00D22203" w:rsidRPr="00D22203" w:rsidRDefault="00D22203" w:rsidP="00D22203">
      <w:pPr>
        <w:spacing w:after="0" w:line="240" w:lineRule="auto"/>
        <w:rPr>
          <w:rFonts w:eastAsia="Times New Roman" w:cs="Times New Roman"/>
          <w:lang w:eastAsia="en-GB"/>
        </w:rPr>
      </w:pPr>
    </w:p>
    <w:p w:rsidR="00D22203" w:rsidRPr="00D22203" w:rsidRDefault="00D22203" w:rsidP="00D22203">
      <w:pPr>
        <w:spacing w:after="0" w:line="240" w:lineRule="auto"/>
        <w:rPr>
          <w:rFonts w:eastAsia="Times New Roman" w:cs="Times New Roman"/>
          <w:lang w:eastAsia="en-GB"/>
        </w:rPr>
      </w:pPr>
      <w:r w:rsidRPr="00D22203">
        <w:rPr>
          <w:rFonts w:eastAsia="Times New Roman" w:cs="Times New Roman"/>
          <w:lang w:eastAsia="en-GB"/>
        </w:rPr>
        <w:t>1.     To provide a critical analysis of the extant literature through a systematic review relating to city level peer-review to clarify use of terminology, conceptualizations of disaster resilience and measures of resilience.</w:t>
      </w:r>
    </w:p>
    <w:p w:rsidR="00D22203" w:rsidRPr="00D22203" w:rsidRDefault="00D22203" w:rsidP="00D22203">
      <w:pPr>
        <w:spacing w:after="0" w:line="240" w:lineRule="auto"/>
        <w:rPr>
          <w:rFonts w:eastAsia="Times New Roman" w:cs="Times New Roman"/>
          <w:lang w:eastAsia="en-GB"/>
        </w:rPr>
      </w:pPr>
    </w:p>
    <w:p w:rsidR="00D22203" w:rsidRPr="00D22203" w:rsidRDefault="00D22203" w:rsidP="00D22203">
      <w:pPr>
        <w:spacing w:after="0" w:line="240" w:lineRule="auto"/>
        <w:rPr>
          <w:rFonts w:eastAsia="Times New Roman" w:cs="Times New Roman"/>
          <w:lang w:eastAsia="en-GB"/>
        </w:rPr>
      </w:pPr>
      <w:r w:rsidRPr="00D22203">
        <w:rPr>
          <w:rFonts w:eastAsia="Times New Roman" w:cs="Times New Roman"/>
          <w:lang w:eastAsia="en-GB"/>
        </w:rPr>
        <w:t>2.     To identify research gaps in the existing literature through a critical comparison of extant literature with the UNISDR Making Cities Resilience (MCR) ten essentials.</w:t>
      </w:r>
    </w:p>
    <w:p w:rsidR="00D22203" w:rsidRPr="00D22203" w:rsidRDefault="00D22203" w:rsidP="00D22203">
      <w:pPr>
        <w:spacing w:after="0" w:line="240" w:lineRule="auto"/>
        <w:rPr>
          <w:rFonts w:eastAsia="Times New Roman" w:cs="Times New Roman"/>
          <w:lang w:eastAsia="en-GB"/>
        </w:rPr>
      </w:pPr>
    </w:p>
    <w:p w:rsidR="00D22203" w:rsidRPr="00D22203" w:rsidRDefault="00D22203" w:rsidP="00D22203">
      <w:pPr>
        <w:spacing w:after="0" w:line="240" w:lineRule="auto"/>
        <w:rPr>
          <w:rFonts w:eastAsia="Times New Roman" w:cs="Times New Roman"/>
          <w:lang w:eastAsia="en-GB"/>
        </w:rPr>
      </w:pPr>
      <w:r w:rsidRPr="00D22203">
        <w:rPr>
          <w:rFonts w:eastAsia="Times New Roman" w:cs="Times New Roman"/>
          <w:lang w:eastAsia="en-GB"/>
        </w:rPr>
        <w:t>3.     To identify gaps in practice through a critical comparison of MCR and other practitioner frameworks with the extant literature.</w:t>
      </w:r>
    </w:p>
    <w:p w:rsidR="00D22203" w:rsidRPr="00D22203" w:rsidRDefault="00D22203" w:rsidP="00D22203">
      <w:pPr>
        <w:spacing w:after="0" w:line="240" w:lineRule="auto"/>
        <w:rPr>
          <w:rFonts w:eastAsia="Times New Roman" w:cs="Times New Roman"/>
          <w:lang w:eastAsia="en-GB"/>
        </w:rPr>
      </w:pPr>
    </w:p>
    <w:p w:rsidR="00D22203" w:rsidRPr="00D22203" w:rsidRDefault="00D22203" w:rsidP="00D22203">
      <w:pPr>
        <w:spacing w:after="0" w:line="240" w:lineRule="auto"/>
        <w:rPr>
          <w:rFonts w:eastAsia="Times New Roman" w:cs="Times New Roman"/>
          <w:lang w:eastAsia="en-GB"/>
        </w:rPr>
      </w:pPr>
      <w:r w:rsidRPr="00D22203">
        <w:rPr>
          <w:rFonts w:eastAsia="Times New Roman" w:cs="Times New Roman"/>
          <w:lang w:eastAsia="en-GB"/>
        </w:rPr>
        <w:t xml:space="preserve">4.     </w:t>
      </w:r>
      <w:proofErr w:type="gramStart"/>
      <w:r w:rsidRPr="00D22203">
        <w:rPr>
          <w:rFonts w:eastAsia="Times New Roman" w:cs="Times New Roman"/>
          <w:lang w:eastAsia="en-GB"/>
        </w:rPr>
        <w:t>To</w:t>
      </w:r>
      <w:proofErr w:type="gramEnd"/>
      <w:r w:rsidRPr="00D22203">
        <w:rPr>
          <w:rFonts w:eastAsia="Times New Roman" w:cs="Times New Roman"/>
          <w:lang w:eastAsia="en-GB"/>
        </w:rPr>
        <w:t xml:space="preserve"> identity implications for theory and practice in DRR.</w:t>
      </w:r>
    </w:p>
    <w:p w:rsidR="00D22203" w:rsidRPr="00D22203" w:rsidRDefault="00D22203" w:rsidP="00D22203">
      <w:pPr>
        <w:spacing w:after="0" w:line="240" w:lineRule="auto"/>
        <w:rPr>
          <w:rFonts w:eastAsia="Times New Roman" w:cs="Times New Roman"/>
          <w:lang w:eastAsia="en-GB"/>
        </w:rPr>
      </w:pPr>
    </w:p>
    <w:p w:rsidR="00D22203" w:rsidRPr="00D22203" w:rsidRDefault="00D22203" w:rsidP="00D22203">
      <w:pPr>
        <w:spacing w:after="0" w:line="240" w:lineRule="auto"/>
        <w:rPr>
          <w:rFonts w:eastAsia="Times New Roman" w:cs="Times New Roman"/>
          <w:lang w:eastAsia="en-GB"/>
        </w:rPr>
      </w:pPr>
    </w:p>
    <w:sectPr w:rsidR="00D22203" w:rsidRPr="00D22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73A21"/>
    <w:multiLevelType w:val="hybridMultilevel"/>
    <w:tmpl w:val="EA185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2C43D29"/>
    <w:multiLevelType w:val="hybridMultilevel"/>
    <w:tmpl w:val="1352A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5F"/>
    <w:rsid w:val="000E7EC5"/>
    <w:rsid w:val="000F246D"/>
    <w:rsid w:val="001938F0"/>
    <w:rsid w:val="0021596E"/>
    <w:rsid w:val="0022744B"/>
    <w:rsid w:val="002701B5"/>
    <w:rsid w:val="00294E1B"/>
    <w:rsid w:val="002D1D1F"/>
    <w:rsid w:val="002E7026"/>
    <w:rsid w:val="003251C7"/>
    <w:rsid w:val="003570C4"/>
    <w:rsid w:val="00362DAF"/>
    <w:rsid w:val="003F3FC4"/>
    <w:rsid w:val="00420810"/>
    <w:rsid w:val="00425941"/>
    <w:rsid w:val="00440200"/>
    <w:rsid w:val="004B3802"/>
    <w:rsid w:val="004C2198"/>
    <w:rsid w:val="004D595F"/>
    <w:rsid w:val="0050300A"/>
    <w:rsid w:val="00554771"/>
    <w:rsid w:val="00634B2D"/>
    <w:rsid w:val="0069045F"/>
    <w:rsid w:val="006E7B89"/>
    <w:rsid w:val="007361AC"/>
    <w:rsid w:val="00751CA8"/>
    <w:rsid w:val="007E0E90"/>
    <w:rsid w:val="007E36B6"/>
    <w:rsid w:val="008D7F0F"/>
    <w:rsid w:val="008F08DE"/>
    <w:rsid w:val="00913CDC"/>
    <w:rsid w:val="00963002"/>
    <w:rsid w:val="009E1215"/>
    <w:rsid w:val="00A422D1"/>
    <w:rsid w:val="00A56CAD"/>
    <w:rsid w:val="00A97C1B"/>
    <w:rsid w:val="00AE7BFB"/>
    <w:rsid w:val="00AF4D34"/>
    <w:rsid w:val="00B37511"/>
    <w:rsid w:val="00B83AAC"/>
    <w:rsid w:val="00B85CAA"/>
    <w:rsid w:val="00B924C0"/>
    <w:rsid w:val="00BC7E62"/>
    <w:rsid w:val="00BD09BA"/>
    <w:rsid w:val="00BD3B52"/>
    <w:rsid w:val="00C03C43"/>
    <w:rsid w:val="00C108D3"/>
    <w:rsid w:val="00CC67EF"/>
    <w:rsid w:val="00CE68DE"/>
    <w:rsid w:val="00D22203"/>
    <w:rsid w:val="00D358B9"/>
    <w:rsid w:val="00D52DC6"/>
    <w:rsid w:val="00D63F7A"/>
    <w:rsid w:val="00E00809"/>
    <w:rsid w:val="00EC1180"/>
    <w:rsid w:val="00ED13C8"/>
    <w:rsid w:val="00EF0806"/>
    <w:rsid w:val="00F05E2F"/>
    <w:rsid w:val="00F17963"/>
    <w:rsid w:val="00FA0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198"/>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C2198"/>
    <w:pPr>
      <w:keepNext/>
      <w:keepLines/>
      <w:spacing w:before="200" w:after="0"/>
      <w:ind w:left="72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D1F"/>
  </w:style>
  <w:style w:type="paragraph" w:styleId="NormalWeb">
    <w:name w:val="Normal (Web)"/>
    <w:basedOn w:val="Normal"/>
    <w:uiPriority w:val="99"/>
    <w:semiHidden/>
    <w:unhideWhenUsed/>
    <w:rsid w:val="002D1D1F"/>
    <w:pPr>
      <w:spacing w:before="100" w:beforeAutospacing="1" w:after="100" w:afterAutospacing="1" w:line="240" w:lineRule="auto"/>
    </w:pPr>
    <w:rPr>
      <w:rFonts w:eastAsia="Times New Roman" w:cs="Times New Roman"/>
      <w:lang w:eastAsia="en-GB"/>
    </w:rPr>
  </w:style>
  <w:style w:type="character" w:styleId="CommentReference">
    <w:name w:val="annotation reference"/>
    <w:basedOn w:val="DefaultParagraphFont"/>
    <w:uiPriority w:val="99"/>
    <w:semiHidden/>
    <w:unhideWhenUsed/>
    <w:rsid w:val="000F246D"/>
    <w:rPr>
      <w:sz w:val="16"/>
      <w:szCs w:val="16"/>
    </w:rPr>
  </w:style>
  <w:style w:type="paragraph" w:styleId="CommentText">
    <w:name w:val="annotation text"/>
    <w:basedOn w:val="Normal"/>
    <w:link w:val="CommentTextChar"/>
    <w:uiPriority w:val="99"/>
    <w:unhideWhenUsed/>
    <w:rsid w:val="000F246D"/>
    <w:pPr>
      <w:spacing w:line="240" w:lineRule="auto"/>
    </w:pPr>
    <w:rPr>
      <w:sz w:val="20"/>
      <w:szCs w:val="20"/>
    </w:rPr>
  </w:style>
  <w:style w:type="character" w:customStyle="1" w:styleId="CommentTextChar">
    <w:name w:val="Comment Text Char"/>
    <w:basedOn w:val="DefaultParagraphFont"/>
    <w:link w:val="CommentText"/>
    <w:uiPriority w:val="99"/>
    <w:rsid w:val="000F246D"/>
    <w:rPr>
      <w:sz w:val="20"/>
      <w:szCs w:val="20"/>
    </w:rPr>
  </w:style>
  <w:style w:type="paragraph" w:styleId="BalloonText">
    <w:name w:val="Balloon Text"/>
    <w:basedOn w:val="Normal"/>
    <w:link w:val="BalloonTextChar"/>
    <w:uiPriority w:val="99"/>
    <w:semiHidden/>
    <w:unhideWhenUsed/>
    <w:rsid w:val="000F2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46D"/>
    <w:rPr>
      <w:rFonts w:ascii="Tahoma" w:hAnsi="Tahoma" w:cs="Tahoma"/>
      <w:sz w:val="16"/>
      <w:szCs w:val="16"/>
    </w:rPr>
  </w:style>
  <w:style w:type="table" w:styleId="TableGrid">
    <w:name w:val="Table Grid"/>
    <w:basedOn w:val="TableNormal"/>
    <w:uiPriority w:val="59"/>
    <w:rsid w:val="000F246D"/>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F246D"/>
    <w:pPr>
      <w:spacing w:after="0" w:line="240" w:lineRule="auto"/>
    </w:pPr>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2198"/>
    <w:rPr>
      <w:rFonts w:eastAsiaTheme="majorEastAsia" w:cstheme="majorBidi"/>
      <w:b/>
      <w:bCs/>
      <w:szCs w:val="28"/>
    </w:rPr>
  </w:style>
  <w:style w:type="character" w:customStyle="1" w:styleId="Heading2Char">
    <w:name w:val="Heading 2 Char"/>
    <w:basedOn w:val="DefaultParagraphFont"/>
    <w:link w:val="Heading2"/>
    <w:uiPriority w:val="9"/>
    <w:rsid w:val="004C2198"/>
    <w:rPr>
      <w:rFonts w:eastAsiaTheme="majorEastAsia" w:cstheme="majorBidi"/>
      <w:bCs/>
      <w:i/>
      <w:szCs w:val="26"/>
    </w:rPr>
  </w:style>
  <w:style w:type="numbering" w:customStyle="1" w:styleId="NoList1">
    <w:name w:val="No List1"/>
    <w:next w:val="NoList"/>
    <w:uiPriority w:val="99"/>
    <w:semiHidden/>
    <w:unhideWhenUsed/>
    <w:rsid w:val="004C2198"/>
  </w:style>
  <w:style w:type="numbering" w:customStyle="1" w:styleId="NoList11">
    <w:name w:val="No List11"/>
    <w:next w:val="NoList"/>
    <w:uiPriority w:val="99"/>
    <w:semiHidden/>
    <w:unhideWhenUsed/>
    <w:rsid w:val="004C2198"/>
  </w:style>
  <w:style w:type="paragraph" w:styleId="ListParagraph">
    <w:name w:val="List Paragraph"/>
    <w:basedOn w:val="Normal"/>
    <w:uiPriority w:val="34"/>
    <w:qFormat/>
    <w:rsid w:val="004C2198"/>
    <w:pPr>
      <w:ind w:left="720"/>
      <w:contextualSpacing/>
    </w:pPr>
    <w:rPr>
      <w:szCs w:val="22"/>
    </w:rPr>
  </w:style>
  <w:style w:type="character" w:customStyle="1" w:styleId="current-selection">
    <w:name w:val="current-selection"/>
    <w:basedOn w:val="DefaultParagraphFont"/>
    <w:rsid w:val="004C2198"/>
  </w:style>
  <w:style w:type="character" w:customStyle="1" w:styleId="ff7">
    <w:name w:val="ff7"/>
    <w:basedOn w:val="DefaultParagraphFont"/>
    <w:rsid w:val="004C2198"/>
  </w:style>
  <w:style w:type="character" w:customStyle="1" w:styleId="singlehighlightclass">
    <w:name w:val="single_highlight_class"/>
    <w:basedOn w:val="DefaultParagraphFont"/>
    <w:rsid w:val="004C2198"/>
  </w:style>
  <w:style w:type="character" w:styleId="Hyperlink">
    <w:name w:val="Hyperlink"/>
    <w:basedOn w:val="DefaultParagraphFont"/>
    <w:uiPriority w:val="99"/>
    <w:unhideWhenUsed/>
    <w:rsid w:val="004C219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C2198"/>
    <w:rPr>
      <w:b/>
      <w:bCs/>
    </w:rPr>
  </w:style>
  <w:style w:type="character" w:customStyle="1" w:styleId="CommentSubjectChar">
    <w:name w:val="Comment Subject Char"/>
    <w:basedOn w:val="CommentTextChar"/>
    <w:link w:val="CommentSubject"/>
    <w:uiPriority w:val="99"/>
    <w:semiHidden/>
    <w:rsid w:val="004C2198"/>
    <w:rPr>
      <w:b/>
      <w:bCs/>
      <w:sz w:val="20"/>
      <w:szCs w:val="20"/>
    </w:rPr>
  </w:style>
  <w:style w:type="paragraph" w:styleId="Revision">
    <w:name w:val="Revision"/>
    <w:hidden/>
    <w:uiPriority w:val="99"/>
    <w:semiHidden/>
    <w:rsid w:val="004C2198"/>
    <w:pPr>
      <w:spacing w:after="0" w:line="240" w:lineRule="auto"/>
    </w:pPr>
    <w:rPr>
      <w:szCs w:val="22"/>
    </w:rPr>
  </w:style>
  <w:style w:type="paragraph" w:styleId="NoSpacing">
    <w:name w:val="No Spacing"/>
    <w:uiPriority w:val="1"/>
    <w:qFormat/>
    <w:rsid w:val="004C2198"/>
    <w:pPr>
      <w:spacing w:after="0" w:line="240" w:lineRule="auto"/>
    </w:pPr>
    <w:rPr>
      <w:szCs w:val="22"/>
    </w:rPr>
  </w:style>
  <w:style w:type="paragraph" w:styleId="Header">
    <w:name w:val="header"/>
    <w:basedOn w:val="Normal"/>
    <w:link w:val="HeaderChar"/>
    <w:uiPriority w:val="99"/>
    <w:unhideWhenUsed/>
    <w:rsid w:val="004C2198"/>
    <w:pPr>
      <w:tabs>
        <w:tab w:val="center" w:pos="4513"/>
        <w:tab w:val="right" w:pos="9026"/>
      </w:tabs>
      <w:spacing w:after="0" w:line="240" w:lineRule="auto"/>
    </w:pPr>
    <w:rPr>
      <w:szCs w:val="22"/>
    </w:rPr>
  </w:style>
  <w:style w:type="character" w:customStyle="1" w:styleId="HeaderChar">
    <w:name w:val="Header Char"/>
    <w:basedOn w:val="DefaultParagraphFont"/>
    <w:link w:val="Header"/>
    <w:uiPriority w:val="99"/>
    <w:rsid w:val="004C2198"/>
    <w:rPr>
      <w:szCs w:val="22"/>
    </w:rPr>
  </w:style>
  <w:style w:type="paragraph" w:styleId="Footer">
    <w:name w:val="footer"/>
    <w:basedOn w:val="Normal"/>
    <w:link w:val="FooterChar"/>
    <w:uiPriority w:val="99"/>
    <w:unhideWhenUsed/>
    <w:rsid w:val="004C2198"/>
    <w:pPr>
      <w:tabs>
        <w:tab w:val="center" w:pos="4513"/>
        <w:tab w:val="right" w:pos="9026"/>
      </w:tabs>
      <w:spacing w:after="0" w:line="240" w:lineRule="auto"/>
    </w:pPr>
    <w:rPr>
      <w:szCs w:val="22"/>
    </w:rPr>
  </w:style>
  <w:style w:type="character" w:customStyle="1" w:styleId="FooterChar">
    <w:name w:val="Footer Char"/>
    <w:basedOn w:val="DefaultParagraphFont"/>
    <w:link w:val="Footer"/>
    <w:uiPriority w:val="99"/>
    <w:rsid w:val="004C2198"/>
    <w:rPr>
      <w:szCs w:val="22"/>
    </w:rPr>
  </w:style>
  <w:style w:type="numbering" w:customStyle="1" w:styleId="NoList111">
    <w:name w:val="No List111"/>
    <w:next w:val="NoList"/>
    <w:uiPriority w:val="99"/>
    <w:semiHidden/>
    <w:unhideWhenUsed/>
    <w:rsid w:val="004C2198"/>
  </w:style>
  <w:style w:type="paragraph" w:styleId="TOCHeading">
    <w:name w:val="TOC Heading"/>
    <w:basedOn w:val="Heading1"/>
    <w:next w:val="Normal"/>
    <w:uiPriority w:val="39"/>
    <w:semiHidden/>
    <w:unhideWhenUsed/>
    <w:qFormat/>
    <w:rsid w:val="004C2198"/>
    <w:pPr>
      <w:outlineLvl w:val="9"/>
    </w:pPr>
    <w:rPr>
      <w:lang w:val="en-US" w:eastAsia="ja-JP"/>
    </w:rPr>
  </w:style>
  <w:style w:type="paragraph" w:styleId="Subtitle">
    <w:name w:val="Subtitle"/>
    <w:basedOn w:val="Normal"/>
    <w:next w:val="Normal"/>
    <w:link w:val="SubtitleChar"/>
    <w:uiPriority w:val="11"/>
    <w:qFormat/>
    <w:rsid w:val="004C2198"/>
    <w:pPr>
      <w:numPr>
        <w:ilvl w:val="1"/>
      </w:numPr>
      <w:ind w:left="720"/>
    </w:pPr>
    <w:rPr>
      <w:rFonts w:eastAsiaTheme="majorEastAsia" w:cstheme="majorBidi"/>
      <w:i/>
      <w:iCs/>
      <w:spacing w:val="15"/>
    </w:rPr>
  </w:style>
  <w:style w:type="character" w:customStyle="1" w:styleId="SubtitleChar">
    <w:name w:val="Subtitle Char"/>
    <w:basedOn w:val="DefaultParagraphFont"/>
    <w:link w:val="Subtitle"/>
    <w:uiPriority w:val="11"/>
    <w:rsid w:val="004C2198"/>
    <w:rPr>
      <w:rFonts w:eastAsiaTheme="majorEastAsia" w:cstheme="majorBidi"/>
      <w:i/>
      <w:iCs/>
      <w:spacing w:val="15"/>
    </w:rPr>
  </w:style>
  <w:style w:type="paragraph" w:styleId="TOC1">
    <w:name w:val="toc 1"/>
    <w:basedOn w:val="Normal"/>
    <w:next w:val="Normal"/>
    <w:autoRedefine/>
    <w:uiPriority w:val="39"/>
    <w:unhideWhenUsed/>
    <w:rsid w:val="004C2198"/>
    <w:pPr>
      <w:spacing w:after="100"/>
    </w:pPr>
    <w:rPr>
      <w:rFonts w:asciiTheme="minorHAnsi" w:hAnsiTheme="minorHAnsi"/>
      <w:sz w:val="22"/>
      <w:szCs w:val="22"/>
    </w:rPr>
  </w:style>
  <w:style w:type="paragraph" w:styleId="TOC2">
    <w:name w:val="toc 2"/>
    <w:basedOn w:val="Normal"/>
    <w:next w:val="Normal"/>
    <w:autoRedefine/>
    <w:uiPriority w:val="39"/>
    <w:unhideWhenUsed/>
    <w:rsid w:val="004C2198"/>
    <w:pPr>
      <w:tabs>
        <w:tab w:val="right" w:leader="dot" w:pos="9016"/>
      </w:tabs>
      <w:spacing w:after="100"/>
      <w:ind w:left="220"/>
    </w:pPr>
    <w:rPr>
      <w:rFonts w:cs="Times New Roman"/>
      <w:noProof/>
    </w:rPr>
  </w:style>
  <w:style w:type="character" w:styleId="Strong">
    <w:name w:val="Strong"/>
    <w:basedOn w:val="DefaultParagraphFont"/>
    <w:uiPriority w:val="22"/>
    <w:qFormat/>
    <w:rsid w:val="004C2198"/>
    <w:rPr>
      <w:b/>
      <w:bCs/>
    </w:rPr>
  </w:style>
  <w:style w:type="paragraph" w:styleId="Title">
    <w:name w:val="Title"/>
    <w:basedOn w:val="Normal"/>
    <w:next w:val="Normal"/>
    <w:link w:val="TitleChar"/>
    <w:uiPriority w:val="99"/>
    <w:qFormat/>
    <w:rsid w:val="004C2198"/>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rPr>
  </w:style>
  <w:style w:type="character" w:customStyle="1" w:styleId="TitleChar">
    <w:name w:val="Title Char"/>
    <w:basedOn w:val="DefaultParagraphFont"/>
    <w:link w:val="Title"/>
    <w:uiPriority w:val="99"/>
    <w:rsid w:val="004C2198"/>
    <w:rPr>
      <w:rFonts w:ascii="Calibri Light" w:eastAsia="Times New Roman" w:hAnsi="Calibri Light" w:cs="Times New Roman"/>
      <w:color w:val="323E4F"/>
      <w:spacing w:val="5"/>
      <w:kern w:val="28"/>
      <w:sz w:val="52"/>
      <w:szCs w:val="52"/>
    </w:rPr>
  </w:style>
  <w:style w:type="numbering" w:customStyle="1" w:styleId="NoList2">
    <w:name w:val="No List2"/>
    <w:next w:val="NoList"/>
    <w:uiPriority w:val="99"/>
    <w:semiHidden/>
    <w:unhideWhenUsed/>
    <w:rsid w:val="004C2198"/>
  </w:style>
  <w:style w:type="table" w:customStyle="1" w:styleId="TableGrid2">
    <w:name w:val="Table Grid2"/>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4C2198"/>
  </w:style>
  <w:style w:type="table" w:customStyle="1" w:styleId="TableGrid3">
    <w:name w:val="Table Grid3"/>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C2198"/>
  </w:style>
  <w:style w:type="table" w:customStyle="1" w:styleId="TableGrid4">
    <w:name w:val="Table Grid4"/>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C2198"/>
  </w:style>
  <w:style w:type="table" w:customStyle="1" w:styleId="TableGrid5">
    <w:name w:val="Table Grid5"/>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198"/>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C2198"/>
    <w:pPr>
      <w:keepNext/>
      <w:keepLines/>
      <w:spacing w:before="200" w:after="0"/>
      <w:ind w:left="72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D1F"/>
  </w:style>
  <w:style w:type="paragraph" w:styleId="NormalWeb">
    <w:name w:val="Normal (Web)"/>
    <w:basedOn w:val="Normal"/>
    <w:uiPriority w:val="99"/>
    <w:semiHidden/>
    <w:unhideWhenUsed/>
    <w:rsid w:val="002D1D1F"/>
    <w:pPr>
      <w:spacing w:before="100" w:beforeAutospacing="1" w:after="100" w:afterAutospacing="1" w:line="240" w:lineRule="auto"/>
    </w:pPr>
    <w:rPr>
      <w:rFonts w:eastAsia="Times New Roman" w:cs="Times New Roman"/>
      <w:lang w:eastAsia="en-GB"/>
    </w:rPr>
  </w:style>
  <w:style w:type="character" w:styleId="CommentReference">
    <w:name w:val="annotation reference"/>
    <w:basedOn w:val="DefaultParagraphFont"/>
    <w:uiPriority w:val="99"/>
    <w:semiHidden/>
    <w:unhideWhenUsed/>
    <w:rsid w:val="000F246D"/>
    <w:rPr>
      <w:sz w:val="16"/>
      <w:szCs w:val="16"/>
    </w:rPr>
  </w:style>
  <w:style w:type="paragraph" w:styleId="CommentText">
    <w:name w:val="annotation text"/>
    <w:basedOn w:val="Normal"/>
    <w:link w:val="CommentTextChar"/>
    <w:uiPriority w:val="99"/>
    <w:unhideWhenUsed/>
    <w:rsid w:val="000F246D"/>
    <w:pPr>
      <w:spacing w:line="240" w:lineRule="auto"/>
    </w:pPr>
    <w:rPr>
      <w:sz w:val="20"/>
      <w:szCs w:val="20"/>
    </w:rPr>
  </w:style>
  <w:style w:type="character" w:customStyle="1" w:styleId="CommentTextChar">
    <w:name w:val="Comment Text Char"/>
    <w:basedOn w:val="DefaultParagraphFont"/>
    <w:link w:val="CommentText"/>
    <w:uiPriority w:val="99"/>
    <w:rsid w:val="000F246D"/>
    <w:rPr>
      <w:sz w:val="20"/>
      <w:szCs w:val="20"/>
    </w:rPr>
  </w:style>
  <w:style w:type="paragraph" w:styleId="BalloonText">
    <w:name w:val="Balloon Text"/>
    <w:basedOn w:val="Normal"/>
    <w:link w:val="BalloonTextChar"/>
    <w:uiPriority w:val="99"/>
    <w:semiHidden/>
    <w:unhideWhenUsed/>
    <w:rsid w:val="000F2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46D"/>
    <w:rPr>
      <w:rFonts w:ascii="Tahoma" w:hAnsi="Tahoma" w:cs="Tahoma"/>
      <w:sz w:val="16"/>
      <w:szCs w:val="16"/>
    </w:rPr>
  </w:style>
  <w:style w:type="table" w:styleId="TableGrid">
    <w:name w:val="Table Grid"/>
    <w:basedOn w:val="TableNormal"/>
    <w:uiPriority w:val="59"/>
    <w:rsid w:val="000F246D"/>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F246D"/>
    <w:pPr>
      <w:spacing w:after="0" w:line="240" w:lineRule="auto"/>
    </w:pPr>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2198"/>
    <w:rPr>
      <w:rFonts w:eastAsiaTheme="majorEastAsia" w:cstheme="majorBidi"/>
      <w:b/>
      <w:bCs/>
      <w:szCs w:val="28"/>
    </w:rPr>
  </w:style>
  <w:style w:type="character" w:customStyle="1" w:styleId="Heading2Char">
    <w:name w:val="Heading 2 Char"/>
    <w:basedOn w:val="DefaultParagraphFont"/>
    <w:link w:val="Heading2"/>
    <w:uiPriority w:val="9"/>
    <w:rsid w:val="004C2198"/>
    <w:rPr>
      <w:rFonts w:eastAsiaTheme="majorEastAsia" w:cstheme="majorBidi"/>
      <w:bCs/>
      <w:i/>
      <w:szCs w:val="26"/>
    </w:rPr>
  </w:style>
  <w:style w:type="numbering" w:customStyle="1" w:styleId="NoList1">
    <w:name w:val="No List1"/>
    <w:next w:val="NoList"/>
    <w:uiPriority w:val="99"/>
    <w:semiHidden/>
    <w:unhideWhenUsed/>
    <w:rsid w:val="004C2198"/>
  </w:style>
  <w:style w:type="numbering" w:customStyle="1" w:styleId="NoList11">
    <w:name w:val="No List11"/>
    <w:next w:val="NoList"/>
    <w:uiPriority w:val="99"/>
    <w:semiHidden/>
    <w:unhideWhenUsed/>
    <w:rsid w:val="004C2198"/>
  </w:style>
  <w:style w:type="paragraph" w:styleId="ListParagraph">
    <w:name w:val="List Paragraph"/>
    <w:basedOn w:val="Normal"/>
    <w:uiPriority w:val="34"/>
    <w:qFormat/>
    <w:rsid w:val="004C2198"/>
    <w:pPr>
      <w:ind w:left="720"/>
      <w:contextualSpacing/>
    </w:pPr>
    <w:rPr>
      <w:szCs w:val="22"/>
    </w:rPr>
  </w:style>
  <w:style w:type="character" w:customStyle="1" w:styleId="current-selection">
    <w:name w:val="current-selection"/>
    <w:basedOn w:val="DefaultParagraphFont"/>
    <w:rsid w:val="004C2198"/>
  </w:style>
  <w:style w:type="character" w:customStyle="1" w:styleId="ff7">
    <w:name w:val="ff7"/>
    <w:basedOn w:val="DefaultParagraphFont"/>
    <w:rsid w:val="004C2198"/>
  </w:style>
  <w:style w:type="character" w:customStyle="1" w:styleId="singlehighlightclass">
    <w:name w:val="single_highlight_class"/>
    <w:basedOn w:val="DefaultParagraphFont"/>
    <w:rsid w:val="004C2198"/>
  </w:style>
  <w:style w:type="character" w:styleId="Hyperlink">
    <w:name w:val="Hyperlink"/>
    <w:basedOn w:val="DefaultParagraphFont"/>
    <w:uiPriority w:val="99"/>
    <w:unhideWhenUsed/>
    <w:rsid w:val="004C219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C2198"/>
    <w:rPr>
      <w:b/>
      <w:bCs/>
    </w:rPr>
  </w:style>
  <w:style w:type="character" w:customStyle="1" w:styleId="CommentSubjectChar">
    <w:name w:val="Comment Subject Char"/>
    <w:basedOn w:val="CommentTextChar"/>
    <w:link w:val="CommentSubject"/>
    <w:uiPriority w:val="99"/>
    <w:semiHidden/>
    <w:rsid w:val="004C2198"/>
    <w:rPr>
      <w:b/>
      <w:bCs/>
      <w:sz w:val="20"/>
      <w:szCs w:val="20"/>
    </w:rPr>
  </w:style>
  <w:style w:type="paragraph" w:styleId="Revision">
    <w:name w:val="Revision"/>
    <w:hidden/>
    <w:uiPriority w:val="99"/>
    <w:semiHidden/>
    <w:rsid w:val="004C2198"/>
    <w:pPr>
      <w:spacing w:after="0" w:line="240" w:lineRule="auto"/>
    </w:pPr>
    <w:rPr>
      <w:szCs w:val="22"/>
    </w:rPr>
  </w:style>
  <w:style w:type="paragraph" w:styleId="NoSpacing">
    <w:name w:val="No Spacing"/>
    <w:uiPriority w:val="1"/>
    <w:qFormat/>
    <w:rsid w:val="004C2198"/>
    <w:pPr>
      <w:spacing w:after="0" w:line="240" w:lineRule="auto"/>
    </w:pPr>
    <w:rPr>
      <w:szCs w:val="22"/>
    </w:rPr>
  </w:style>
  <w:style w:type="paragraph" w:styleId="Header">
    <w:name w:val="header"/>
    <w:basedOn w:val="Normal"/>
    <w:link w:val="HeaderChar"/>
    <w:uiPriority w:val="99"/>
    <w:unhideWhenUsed/>
    <w:rsid w:val="004C2198"/>
    <w:pPr>
      <w:tabs>
        <w:tab w:val="center" w:pos="4513"/>
        <w:tab w:val="right" w:pos="9026"/>
      </w:tabs>
      <w:spacing w:after="0" w:line="240" w:lineRule="auto"/>
    </w:pPr>
    <w:rPr>
      <w:szCs w:val="22"/>
    </w:rPr>
  </w:style>
  <w:style w:type="character" w:customStyle="1" w:styleId="HeaderChar">
    <w:name w:val="Header Char"/>
    <w:basedOn w:val="DefaultParagraphFont"/>
    <w:link w:val="Header"/>
    <w:uiPriority w:val="99"/>
    <w:rsid w:val="004C2198"/>
    <w:rPr>
      <w:szCs w:val="22"/>
    </w:rPr>
  </w:style>
  <w:style w:type="paragraph" w:styleId="Footer">
    <w:name w:val="footer"/>
    <w:basedOn w:val="Normal"/>
    <w:link w:val="FooterChar"/>
    <w:uiPriority w:val="99"/>
    <w:unhideWhenUsed/>
    <w:rsid w:val="004C2198"/>
    <w:pPr>
      <w:tabs>
        <w:tab w:val="center" w:pos="4513"/>
        <w:tab w:val="right" w:pos="9026"/>
      </w:tabs>
      <w:spacing w:after="0" w:line="240" w:lineRule="auto"/>
    </w:pPr>
    <w:rPr>
      <w:szCs w:val="22"/>
    </w:rPr>
  </w:style>
  <w:style w:type="character" w:customStyle="1" w:styleId="FooterChar">
    <w:name w:val="Footer Char"/>
    <w:basedOn w:val="DefaultParagraphFont"/>
    <w:link w:val="Footer"/>
    <w:uiPriority w:val="99"/>
    <w:rsid w:val="004C2198"/>
    <w:rPr>
      <w:szCs w:val="22"/>
    </w:rPr>
  </w:style>
  <w:style w:type="numbering" w:customStyle="1" w:styleId="NoList111">
    <w:name w:val="No List111"/>
    <w:next w:val="NoList"/>
    <w:uiPriority w:val="99"/>
    <w:semiHidden/>
    <w:unhideWhenUsed/>
    <w:rsid w:val="004C2198"/>
  </w:style>
  <w:style w:type="paragraph" w:styleId="TOCHeading">
    <w:name w:val="TOC Heading"/>
    <w:basedOn w:val="Heading1"/>
    <w:next w:val="Normal"/>
    <w:uiPriority w:val="39"/>
    <w:semiHidden/>
    <w:unhideWhenUsed/>
    <w:qFormat/>
    <w:rsid w:val="004C2198"/>
    <w:pPr>
      <w:outlineLvl w:val="9"/>
    </w:pPr>
    <w:rPr>
      <w:lang w:val="en-US" w:eastAsia="ja-JP"/>
    </w:rPr>
  </w:style>
  <w:style w:type="paragraph" w:styleId="Subtitle">
    <w:name w:val="Subtitle"/>
    <w:basedOn w:val="Normal"/>
    <w:next w:val="Normal"/>
    <w:link w:val="SubtitleChar"/>
    <w:uiPriority w:val="11"/>
    <w:qFormat/>
    <w:rsid w:val="004C2198"/>
    <w:pPr>
      <w:numPr>
        <w:ilvl w:val="1"/>
      </w:numPr>
      <w:ind w:left="720"/>
    </w:pPr>
    <w:rPr>
      <w:rFonts w:eastAsiaTheme="majorEastAsia" w:cstheme="majorBidi"/>
      <w:i/>
      <w:iCs/>
      <w:spacing w:val="15"/>
    </w:rPr>
  </w:style>
  <w:style w:type="character" w:customStyle="1" w:styleId="SubtitleChar">
    <w:name w:val="Subtitle Char"/>
    <w:basedOn w:val="DefaultParagraphFont"/>
    <w:link w:val="Subtitle"/>
    <w:uiPriority w:val="11"/>
    <w:rsid w:val="004C2198"/>
    <w:rPr>
      <w:rFonts w:eastAsiaTheme="majorEastAsia" w:cstheme="majorBidi"/>
      <w:i/>
      <w:iCs/>
      <w:spacing w:val="15"/>
    </w:rPr>
  </w:style>
  <w:style w:type="paragraph" w:styleId="TOC1">
    <w:name w:val="toc 1"/>
    <w:basedOn w:val="Normal"/>
    <w:next w:val="Normal"/>
    <w:autoRedefine/>
    <w:uiPriority w:val="39"/>
    <w:unhideWhenUsed/>
    <w:rsid w:val="004C2198"/>
    <w:pPr>
      <w:spacing w:after="100"/>
    </w:pPr>
    <w:rPr>
      <w:rFonts w:asciiTheme="minorHAnsi" w:hAnsiTheme="minorHAnsi"/>
      <w:sz w:val="22"/>
      <w:szCs w:val="22"/>
    </w:rPr>
  </w:style>
  <w:style w:type="paragraph" w:styleId="TOC2">
    <w:name w:val="toc 2"/>
    <w:basedOn w:val="Normal"/>
    <w:next w:val="Normal"/>
    <w:autoRedefine/>
    <w:uiPriority w:val="39"/>
    <w:unhideWhenUsed/>
    <w:rsid w:val="004C2198"/>
    <w:pPr>
      <w:tabs>
        <w:tab w:val="right" w:leader="dot" w:pos="9016"/>
      </w:tabs>
      <w:spacing w:after="100"/>
      <w:ind w:left="220"/>
    </w:pPr>
    <w:rPr>
      <w:rFonts w:cs="Times New Roman"/>
      <w:noProof/>
    </w:rPr>
  </w:style>
  <w:style w:type="character" w:styleId="Strong">
    <w:name w:val="Strong"/>
    <w:basedOn w:val="DefaultParagraphFont"/>
    <w:uiPriority w:val="22"/>
    <w:qFormat/>
    <w:rsid w:val="004C2198"/>
    <w:rPr>
      <w:b/>
      <w:bCs/>
    </w:rPr>
  </w:style>
  <w:style w:type="paragraph" w:styleId="Title">
    <w:name w:val="Title"/>
    <w:basedOn w:val="Normal"/>
    <w:next w:val="Normal"/>
    <w:link w:val="TitleChar"/>
    <w:uiPriority w:val="99"/>
    <w:qFormat/>
    <w:rsid w:val="004C2198"/>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rPr>
  </w:style>
  <w:style w:type="character" w:customStyle="1" w:styleId="TitleChar">
    <w:name w:val="Title Char"/>
    <w:basedOn w:val="DefaultParagraphFont"/>
    <w:link w:val="Title"/>
    <w:uiPriority w:val="99"/>
    <w:rsid w:val="004C2198"/>
    <w:rPr>
      <w:rFonts w:ascii="Calibri Light" w:eastAsia="Times New Roman" w:hAnsi="Calibri Light" w:cs="Times New Roman"/>
      <w:color w:val="323E4F"/>
      <w:spacing w:val="5"/>
      <w:kern w:val="28"/>
      <w:sz w:val="52"/>
      <w:szCs w:val="52"/>
    </w:rPr>
  </w:style>
  <w:style w:type="numbering" w:customStyle="1" w:styleId="NoList2">
    <w:name w:val="No List2"/>
    <w:next w:val="NoList"/>
    <w:uiPriority w:val="99"/>
    <w:semiHidden/>
    <w:unhideWhenUsed/>
    <w:rsid w:val="004C2198"/>
  </w:style>
  <w:style w:type="table" w:customStyle="1" w:styleId="TableGrid2">
    <w:name w:val="Table Grid2"/>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4C2198"/>
  </w:style>
  <w:style w:type="table" w:customStyle="1" w:styleId="TableGrid3">
    <w:name w:val="Table Grid3"/>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C2198"/>
  </w:style>
  <w:style w:type="table" w:customStyle="1" w:styleId="TableGrid4">
    <w:name w:val="Table Grid4"/>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C2198"/>
  </w:style>
  <w:style w:type="table" w:customStyle="1" w:styleId="TableGrid5">
    <w:name w:val="Table Grid5"/>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C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598987">
      <w:bodyDiv w:val="1"/>
      <w:marLeft w:val="0"/>
      <w:marRight w:val="0"/>
      <w:marTop w:val="0"/>
      <w:marBottom w:val="0"/>
      <w:divBdr>
        <w:top w:val="none" w:sz="0" w:space="0" w:color="auto"/>
        <w:left w:val="none" w:sz="0" w:space="0" w:color="auto"/>
        <w:bottom w:val="none" w:sz="0" w:space="0" w:color="auto"/>
        <w:right w:val="none" w:sz="0" w:space="0" w:color="auto"/>
      </w:divBdr>
      <w:divsChild>
        <w:div w:id="1169172397">
          <w:marLeft w:val="0"/>
          <w:marRight w:val="0"/>
          <w:marTop w:val="0"/>
          <w:marBottom w:val="0"/>
          <w:divBdr>
            <w:top w:val="none" w:sz="0" w:space="0" w:color="auto"/>
            <w:left w:val="none" w:sz="0" w:space="0" w:color="auto"/>
            <w:bottom w:val="none" w:sz="0" w:space="0" w:color="auto"/>
            <w:right w:val="none" w:sz="0" w:space="0" w:color="auto"/>
          </w:divBdr>
          <w:divsChild>
            <w:div w:id="1188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833">
      <w:bodyDiv w:val="1"/>
      <w:marLeft w:val="0"/>
      <w:marRight w:val="0"/>
      <w:marTop w:val="0"/>
      <w:marBottom w:val="0"/>
      <w:divBdr>
        <w:top w:val="none" w:sz="0" w:space="0" w:color="auto"/>
        <w:left w:val="none" w:sz="0" w:space="0" w:color="auto"/>
        <w:bottom w:val="none" w:sz="0" w:space="0" w:color="auto"/>
        <w:right w:val="none" w:sz="0" w:space="0" w:color="auto"/>
      </w:divBdr>
      <w:divsChild>
        <w:div w:id="1979605814">
          <w:marLeft w:val="0"/>
          <w:marRight w:val="0"/>
          <w:marTop w:val="0"/>
          <w:marBottom w:val="0"/>
          <w:divBdr>
            <w:top w:val="none" w:sz="0" w:space="0" w:color="auto"/>
            <w:left w:val="none" w:sz="0" w:space="0" w:color="auto"/>
            <w:bottom w:val="none" w:sz="0" w:space="0" w:color="auto"/>
            <w:right w:val="none" w:sz="0" w:space="0" w:color="auto"/>
          </w:divBdr>
          <w:divsChild>
            <w:div w:id="5047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8329">
      <w:bodyDiv w:val="1"/>
      <w:marLeft w:val="0"/>
      <w:marRight w:val="0"/>
      <w:marTop w:val="0"/>
      <w:marBottom w:val="0"/>
      <w:divBdr>
        <w:top w:val="none" w:sz="0" w:space="0" w:color="auto"/>
        <w:left w:val="none" w:sz="0" w:space="0" w:color="auto"/>
        <w:bottom w:val="none" w:sz="0" w:space="0" w:color="auto"/>
        <w:right w:val="none" w:sz="0" w:space="0" w:color="auto"/>
      </w:divBdr>
      <w:divsChild>
        <w:div w:id="1718121685">
          <w:marLeft w:val="0"/>
          <w:marRight w:val="0"/>
          <w:marTop w:val="0"/>
          <w:marBottom w:val="0"/>
          <w:divBdr>
            <w:top w:val="none" w:sz="0" w:space="0" w:color="auto"/>
            <w:left w:val="none" w:sz="0" w:space="0" w:color="auto"/>
            <w:bottom w:val="none" w:sz="0" w:space="0" w:color="auto"/>
            <w:right w:val="none" w:sz="0" w:space="0" w:color="auto"/>
          </w:divBdr>
          <w:divsChild>
            <w:div w:id="1307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695">
      <w:bodyDiv w:val="1"/>
      <w:marLeft w:val="0"/>
      <w:marRight w:val="0"/>
      <w:marTop w:val="0"/>
      <w:marBottom w:val="0"/>
      <w:divBdr>
        <w:top w:val="none" w:sz="0" w:space="0" w:color="auto"/>
        <w:left w:val="none" w:sz="0" w:space="0" w:color="auto"/>
        <w:bottom w:val="none" w:sz="0" w:space="0" w:color="auto"/>
        <w:right w:val="none" w:sz="0" w:space="0" w:color="auto"/>
      </w:divBdr>
    </w:div>
    <w:div w:id="1554660026">
      <w:bodyDiv w:val="1"/>
      <w:marLeft w:val="0"/>
      <w:marRight w:val="0"/>
      <w:marTop w:val="0"/>
      <w:marBottom w:val="0"/>
      <w:divBdr>
        <w:top w:val="none" w:sz="0" w:space="0" w:color="auto"/>
        <w:left w:val="none" w:sz="0" w:space="0" w:color="auto"/>
        <w:bottom w:val="none" w:sz="0" w:space="0" w:color="auto"/>
        <w:right w:val="none" w:sz="0" w:space="0" w:color="auto"/>
      </w:divBdr>
    </w:div>
    <w:div w:id="214107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zing.com/pop.htm" TargetMode="External"/><Relationship Id="rId13" Type="http://schemas.openxmlformats.org/officeDocument/2006/relationships/hyperlink" Target="http://www.unisdr.org/campaign/resilientcities/home/index/Essential%20Two:%20Identify%20Understand%20and%20Use%20Current%20and%20Future%20Risk%20Scenarios/?id=2" TargetMode="External"/><Relationship Id="rId3" Type="http://schemas.openxmlformats.org/officeDocument/2006/relationships/styles" Target="styles.xml"/><Relationship Id="rId7" Type="http://schemas.openxmlformats.org/officeDocument/2006/relationships/hyperlink" Target="http://www.100resilientcities.org/about-us" TargetMode="External"/><Relationship Id="rId12" Type="http://schemas.openxmlformats.org/officeDocument/2006/relationships/hyperlink" Target="http://www.unisdr.org/campaign/resilientcities/home/toolkitblkitem/?id=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isdr.org/campaign/resilientcities/home/f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unisdr.org/campaign/resilientcities/assets/documents/guidelines/Handbook%20For%20Local%20Government%20Leaders_WEB_May%202017.pdf" TargetMode="External"/><Relationship Id="rId4" Type="http://schemas.microsoft.com/office/2007/relationships/stylesWithEffects" Target="stylesWithEffects.xml"/><Relationship Id="rId9" Type="http://schemas.openxmlformats.org/officeDocument/2006/relationships/hyperlink" Target="http://currents.plos.org/disasters/article/community-disaster-resilience-a-systematic-review-on-assessment-models-and-tools/" TargetMode="External"/><Relationship Id="rId14" Type="http://schemas.openxmlformats.org/officeDocument/2006/relationships/hyperlink" Target="http://www.unisdr.org/campaign/resilientcities/home/index/Essential%20Nine:%20Ensure%20Effective%20Disaster%20Response%C2%A0/?i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79B5A-FC29-4E99-AD20-02E19AFD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8</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The University of Manchester</Company>
  <LinksUpToDate>false</LinksUpToDate>
  <CharactersWithSpaces>23556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Bealt</dc:creator>
  <cp:lastModifiedBy>Jennifer Bealt</cp:lastModifiedBy>
  <cp:revision>7</cp:revision>
  <dcterms:created xsi:type="dcterms:W3CDTF">2017-09-21T12:52:00Z</dcterms:created>
  <dcterms:modified xsi:type="dcterms:W3CDTF">2018-01-31T10:19:00Z</dcterms:modified>
</cp:coreProperties>
</file>