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970" w:rsidRDefault="005311A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  <w:u w:val="single"/>
        </w:rPr>
        <w:t>Agile Task Order FFP Independent Government Cost Estimate (IGCE) Example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important thing to remember when pricing out firm fixed price Agile software development is that, unlike waterfall contracts, it would be difficult to develop a fixed price that correlates directly to a set of released features or a developed system. I</w:t>
      </w:r>
      <w:r>
        <w:rPr>
          <w:rFonts w:ascii="Times New Roman" w:hAnsi="Times New Roman"/>
          <w:sz w:val="24"/>
          <w:szCs w:val="24"/>
        </w:rPr>
        <w:t xml:space="preserve">nstead, think of the IGCE as establishing the investment that an agency is committing to make towards the continual delivery of product. 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 this type of task order, the deliverable is the repeated process which delivers a functional high quality produc</w:t>
      </w:r>
      <w:r>
        <w:rPr>
          <w:rFonts w:ascii="Times New Roman" w:hAnsi="Times New Roman"/>
          <w:sz w:val="24"/>
          <w:szCs w:val="24"/>
        </w:rPr>
        <w:t xml:space="preserve">t in accordance with the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Definition of Done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  For that reason, the Agile iteration (whether 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 Scrum, Kanban, XP, etc.)  is the firm fixed price deliverable and what should be used as the basis for invoicing and payments. 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Additionally, because Agile f</w:t>
      </w:r>
      <w:r>
        <w:rPr>
          <w:rFonts w:ascii="Times New Roman" w:hAnsi="Times New Roman"/>
          <w:sz w:val="24"/>
          <w:szCs w:val="24"/>
        </w:rPr>
        <w:t xml:space="preserve">ocuses on team accomplishment towards delivery and not individual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man hours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alternative methods of calculation are necessary. The most common is Story Points related to User Stories. 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Pricing an Iteration: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are elements of a typical Agile project b</w:t>
      </w:r>
      <w:r>
        <w:rPr>
          <w:rFonts w:ascii="Times New Roman" w:hAnsi="Times New Roman"/>
          <w:sz w:val="24"/>
          <w:szCs w:val="24"/>
        </w:rPr>
        <w:t>ased on industry best practices for Agile deployments.  These factors can be utilized in creating IGCE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s. Not all factors must be used, but the strategies surrounding the importance of the factors should be addressed when creating the IGCE, incentive strat</w:t>
      </w:r>
      <w:r>
        <w:rPr>
          <w:rFonts w:ascii="Times New Roman" w:hAnsi="Times New Roman"/>
          <w:sz w:val="24"/>
          <w:szCs w:val="24"/>
        </w:rPr>
        <w:t>egy, or acquisition plan: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AGILE FACTORS:  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 of Team: Range 6-12 Full-Time Employees (FTE)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 of Teams*: based on need and scaling 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of Iterations included: Development, Discovery, Envisioning, Hybrid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Story Size: T-Shirt Sizes / Fibonacci / Plan</w:t>
      </w:r>
      <w:r>
        <w:rPr>
          <w:rFonts w:ascii="Times New Roman" w:hAnsi="Times New Roman"/>
          <w:sz w:val="24"/>
          <w:szCs w:val="24"/>
        </w:rPr>
        <w:t>ning Poker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 of Estimation: Fibonacci / Planning Poker / No Estimation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Weeks of Iteration: 2-5 weeks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Metrics: # of Story Points per Iteration / Throughput / Velocity / Time-to-Market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Period of Performance: 12 months</w:t>
      </w:r>
    </w:p>
    <w:p w:rsidR="00B36970" w:rsidRDefault="0053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Incentives: Award/Incentive Fee or </w:t>
      </w:r>
      <w:r>
        <w:rPr>
          <w:rFonts w:ascii="Times New Roman" w:hAnsi="Times New Roman"/>
          <w:sz w:val="24"/>
          <w:szCs w:val="24"/>
        </w:rPr>
        <w:t>Award Term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*Additional questions that will help determine how many teams are necessary:  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 there a specific set of features that must be released by a fixed schedule date? </w:t>
      </w:r>
    </w:p>
    <w:p w:rsidR="00B36970" w:rsidRDefault="005311A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Scheduled release dates are sometimes unavoidable and can either be mitigated by </w:t>
      </w:r>
      <w:r>
        <w:rPr>
          <w:rFonts w:ascii="Times New Roman" w:hAnsi="Times New Roman"/>
          <w:sz w:val="24"/>
          <w:szCs w:val="24"/>
        </w:rPr>
        <w:t xml:space="preserve">the amount of features required to be released by the fixed date or by the size of teams working on the overall effort 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Can concurrent system work be conducted at the same time or must development happen sequentially? </w:t>
      </w:r>
    </w:p>
    <w:p w:rsidR="00B36970" w:rsidRDefault="005311A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answer is yes, and funding is </w:t>
      </w:r>
      <w:r>
        <w:rPr>
          <w:rFonts w:ascii="Times New Roman" w:hAnsi="Times New Roman"/>
          <w:sz w:val="24"/>
          <w:szCs w:val="24"/>
        </w:rPr>
        <w:t>available for more than one team, factor this into the IGCE as either the high number, or provide a range for the IGCE which indicates more teams. Generally, avoid simply adding numbers of FTEs to Agile teams above 12, as the best practice is to keep the t</w:t>
      </w:r>
      <w:r>
        <w:rPr>
          <w:rFonts w:ascii="Times New Roman" w:hAnsi="Times New Roman"/>
          <w:sz w:val="24"/>
          <w:szCs w:val="24"/>
        </w:rPr>
        <w:t xml:space="preserve">eams small and nimble. Note: For a more apples to apples pricing comparison, the government can pre-define some of the elements above. However, the more you lock in these elements, the less you allow the offerors to provide an innovative solution based on </w:t>
      </w:r>
      <w:r>
        <w:rPr>
          <w:rFonts w:ascii="Times New Roman" w:hAnsi="Times New Roman"/>
          <w:sz w:val="24"/>
          <w:szCs w:val="24"/>
        </w:rPr>
        <w:t>how they will execute the performance-based objectives.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 is one example of an IGCE developed utilizing the factors above: </w:t>
      </w:r>
    </w:p>
    <w:tbl>
      <w:tblPr>
        <w:tblW w:w="90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436"/>
        <w:gridCol w:w="5653"/>
      </w:tblGrid>
      <w:tr w:rsidR="00B36970">
        <w:trPr>
          <w:trHeight w:val="320"/>
        </w:trPr>
        <w:tc>
          <w:tcPr>
            <w:tcW w:w="34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6B9B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  <w:sz w:val="24"/>
                <w:szCs w:val="24"/>
                <w:u w:val="single"/>
              </w:rPr>
              <w:t>Iteration: Scrum Sprint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6B9B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  <w:sz w:val="24"/>
                <w:szCs w:val="24"/>
                <w:u w:val="single"/>
              </w:rPr>
              <w:t>Factor</w:t>
            </w:r>
          </w:p>
        </w:tc>
      </w:tr>
      <w:tr w:rsidR="00B36970">
        <w:trPr>
          <w:trHeight w:val="280"/>
        </w:trPr>
        <w:tc>
          <w:tcPr>
            <w:tcW w:w="34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 xml:space="preserve">Size of Team  </w:t>
            </w:r>
          </w:p>
        </w:tc>
        <w:tc>
          <w:tcPr>
            <w:tcW w:w="5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7</w:t>
            </w:r>
          </w:p>
        </w:tc>
      </w:tr>
      <w:tr w:rsidR="00B36970">
        <w:trPr>
          <w:trHeight w:val="260"/>
        </w:trPr>
        <w:tc>
          <w:tcPr>
            <w:tcW w:w="3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# of Teams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1</w:t>
            </w:r>
          </w:p>
        </w:tc>
      </w:tr>
      <w:tr w:rsidR="00B36970">
        <w:trPr>
          <w:trHeight w:val="260"/>
        </w:trPr>
        <w:tc>
          <w:tcPr>
            <w:tcW w:w="3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Types of Iterations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Discovery + Development</w:t>
            </w:r>
          </w:p>
        </w:tc>
      </w:tr>
      <w:tr w:rsidR="00B36970">
        <w:trPr>
          <w:trHeight w:val="260"/>
        </w:trPr>
        <w:tc>
          <w:tcPr>
            <w:tcW w:w="3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Weeks of Iteration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3</w:t>
            </w:r>
          </w:p>
        </w:tc>
      </w:tr>
      <w:tr w:rsidR="00B36970">
        <w:trPr>
          <w:trHeight w:val="679"/>
        </w:trPr>
        <w:tc>
          <w:tcPr>
            <w:tcW w:w="3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Performance Metrics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15-17 Story Points = Acceptable Quality Level</w:t>
            </w:r>
          </w:p>
          <w:p w:rsidR="00B36970" w:rsidRDefault="005311A1">
            <w:pPr>
              <w:pStyle w:val="Body"/>
            </w:pPr>
            <w:r>
              <w:rPr>
                <w:b/>
                <w:bCs/>
              </w:rPr>
              <w:t>19+ Story Points = Excellent Quality Level</w:t>
            </w:r>
          </w:p>
        </w:tc>
      </w:tr>
    </w:tbl>
    <w:p w:rsidR="00B36970" w:rsidRDefault="00B36970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98"/>
        <w:gridCol w:w="1440"/>
        <w:gridCol w:w="990"/>
        <w:gridCol w:w="1952"/>
      </w:tblGrid>
      <w:tr w:rsidR="00B36970">
        <w:trPr>
          <w:trHeight w:val="565"/>
        </w:trPr>
        <w:tc>
          <w:tcPr>
            <w:tcW w:w="4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Labor Category </w:t>
            </w:r>
            <w:r>
              <w:rPr>
                <w:sz w:val="20"/>
                <w:szCs w:val="20"/>
              </w:rPr>
              <w:t xml:space="preserve">(these figures are not from the negotiated BPA pricing)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Hr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Rate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Hrs</w:t>
            </w:r>
            <w:proofErr w:type="spellEnd"/>
          </w:p>
        </w:tc>
        <w:tc>
          <w:tcPr>
            <w:tcW w:w="1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  <w:sz w:val="24"/>
                <w:szCs w:val="24"/>
                <w:u w:val="single"/>
              </w:rPr>
              <w:t>Price</w:t>
            </w:r>
          </w:p>
        </w:tc>
      </w:tr>
      <w:tr w:rsidR="00B36970">
        <w:trPr>
          <w:trHeight w:val="280"/>
        </w:trPr>
        <w:tc>
          <w:tcPr>
            <w:tcW w:w="4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$150.00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45</w:t>
            </w:r>
          </w:p>
        </w:tc>
        <w:tc>
          <w:tcPr>
            <w:tcW w:w="1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$6750</w:t>
            </w:r>
          </w:p>
        </w:tc>
      </w:tr>
      <w:tr w:rsidR="00B36970">
        <w:trPr>
          <w:trHeight w:val="277"/>
        </w:trPr>
        <w:tc>
          <w:tcPr>
            <w:tcW w:w="4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Scrum Master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$147.00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1920</w:t>
            </w:r>
          </w:p>
        </w:tc>
        <w:tc>
          <w:tcPr>
            <w:tcW w:w="1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$28,2240</w:t>
            </w:r>
          </w:p>
        </w:tc>
      </w:tr>
      <w:tr w:rsidR="00B36970">
        <w:trPr>
          <w:trHeight w:val="302"/>
        </w:trPr>
        <w:tc>
          <w:tcPr>
            <w:tcW w:w="4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Business Analyst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$120.00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940</w:t>
            </w:r>
          </w:p>
        </w:tc>
        <w:tc>
          <w:tcPr>
            <w:tcW w:w="1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$11,2800</w:t>
            </w:r>
          </w:p>
        </w:tc>
      </w:tr>
      <w:tr w:rsidR="00B36970">
        <w:trPr>
          <w:trHeight w:val="275"/>
        </w:trPr>
        <w:tc>
          <w:tcPr>
            <w:tcW w:w="4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 xml:space="preserve">Developer -Level 1 (2)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$140.00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3840</w:t>
            </w:r>
          </w:p>
        </w:tc>
        <w:tc>
          <w:tcPr>
            <w:tcW w:w="1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$53,7600</w:t>
            </w:r>
          </w:p>
        </w:tc>
      </w:tr>
      <w:tr w:rsidR="00B36970">
        <w:trPr>
          <w:trHeight w:val="260"/>
        </w:trPr>
        <w:tc>
          <w:tcPr>
            <w:tcW w:w="4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Technical Architect/Sr. Developer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$167.00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940</w:t>
            </w:r>
          </w:p>
        </w:tc>
        <w:tc>
          <w:tcPr>
            <w:tcW w:w="1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$15,6980</w:t>
            </w:r>
          </w:p>
        </w:tc>
      </w:tr>
      <w:tr w:rsidR="00B36970">
        <w:trPr>
          <w:trHeight w:val="260"/>
        </w:trPr>
        <w:tc>
          <w:tcPr>
            <w:tcW w:w="4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lastRenderedPageBreak/>
              <w:t>Designer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$156.00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1000</w:t>
            </w:r>
          </w:p>
        </w:tc>
        <w:tc>
          <w:tcPr>
            <w:tcW w:w="1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$156,000</w:t>
            </w:r>
          </w:p>
        </w:tc>
      </w:tr>
      <w:tr w:rsidR="00B36970">
        <w:trPr>
          <w:trHeight w:val="260"/>
        </w:trPr>
        <w:tc>
          <w:tcPr>
            <w:tcW w:w="4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Total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B36970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B36970"/>
        </w:tc>
        <w:tc>
          <w:tcPr>
            <w:tcW w:w="1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</w:pPr>
            <w:r>
              <w:rPr>
                <w:b/>
                <w:bCs/>
              </w:rPr>
              <w:t>$1,252,370</w:t>
            </w:r>
          </w:p>
        </w:tc>
      </w:tr>
    </w:tbl>
    <w:p w:rsidR="00B36970" w:rsidRDefault="00B36970">
      <w:pPr>
        <w:pStyle w:val="Body"/>
        <w:spacing w:line="240" w:lineRule="auto"/>
        <w:rPr>
          <w:b/>
          <w:bCs/>
          <w:sz w:val="32"/>
          <w:szCs w:val="32"/>
          <w:u w:val="single"/>
        </w:rPr>
      </w:pP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Not all labor categories have estimated a full-time effort for every proposed category. The ability of a company to bid on an Agile project is to understand the strength of their team and whether they are having staff fulfill more than one role, or t</w:t>
      </w:r>
      <w:r>
        <w:rPr>
          <w:rFonts w:ascii="Times New Roman" w:hAnsi="Times New Roman"/>
          <w:sz w:val="24"/>
          <w:szCs w:val="24"/>
        </w:rPr>
        <w:t xml:space="preserve">hat a higher paid developer may not need to be full time to be effective in the delivery of the increment. 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important that there is a correlation between any estimations of labor hours based on an offeror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technical solution which discusses the meth</w:t>
      </w:r>
      <w:r>
        <w:rPr>
          <w:rFonts w:ascii="Times New Roman" w:hAnsi="Times New Roman"/>
          <w:sz w:val="24"/>
          <w:szCs w:val="24"/>
        </w:rPr>
        <w:t xml:space="preserve">odology for the team composition. This will help evaluators determine best value and trade off. </w:t>
      </w:r>
    </w:p>
    <w:p w:rsidR="00B36970" w:rsidRDefault="005311A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Contract Line Item Number (CLIN) Structure: </w:t>
      </w:r>
    </w:p>
    <w:p w:rsidR="00B36970" w:rsidRDefault="00B36970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9450" w:type="dxa"/>
        <w:tblInd w:w="3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80"/>
        <w:gridCol w:w="4770"/>
      </w:tblGrid>
      <w:tr w:rsidR="00B36970">
        <w:trPr>
          <w:trHeight w:val="416"/>
        </w:trPr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BASE PERIOD:  6 months</w:t>
            </w:r>
          </w:p>
        </w:tc>
      </w:tr>
      <w:tr w:rsidR="00B36970">
        <w:trPr>
          <w:trHeight w:val="643"/>
        </w:trPr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CLIN 0001, FFP - Completion </w:t>
            </w:r>
            <w:r>
              <w:rPr>
                <w:rFonts w:ascii="Times New Roman" w:hAnsi="Times New Roman"/>
                <w:sz w:val="24"/>
                <w:szCs w:val="24"/>
              </w:rPr>
              <w:t>- The Contractor shall provide services for the Government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accordance with the Performance Work Statement (PWS)</w:t>
            </w:r>
          </w:p>
        </w:tc>
      </w:tr>
      <w:tr w:rsidR="00B36970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Length of Iteration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Weeks </w:t>
            </w:r>
          </w:p>
        </w:tc>
      </w:tr>
      <w:tr w:rsidR="00B36970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Number of Iterations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17 Sprints</w:t>
            </w:r>
          </w:p>
        </w:tc>
      </w:tr>
      <w:tr w:rsidR="00B36970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Price Per Iteration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$73,669</w:t>
            </w:r>
          </w:p>
        </w:tc>
      </w:tr>
      <w:tr w:rsidR="00B36970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Period of Performance: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12 months</w:t>
            </w:r>
          </w:p>
        </w:tc>
      </w:tr>
      <w:tr w:rsidR="00B36970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Firm Fixed Price (Completion):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6970" w:rsidRDefault="005311A1"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$1,252,370</w:t>
            </w:r>
          </w:p>
        </w:tc>
      </w:tr>
    </w:tbl>
    <w:p w:rsidR="00B36970" w:rsidRDefault="00B36970">
      <w:pPr>
        <w:pStyle w:val="Body"/>
        <w:widowControl w:val="0"/>
        <w:spacing w:line="240" w:lineRule="auto"/>
        <w:ind w:left="198" w:hanging="19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36970" w:rsidRDefault="00B36970">
      <w:pPr>
        <w:pStyle w:val="Body"/>
        <w:rPr>
          <w:b/>
          <w:bCs/>
          <w:sz w:val="32"/>
          <w:szCs w:val="32"/>
          <w:u w:val="single"/>
        </w:rPr>
      </w:pPr>
    </w:p>
    <w:p w:rsidR="00B36970" w:rsidRDefault="00B36970">
      <w:pPr>
        <w:pStyle w:val="Body"/>
      </w:pPr>
    </w:p>
    <w:sectPr w:rsidR="00B369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1A1" w:rsidRDefault="005311A1">
      <w:r>
        <w:separator/>
      </w:r>
    </w:p>
  </w:endnote>
  <w:endnote w:type="continuationSeparator" w:id="0">
    <w:p w:rsidR="005311A1" w:rsidRDefault="0053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970" w:rsidRDefault="00B3697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1A1" w:rsidRDefault="005311A1">
      <w:r>
        <w:separator/>
      </w:r>
    </w:p>
  </w:footnote>
  <w:footnote w:type="continuationSeparator" w:id="0">
    <w:p w:rsidR="005311A1" w:rsidRDefault="0053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970" w:rsidRDefault="00B3697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1293"/>
    <w:multiLevelType w:val="hybridMultilevel"/>
    <w:tmpl w:val="8D208F4E"/>
    <w:numStyleLink w:val="ImportedStyle1"/>
  </w:abstractNum>
  <w:abstractNum w:abstractNumId="1" w15:restartNumberingAfterBreak="0">
    <w:nsid w:val="15A80909"/>
    <w:multiLevelType w:val="hybridMultilevel"/>
    <w:tmpl w:val="55FE80AC"/>
    <w:numStyleLink w:val="ImportedStyle2"/>
  </w:abstractNum>
  <w:abstractNum w:abstractNumId="2" w15:restartNumberingAfterBreak="0">
    <w:nsid w:val="29445E57"/>
    <w:multiLevelType w:val="hybridMultilevel"/>
    <w:tmpl w:val="54746C16"/>
    <w:numStyleLink w:val="ImportedStyle3"/>
  </w:abstractNum>
  <w:abstractNum w:abstractNumId="3" w15:restartNumberingAfterBreak="0">
    <w:nsid w:val="349B50DB"/>
    <w:multiLevelType w:val="hybridMultilevel"/>
    <w:tmpl w:val="55FE80AC"/>
    <w:styleLink w:val="ImportedStyle2"/>
    <w:lvl w:ilvl="0" w:tplc="A59A797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5AD5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6E57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E4483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542E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C002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E2212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D6E55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9071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CA71873"/>
    <w:multiLevelType w:val="hybridMultilevel"/>
    <w:tmpl w:val="54746C16"/>
    <w:styleLink w:val="ImportedStyle3"/>
    <w:lvl w:ilvl="0" w:tplc="190A18F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E8CB7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18FE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C4671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2E89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06A1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0AC45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F03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38D6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D673CA5"/>
    <w:multiLevelType w:val="hybridMultilevel"/>
    <w:tmpl w:val="8D208F4E"/>
    <w:styleLink w:val="ImportedStyle1"/>
    <w:lvl w:ilvl="0" w:tplc="19AA0B4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2096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803E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4BA7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E432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80E0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E663C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20F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83F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70"/>
    <w:rsid w:val="004D4924"/>
    <w:rsid w:val="005311A1"/>
    <w:rsid w:val="00B36970"/>
    <w:rsid w:val="00C5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0770B-F4CE-47A8-881C-9D9F6B5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Barnes</cp:lastModifiedBy>
  <cp:revision>2</cp:revision>
  <dcterms:created xsi:type="dcterms:W3CDTF">2017-05-19T14:18:00Z</dcterms:created>
  <dcterms:modified xsi:type="dcterms:W3CDTF">2017-05-19T14:18:00Z</dcterms:modified>
</cp:coreProperties>
</file>